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5" w:beforeLines="50" w:line="360" w:lineRule="auto"/>
        <w:jc w:val="center"/>
        <w:rPr>
          <w:rFonts w:ascii="宋体" w:hAnsi="宋体" w:cs="宋体"/>
          <w:sz w:val="52"/>
          <w:szCs w:val="52"/>
        </w:rPr>
      </w:pPr>
      <w:r>
        <w:rPr>
          <w:rFonts w:hint="eastAsia" w:ascii="宋体" w:hAnsi="宋体" w:cs="宋体"/>
          <w:sz w:val="52"/>
          <w:szCs w:val="52"/>
        </w:rPr>
        <w:drawing>
          <wp:inline distT="0" distB="0" distL="114300" distR="114300">
            <wp:extent cx="6182995" cy="8743950"/>
            <wp:effectExtent l="0" t="0" r="8255" b="0"/>
            <wp:docPr id="5" name="图片 5" descr="隆安县第三中学江滨校区设备设施采购项目-招标文件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隆安县第三中学江滨校区设备设施采购项目-招标文件首页"/>
                    <pic:cNvPicPr>
                      <a:picLocks noChangeAspect="1"/>
                    </pic:cNvPicPr>
                  </pic:nvPicPr>
                  <pic:blipFill>
                    <a:blip r:embed="rId21"/>
                    <a:stretch>
                      <a:fillRect/>
                    </a:stretch>
                  </pic:blipFill>
                  <pic:spPr>
                    <a:xfrm>
                      <a:off x="0" y="0"/>
                      <a:ext cx="6182995" cy="8743950"/>
                    </a:xfrm>
                    <a:prstGeom prst="rect">
                      <a:avLst/>
                    </a:prstGeom>
                  </pic:spPr>
                </pic:pic>
              </a:graphicData>
            </a:graphic>
          </wp:inline>
        </w:drawing>
      </w:r>
      <w:r>
        <w:rPr>
          <w:rFonts w:hint="eastAsia" w:ascii="宋体" w:hAnsi="宋体" w:cs="宋体"/>
          <w:sz w:val="52"/>
          <w:szCs w:val="52"/>
        </w:rPr>
        <w:t>南宁市政府采购</w:t>
      </w:r>
    </w:p>
    <w:p>
      <w:pPr>
        <w:tabs>
          <w:tab w:val="left" w:pos="2940"/>
        </w:tabs>
        <w:spacing w:before="165" w:beforeLines="50" w:line="360" w:lineRule="auto"/>
        <w:jc w:val="center"/>
        <w:rPr>
          <w:rFonts w:ascii="宋体" w:hAnsi="宋体" w:cs="宋体"/>
          <w:sz w:val="52"/>
          <w:szCs w:val="52"/>
        </w:rPr>
      </w:pPr>
      <w:r>
        <w:rPr>
          <w:rFonts w:hint="eastAsia" w:ascii="宋体" w:hAnsi="宋体" w:cs="宋体"/>
          <w:sz w:val="52"/>
          <w:szCs w:val="52"/>
        </w:rPr>
        <w:t>公开招标文件（货物类）</w:t>
      </w:r>
    </w:p>
    <w:p>
      <w:pPr>
        <w:spacing w:before="165" w:beforeLines="50" w:line="360" w:lineRule="auto"/>
        <w:jc w:val="center"/>
        <w:rPr>
          <w:rFonts w:ascii="宋体" w:hAnsi="宋体" w:cs="宋体"/>
          <w:b/>
          <w:sz w:val="48"/>
          <w:szCs w:val="48"/>
        </w:rPr>
      </w:pPr>
    </w:p>
    <w:p>
      <w:pPr>
        <w:spacing w:before="165" w:beforeLines="50" w:line="360" w:lineRule="auto"/>
        <w:jc w:val="center"/>
        <w:rPr>
          <w:rFonts w:ascii="宋体" w:hAnsi="宋体" w:cs="宋体"/>
          <w:b/>
          <w:sz w:val="48"/>
          <w:szCs w:val="48"/>
        </w:rPr>
      </w:pPr>
    </w:p>
    <w:p>
      <w:pPr>
        <w:snapToGrid w:val="0"/>
        <w:spacing w:before="165" w:beforeLines="50" w:line="360" w:lineRule="auto"/>
        <w:jc w:val="center"/>
        <w:rPr>
          <w:rFonts w:ascii="宋体" w:hAnsi="宋体" w:cs="宋体"/>
          <w:sz w:val="72"/>
          <w:szCs w:val="72"/>
        </w:rPr>
      </w:pPr>
      <w:r>
        <w:rPr>
          <w:rFonts w:hint="eastAsia" w:ascii="宋体" w:hAnsi="宋体" w:cs="宋体"/>
          <w:sz w:val="72"/>
          <w:szCs w:val="72"/>
        </w:rPr>
        <w:t>招 标 文 件</w:t>
      </w:r>
    </w:p>
    <w:p>
      <w:pPr>
        <w:snapToGrid w:val="0"/>
        <w:spacing w:before="165" w:beforeLines="50" w:line="360" w:lineRule="auto"/>
        <w:jc w:val="center"/>
        <w:rPr>
          <w:rFonts w:ascii="宋体" w:hAnsi="宋体" w:cs="宋体"/>
          <w:sz w:val="30"/>
          <w:szCs w:val="72"/>
        </w:rPr>
      </w:pPr>
      <w:r>
        <w:rPr>
          <w:rFonts w:hint="eastAsia" w:ascii="宋体" w:hAnsi="宋体" w:cs="宋体"/>
          <w:sz w:val="30"/>
          <w:szCs w:val="72"/>
        </w:rPr>
        <w:t>（全流程电子化评标）</w:t>
      </w:r>
    </w:p>
    <w:p>
      <w:pPr>
        <w:snapToGrid w:val="0"/>
        <w:spacing w:before="165" w:beforeLines="50" w:line="360" w:lineRule="auto"/>
        <w:rPr>
          <w:rFonts w:ascii="宋体" w:hAnsi="宋体" w:cs="宋体"/>
          <w:sz w:val="30"/>
          <w:szCs w:val="72"/>
        </w:rPr>
      </w:pPr>
    </w:p>
    <w:p>
      <w:pPr>
        <w:widowControl/>
        <w:ind w:left="895" w:leftChars="426" w:right="360"/>
        <w:rPr>
          <w:rFonts w:hAnsi="宋体" w:cs="宋体"/>
          <w:b/>
          <w:bCs/>
          <w:spacing w:val="-6"/>
          <w:sz w:val="30"/>
          <w:szCs w:val="30"/>
        </w:rPr>
      </w:pPr>
      <w:r>
        <w:rPr>
          <w:rFonts w:hint="eastAsia" w:hAnsi="宋体" w:cs="宋体"/>
          <w:b/>
          <w:bCs/>
          <w:sz w:val="30"/>
          <w:szCs w:val="30"/>
        </w:rPr>
        <w:t>项目</w:t>
      </w:r>
      <w:r>
        <w:rPr>
          <w:rFonts w:hint="eastAsia" w:hAnsi="宋体" w:cs="宋体"/>
          <w:b/>
          <w:bCs/>
          <w:w w:val="95"/>
          <w:sz w:val="30"/>
          <w:szCs w:val="30"/>
        </w:rPr>
        <w:t>名称</w:t>
      </w:r>
      <w:r>
        <w:rPr>
          <w:rFonts w:hint="eastAsia" w:hAnsi="宋体" w:cs="宋体"/>
          <w:b/>
          <w:bCs/>
          <w:sz w:val="30"/>
          <w:szCs w:val="30"/>
        </w:rPr>
        <w:t>：</w:t>
      </w:r>
      <w:r>
        <w:rPr>
          <w:rFonts w:hAnsi="宋体" w:cs="宋体"/>
          <w:b/>
          <w:bCs/>
          <w:spacing w:val="-6"/>
          <w:sz w:val="30"/>
          <w:szCs w:val="30"/>
        </w:rPr>
        <w:t xml:space="preserve"> </w:t>
      </w:r>
      <w:r>
        <w:rPr>
          <w:rFonts w:hint="eastAsia" w:hAnsi="宋体" w:cs="宋体"/>
          <w:b/>
          <w:bCs/>
          <w:spacing w:val="-6"/>
          <w:sz w:val="30"/>
          <w:szCs w:val="30"/>
        </w:rPr>
        <w:t>隆安县第三中学江滨校区设备设施采购项目</w:t>
      </w:r>
    </w:p>
    <w:p>
      <w:pPr>
        <w:widowControl/>
        <w:ind w:left="895" w:leftChars="426" w:right="360"/>
        <w:rPr>
          <w:rFonts w:ascii="宋体" w:hAnsi="宋体" w:cs="宋体"/>
          <w:b/>
          <w:color w:val="C00000"/>
          <w:sz w:val="30"/>
          <w:szCs w:val="48"/>
        </w:rPr>
      </w:pPr>
      <w:r>
        <w:rPr>
          <w:rFonts w:hint="eastAsia" w:ascii="宋体" w:hAnsi="宋体" w:cs="宋体"/>
          <w:b/>
          <w:bCs/>
          <w:w w:val="95"/>
          <w:sz w:val="30"/>
          <w:szCs w:val="30"/>
        </w:rPr>
        <w:t>项目</w:t>
      </w:r>
      <w:r>
        <w:rPr>
          <w:rFonts w:hint="eastAsia" w:ascii="宋体" w:hAnsi="宋体" w:cs="宋体"/>
          <w:b/>
          <w:bCs/>
          <w:sz w:val="30"/>
          <w:szCs w:val="30"/>
        </w:rPr>
        <w:t>编号</w:t>
      </w:r>
      <w:r>
        <w:rPr>
          <w:rFonts w:hint="eastAsia" w:ascii="宋体" w:hAnsi="宋体" w:cs="宋体"/>
          <w:b/>
          <w:bCs/>
          <w:w w:val="95"/>
          <w:sz w:val="30"/>
          <w:szCs w:val="30"/>
        </w:rPr>
        <w:t>：</w:t>
      </w:r>
      <w:r>
        <w:rPr>
          <w:rFonts w:hint="eastAsia" w:hAnsi="宋体" w:cs="宋体"/>
          <w:b/>
          <w:bCs/>
          <w:spacing w:val="-6"/>
          <w:sz w:val="30"/>
          <w:szCs w:val="30"/>
        </w:rPr>
        <w:t>NNZC2025-G1-230040-NNSL</w:t>
      </w:r>
    </w:p>
    <w:p>
      <w:pPr>
        <w:snapToGrid w:val="0"/>
        <w:spacing w:before="165" w:beforeLines="50" w:line="360" w:lineRule="auto"/>
        <w:ind w:firstLine="840" w:firstLineChars="279"/>
        <w:rPr>
          <w:rFonts w:ascii="宋体" w:hAnsi="宋体" w:cs="宋体"/>
          <w:b/>
          <w:sz w:val="30"/>
          <w:szCs w:val="48"/>
        </w:rPr>
      </w:pPr>
      <w:r>
        <w:rPr>
          <w:rFonts w:hint="eastAsia" w:ascii="宋体" w:hAnsi="宋体" w:cs="宋体"/>
          <w:b/>
          <w:sz w:val="30"/>
          <w:szCs w:val="48"/>
        </w:rPr>
        <w:t>项目所属区划：</w:t>
      </w:r>
      <w:r>
        <w:rPr>
          <w:rFonts w:hint="eastAsia" w:ascii="宋体" w:hAnsi="宋体" w:cs="宋体"/>
          <w:b/>
          <w:sz w:val="30"/>
          <w:szCs w:val="48"/>
          <w:u w:val="single"/>
        </w:rPr>
        <w:t xml:space="preserve"> 南宁市隆安县 </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 购 人： 隆安县教育局</w:t>
      </w:r>
    </w:p>
    <w:p>
      <w:pPr>
        <w:pStyle w:val="12"/>
        <w:snapToGrid w:val="0"/>
        <w:spacing w:before="50" w:after="120" w:line="360" w:lineRule="auto"/>
        <w:ind w:firstLine="798" w:firstLineChars="279"/>
        <w:rPr>
          <w:rFonts w:hAnsi="宋体" w:cs="宋体"/>
          <w:b/>
          <w:bCs/>
          <w:w w:val="95"/>
          <w:sz w:val="30"/>
          <w:szCs w:val="30"/>
        </w:rPr>
      </w:pPr>
      <w:r>
        <w:rPr>
          <w:rFonts w:hint="eastAsia" w:hAnsi="宋体" w:cs="宋体"/>
          <w:b/>
          <w:bCs/>
          <w:w w:val="95"/>
          <w:sz w:val="30"/>
          <w:szCs w:val="30"/>
        </w:rPr>
        <w:t>采购代理机构：隆安县政府集中采购中心</w:t>
      </w:r>
    </w:p>
    <w:p>
      <w:pPr>
        <w:pStyle w:val="12"/>
        <w:snapToGrid w:val="0"/>
        <w:spacing w:before="50" w:after="120" w:line="360" w:lineRule="auto"/>
        <w:ind w:firstLine="798" w:firstLineChars="279"/>
        <w:rPr>
          <w:rFonts w:hAnsi="宋体" w:cs="宋体"/>
          <w:b/>
          <w:bCs/>
          <w:w w:val="95"/>
          <w:sz w:val="30"/>
          <w:szCs w:val="30"/>
        </w:rPr>
      </w:pPr>
    </w:p>
    <w:p>
      <w:pPr>
        <w:pStyle w:val="12"/>
        <w:snapToGrid w:val="0"/>
        <w:spacing w:before="50" w:after="120" w:line="360" w:lineRule="auto"/>
        <w:ind w:firstLine="841" w:firstLineChars="294"/>
        <w:rPr>
          <w:rFonts w:hAnsi="宋体" w:cs="宋体"/>
          <w:b/>
          <w:bCs/>
          <w:w w:val="95"/>
          <w:sz w:val="30"/>
          <w:szCs w:val="30"/>
        </w:rPr>
        <w:sectPr>
          <w:footerReference r:id="rId3" w:type="default"/>
          <w:footerReference r:id="rId4" w:type="even"/>
          <w:pgSz w:w="11906" w:h="16838"/>
          <w:pgMar w:top="1440" w:right="1080" w:bottom="1440" w:left="1080" w:header="720" w:footer="720" w:gutter="0"/>
          <w:pgNumType w:start="1"/>
          <w:cols w:space="720" w:num="1"/>
          <w:docGrid w:type="lines" w:linePitch="331" w:charSpace="0"/>
        </w:sectPr>
      </w:pPr>
      <w:r>
        <w:rPr>
          <w:rFonts w:hint="eastAsia" w:hAnsi="宋体" w:cs="宋体"/>
          <w:b/>
          <w:bCs/>
          <w:w w:val="95"/>
          <w:sz w:val="30"/>
          <w:szCs w:val="30"/>
        </w:rPr>
        <w:t xml:space="preserve">                     2025年</w:t>
      </w:r>
      <w:r>
        <w:rPr>
          <w:rFonts w:hAnsi="宋体" w:cs="宋体"/>
          <w:b/>
          <w:bCs/>
          <w:w w:val="95"/>
          <w:sz w:val="30"/>
          <w:szCs w:val="30"/>
        </w:rPr>
        <w:t xml:space="preserve"> </w:t>
      </w:r>
      <w:r>
        <w:rPr>
          <w:rFonts w:hint="eastAsia" w:hAnsi="宋体" w:cs="宋体"/>
          <w:b/>
          <w:bCs/>
          <w:w w:val="95"/>
          <w:sz w:val="30"/>
          <w:szCs w:val="30"/>
          <w:lang w:val="en-US" w:eastAsia="zh-CN"/>
        </w:rPr>
        <w:t>7</w:t>
      </w:r>
      <w:r>
        <w:rPr>
          <w:rFonts w:hint="eastAsia" w:hAnsi="宋体" w:cs="宋体"/>
          <w:b/>
          <w:bCs/>
          <w:w w:val="95"/>
          <w:sz w:val="30"/>
          <w:szCs w:val="30"/>
        </w:rPr>
        <w:t>月</w:t>
      </w:r>
    </w:p>
    <w:p>
      <w:pPr>
        <w:pStyle w:val="12"/>
        <w:spacing w:line="360" w:lineRule="auto"/>
        <w:jc w:val="center"/>
        <w:outlineLvl w:val="0"/>
        <w:rPr>
          <w:rFonts w:hAnsi="宋体" w:cs="宋体"/>
          <w:b/>
          <w:sz w:val="36"/>
        </w:rPr>
      </w:pPr>
      <w:bookmarkStart w:id="0" w:name="_Toc5625"/>
      <w:bookmarkStart w:id="1" w:name="_Toc6299"/>
      <w:r>
        <w:rPr>
          <w:rFonts w:hint="eastAsia" w:hAnsi="宋体" w:cs="宋体"/>
          <w:b/>
          <w:sz w:val="36"/>
        </w:rPr>
        <w:t>目     录</w:t>
      </w:r>
      <w:bookmarkEnd w:id="0"/>
      <w:bookmarkEnd w:id="1"/>
    </w:p>
    <w:p>
      <w:pPr>
        <w:pStyle w:val="18"/>
        <w:tabs>
          <w:tab w:val="right" w:leader="dot" w:pos="9746"/>
        </w:tabs>
      </w:pPr>
      <w:r>
        <w:rPr>
          <w:rFonts w:hint="eastAsia" w:ascii="宋体" w:hAnsi="宋体" w:cs="宋体"/>
          <w:b w:val="0"/>
          <w:bCs w:val="0"/>
          <w:caps w:val="0"/>
          <w:sz w:val="28"/>
          <w:szCs w:val="28"/>
        </w:rPr>
        <w:fldChar w:fldCharType="begin"/>
      </w:r>
      <w:r>
        <w:rPr>
          <w:rFonts w:hint="eastAsia" w:ascii="宋体" w:hAnsi="宋体" w:cs="宋体"/>
          <w:b w:val="0"/>
          <w:bCs w:val="0"/>
          <w:caps w:val="0"/>
          <w:sz w:val="28"/>
          <w:szCs w:val="28"/>
        </w:rPr>
        <w:instrText xml:space="preserve"> TOC \o "1-3" \h \z \u </w:instrText>
      </w:r>
      <w:r>
        <w:rPr>
          <w:rFonts w:hint="eastAsia" w:ascii="宋体" w:hAnsi="宋体" w:cs="宋体"/>
          <w:b w:val="0"/>
          <w:bCs w:val="0"/>
          <w:caps w:val="0"/>
          <w:sz w:val="28"/>
          <w:szCs w:val="28"/>
        </w:rPr>
        <w:fldChar w:fldCharType="separate"/>
      </w:r>
      <w:r>
        <w:fldChar w:fldCharType="begin"/>
      </w:r>
      <w:r>
        <w:instrText xml:space="preserve"> HYPERLINK \l "_Toc5625" </w:instrText>
      </w:r>
      <w:r>
        <w:fldChar w:fldCharType="separate"/>
      </w:r>
      <w:r>
        <w:rPr>
          <w:rFonts w:hint="eastAsia" w:hAnsi="宋体" w:cs="宋体"/>
        </w:rPr>
        <w:t>目     录</w:t>
      </w:r>
      <w:r>
        <w:tab/>
      </w:r>
      <w:r>
        <w:fldChar w:fldCharType="begin"/>
      </w:r>
      <w:r>
        <w:instrText xml:space="preserve"> PAGEREF _Toc5625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"_Toc31591" </w:instrText>
      </w:r>
      <w:r>
        <w:fldChar w:fldCharType="separate"/>
      </w:r>
      <w:r>
        <w:rPr>
          <w:rFonts w:hint="eastAsia" w:hAnsi="宋体" w:cs="宋体"/>
        </w:rPr>
        <w:t>第一章  招标公告</w:t>
      </w:r>
      <w:r>
        <w:tab/>
      </w:r>
      <w:r>
        <w:fldChar w:fldCharType="begin"/>
      </w:r>
      <w:r>
        <w:instrText xml:space="preserve"> PAGEREF _Toc31591 \h </w:instrText>
      </w:r>
      <w:r>
        <w:fldChar w:fldCharType="separate"/>
      </w:r>
      <w:r>
        <w:t>1</w:t>
      </w:r>
      <w:r>
        <w:fldChar w:fldCharType="end"/>
      </w:r>
      <w:r>
        <w:fldChar w:fldCharType="end"/>
      </w:r>
    </w:p>
    <w:p>
      <w:pPr>
        <w:pStyle w:val="18"/>
        <w:tabs>
          <w:tab w:val="right" w:leader="dot" w:pos="9746"/>
        </w:tabs>
      </w:pPr>
      <w:r>
        <w:fldChar w:fldCharType="begin"/>
      </w:r>
      <w:r>
        <w:instrText xml:space="preserve"> HYPERLINK \l "_Toc6782" </w:instrText>
      </w:r>
      <w:r>
        <w:fldChar w:fldCharType="separate"/>
      </w:r>
      <w:r>
        <w:rPr>
          <w:rFonts w:hint="eastAsia" w:hAnsi="宋体" w:cs="宋体"/>
        </w:rPr>
        <w:t>第二章  采购需求</w:t>
      </w:r>
      <w:r>
        <w:tab/>
      </w:r>
      <w:r>
        <w:fldChar w:fldCharType="begin"/>
      </w:r>
      <w:r>
        <w:instrText xml:space="preserve"> PAGEREF _Toc6782 \h </w:instrText>
      </w:r>
      <w:r>
        <w:fldChar w:fldCharType="separate"/>
      </w:r>
      <w:r>
        <w:t>5</w:t>
      </w:r>
      <w:r>
        <w:fldChar w:fldCharType="end"/>
      </w:r>
      <w:r>
        <w:fldChar w:fldCharType="end"/>
      </w:r>
    </w:p>
    <w:p>
      <w:pPr>
        <w:pStyle w:val="18"/>
        <w:tabs>
          <w:tab w:val="right" w:leader="dot" w:pos="9746"/>
        </w:tabs>
      </w:pPr>
      <w:r>
        <w:fldChar w:fldCharType="begin"/>
      </w:r>
      <w:r>
        <w:instrText xml:space="preserve"> HYPERLINK \l "_Toc8902" </w:instrText>
      </w:r>
      <w:r>
        <w:fldChar w:fldCharType="separate"/>
      </w:r>
      <w:r>
        <w:rPr>
          <w:rFonts w:hint="eastAsia" w:hAnsi="宋体" w:cs="宋体"/>
        </w:rPr>
        <w:t>第三章  投标人须知</w:t>
      </w:r>
      <w:r>
        <w:tab/>
      </w:r>
      <w:r>
        <w:fldChar w:fldCharType="begin"/>
      </w:r>
      <w:r>
        <w:instrText xml:space="preserve"> PAGEREF _Toc8902 \h </w:instrText>
      </w:r>
      <w:r>
        <w:fldChar w:fldCharType="separate"/>
      </w:r>
      <w:r>
        <w:t>163</w:t>
      </w:r>
      <w:r>
        <w:fldChar w:fldCharType="end"/>
      </w:r>
      <w:r>
        <w:fldChar w:fldCharType="end"/>
      </w:r>
    </w:p>
    <w:p>
      <w:pPr>
        <w:pStyle w:val="20"/>
        <w:tabs>
          <w:tab w:val="right" w:leader="dot" w:pos="9746"/>
        </w:tabs>
      </w:pPr>
      <w:r>
        <w:fldChar w:fldCharType="begin"/>
      </w:r>
      <w:r>
        <w:instrText xml:space="preserve"> HYPERLINK \l "_Toc7735" </w:instrText>
      </w:r>
      <w:r>
        <w:fldChar w:fldCharType="separate"/>
      </w:r>
      <w:r>
        <w:rPr>
          <w:rFonts w:hint="eastAsia" w:hAnsi="宋体" w:cs="宋体"/>
          <w:szCs w:val="30"/>
        </w:rPr>
        <w:t>第一节 投标人须知前附表</w:t>
      </w:r>
      <w:r>
        <w:tab/>
      </w:r>
      <w:r>
        <w:fldChar w:fldCharType="begin"/>
      </w:r>
      <w:r>
        <w:instrText xml:space="preserve"> PAGEREF _Toc7735 \h </w:instrText>
      </w:r>
      <w:r>
        <w:fldChar w:fldCharType="separate"/>
      </w:r>
      <w:r>
        <w:t>163</w:t>
      </w:r>
      <w:r>
        <w:fldChar w:fldCharType="end"/>
      </w:r>
      <w:r>
        <w:fldChar w:fldCharType="end"/>
      </w:r>
    </w:p>
    <w:p>
      <w:pPr>
        <w:pStyle w:val="20"/>
        <w:tabs>
          <w:tab w:val="right" w:leader="dot" w:pos="9746"/>
        </w:tabs>
      </w:pPr>
      <w:r>
        <w:fldChar w:fldCharType="begin"/>
      </w:r>
      <w:r>
        <w:instrText xml:space="preserve"> HYPERLINK \l "_Toc24629" </w:instrText>
      </w:r>
      <w:r>
        <w:fldChar w:fldCharType="separate"/>
      </w:r>
      <w:r>
        <w:rPr>
          <w:rFonts w:hint="eastAsia" w:ascii="宋体" w:hAnsi="宋体" w:cs="宋体"/>
        </w:rPr>
        <w:t>第二节 投标人须知正文</w:t>
      </w:r>
      <w:r>
        <w:tab/>
      </w:r>
      <w:r>
        <w:fldChar w:fldCharType="begin"/>
      </w:r>
      <w:r>
        <w:instrText xml:space="preserve"> PAGEREF _Toc24629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"_Toc27066" </w:instrText>
      </w:r>
      <w:r>
        <w:fldChar w:fldCharType="separate"/>
      </w:r>
      <w:r>
        <w:rPr>
          <w:rFonts w:hint="eastAsia" w:ascii="宋体" w:hAnsi="宋体" w:cs="宋体"/>
        </w:rPr>
        <w:t>一、总  则</w:t>
      </w:r>
      <w:r>
        <w:tab/>
      </w:r>
      <w:r>
        <w:fldChar w:fldCharType="begin"/>
      </w:r>
      <w:r>
        <w:instrText xml:space="preserve"> PAGEREF _Toc27066 \h </w:instrText>
      </w:r>
      <w:r>
        <w:fldChar w:fldCharType="separate"/>
      </w:r>
      <w:r>
        <w:t>170</w:t>
      </w:r>
      <w:r>
        <w:fldChar w:fldCharType="end"/>
      </w:r>
      <w:r>
        <w:fldChar w:fldCharType="end"/>
      </w:r>
    </w:p>
    <w:p>
      <w:pPr>
        <w:pStyle w:val="11"/>
        <w:tabs>
          <w:tab w:val="right" w:leader="dot" w:pos="9746"/>
        </w:tabs>
      </w:pPr>
      <w:r>
        <w:fldChar w:fldCharType="begin"/>
      </w:r>
      <w:r>
        <w:instrText xml:space="preserve"> HYPERLINK \l "_Toc22879" </w:instrText>
      </w:r>
      <w:r>
        <w:fldChar w:fldCharType="separate"/>
      </w:r>
      <w:r>
        <w:rPr>
          <w:rFonts w:hint="eastAsia" w:ascii="宋体" w:hAnsi="宋体" w:cs="宋体"/>
        </w:rPr>
        <w:t>二、招标文件</w:t>
      </w:r>
      <w:r>
        <w:tab/>
      </w:r>
      <w:r>
        <w:fldChar w:fldCharType="begin"/>
      </w:r>
      <w:r>
        <w:instrText xml:space="preserve"> PAGEREF _Toc22879 \h </w:instrText>
      </w:r>
      <w:r>
        <w:fldChar w:fldCharType="separate"/>
      </w:r>
      <w:r>
        <w:t>173</w:t>
      </w:r>
      <w:r>
        <w:fldChar w:fldCharType="end"/>
      </w:r>
      <w:r>
        <w:fldChar w:fldCharType="end"/>
      </w:r>
    </w:p>
    <w:p>
      <w:pPr>
        <w:pStyle w:val="11"/>
        <w:tabs>
          <w:tab w:val="right" w:leader="dot" w:pos="9746"/>
        </w:tabs>
      </w:pPr>
      <w:r>
        <w:fldChar w:fldCharType="begin"/>
      </w:r>
      <w:r>
        <w:instrText xml:space="preserve"> HYPERLINK \l "_Toc13765" </w:instrText>
      </w:r>
      <w:r>
        <w:fldChar w:fldCharType="separate"/>
      </w:r>
      <w:r>
        <w:rPr>
          <w:rFonts w:hint="eastAsia" w:ascii="宋体" w:hAnsi="宋体" w:cs="宋体"/>
        </w:rPr>
        <w:t>三、投标文件的编制</w:t>
      </w:r>
      <w:r>
        <w:tab/>
      </w:r>
      <w:r>
        <w:fldChar w:fldCharType="begin"/>
      </w:r>
      <w:r>
        <w:instrText xml:space="preserve"> PAGEREF _Toc13765 \h </w:instrText>
      </w:r>
      <w:r>
        <w:fldChar w:fldCharType="separate"/>
      </w:r>
      <w:r>
        <w:t>174</w:t>
      </w:r>
      <w:r>
        <w:fldChar w:fldCharType="end"/>
      </w:r>
      <w:r>
        <w:fldChar w:fldCharType="end"/>
      </w:r>
    </w:p>
    <w:p>
      <w:pPr>
        <w:pStyle w:val="11"/>
        <w:tabs>
          <w:tab w:val="right" w:leader="dot" w:pos="9746"/>
        </w:tabs>
      </w:pPr>
      <w:r>
        <w:fldChar w:fldCharType="begin"/>
      </w:r>
      <w:r>
        <w:instrText xml:space="preserve"> HYPERLINK \l "_Toc28352" </w:instrText>
      </w:r>
      <w:r>
        <w:fldChar w:fldCharType="separate"/>
      </w:r>
      <w:r>
        <w:rPr>
          <w:rFonts w:hint="eastAsia" w:ascii="宋体" w:hAnsi="宋体" w:cs="宋体"/>
        </w:rPr>
        <w:t>四、开    标</w:t>
      </w:r>
      <w:r>
        <w:tab/>
      </w:r>
      <w:r>
        <w:fldChar w:fldCharType="begin"/>
      </w:r>
      <w:r>
        <w:instrText xml:space="preserve"> PAGEREF _Toc28352 \h </w:instrText>
      </w:r>
      <w:r>
        <w:fldChar w:fldCharType="separate"/>
      </w:r>
      <w:r>
        <w:t>176</w:t>
      </w:r>
      <w:r>
        <w:fldChar w:fldCharType="end"/>
      </w:r>
      <w:r>
        <w:fldChar w:fldCharType="end"/>
      </w:r>
    </w:p>
    <w:p>
      <w:pPr>
        <w:pStyle w:val="11"/>
        <w:tabs>
          <w:tab w:val="right" w:leader="dot" w:pos="9746"/>
        </w:tabs>
      </w:pPr>
      <w:r>
        <w:fldChar w:fldCharType="begin"/>
      </w:r>
      <w:r>
        <w:instrText xml:space="preserve"> HYPERLINK \l "_Toc10424" </w:instrText>
      </w:r>
      <w:r>
        <w:fldChar w:fldCharType="separate"/>
      </w:r>
      <w:r>
        <w:rPr>
          <w:rFonts w:hint="eastAsia" w:ascii="宋体" w:hAnsi="宋体" w:cs="宋体"/>
        </w:rPr>
        <w:t>五、资格审查</w:t>
      </w:r>
      <w:r>
        <w:tab/>
      </w:r>
      <w:r>
        <w:fldChar w:fldCharType="begin"/>
      </w:r>
      <w:r>
        <w:instrText xml:space="preserve"> PAGEREF _Toc10424 \h </w:instrText>
      </w:r>
      <w:r>
        <w:fldChar w:fldCharType="separate"/>
      </w:r>
      <w:r>
        <w:t>177</w:t>
      </w:r>
      <w:r>
        <w:fldChar w:fldCharType="end"/>
      </w:r>
      <w:r>
        <w:fldChar w:fldCharType="end"/>
      </w:r>
    </w:p>
    <w:p>
      <w:pPr>
        <w:pStyle w:val="11"/>
        <w:tabs>
          <w:tab w:val="right" w:leader="dot" w:pos="9746"/>
        </w:tabs>
      </w:pPr>
      <w:r>
        <w:fldChar w:fldCharType="begin"/>
      </w:r>
      <w:r>
        <w:instrText xml:space="preserve"> HYPERLINK \l "_Toc7622" </w:instrText>
      </w:r>
      <w:r>
        <w:fldChar w:fldCharType="separate"/>
      </w:r>
      <w:r>
        <w:rPr>
          <w:rFonts w:hint="eastAsia" w:ascii="宋体" w:hAnsi="宋体" w:cs="宋体"/>
        </w:rPr>
        <w:t>六、评   标</w:t>
      </w:r>
      <w:r>
        <w:tab/>
      </w:r>
      <w:r>
        <w:fldChar w:fldCharType="begin"/>
      </w:r>
      <w:r>
        <w:instrText xml:space="preserve"> PAGEREF _Toc7622 \h </w:instrText>
      </w:r>
      <w:r>
        <w:fldChar w:fldCharType="separate"/>
      </w:r>
      <w:r>
        <w:t>178</w:t>
      </w:r>
      <w:r>
        <w:fldChar w:fldCharType="end"/>
      </w:r>
      <w:r>
        <w:fldChar w:fldCharType="end"/>
      </w:r>
    </w:p>
    <w:p>
      <w:pPr>
        <w:pStyle w:val="11"/>
        <w:tabs>
          <w:tab w:val="right" w:leader="dot" w:pos="9746"/>
        </w:tabs>
      </w:pPr>
      <w:r>
        <w:fldChar w:fldCharType="begin"/>
      </w:r>
      <w:r>
        <w:instrText xml:space="preserve"> HYPERLINK \l "_Toc8362" </w:instrText>
      </w:r>
      <w:r>
        <w:fldChar w:fldCharType="separate"/>
      </w:r>
      <w:r>
        <w:rPr>
          <w:rFonts w:hint="eastAsia" w:ascii="宋体" w:hAnsi="宋体" w:cs="宋体"/>
        </w:rPr>
        <w:t>七、中标和合同</w:t>
      </w:r>
      <w:r>
        <w:tab/>
      </w:r>
      <w:r>
        <w:fldChar w:fldCharType="begin"/>
      </w:r>
      <w:r>
        <w:instrText xml:space="preserve"> PAGEREF _Toc8362 \h </w:instrText>
      </w:r>
      <w:r>
        <w:fldChar w:fldCharType="separate"/>
      </w:r>
      <w:r>
        <w:t>179</w:t>
      </w:r>
      <w:r>
        <w:fldChar w:fldCharType="end"/>
      </w:r>
      <w:r>
        <w:fldChar w:fldCharType="end"/>
      </w:r>
    </w:p>
    <w:p>
      <w:pPr>
        <w:pStyle w:val="11"/>
        <w:tabs>
          <w:tab w:val="right" w:leader="dot" w:pos="9746"/>
        </w:tabs>
      </w:pPr>
      <w:r>
        <w:fldChar w:fldCharType="begin"/>
      </w:r>
      <w:r>
        <w:instrText xml:space="preserve"> HYPERLINK \l "_Toc20741" </w:instrText>
      </w:r>
      <w:r>
        <w:fldChar w:fldCharType="separate"/>
      </w:r>
      <w:r>
        <w:rPr>
          <w:rFonts w:hint="eastAsia" w:ascii="宋体" w:hAnsi="宋体" w:cs="宋体"/>
        </w:rPr>
        <w:t>八、验收</w:t>
      </w:r>
      <w:r>
        <w:tab/>
      </w:r>
      <w:r>
        <w:fldChar w:fldCharType="begin"/>
      </w:r>
      <w:r>
        <w:instrText xml:space="preserve"> PAGEREF _Toc20741 \h </w:instrText>
      </w:r>
      <w:r>
        <w:fldChar w:fldCharType="separate"/>
      </w:r>
      <w:r>
        <w:t>184</w:t>
      </w:r>
      <w:r>
        <w:fldChar w:fldCharType="end"/>
      </w:r>
      <w:r>
        <w:fldChar w:fldCharType="end"/>
      </w:r>
    </w:p>
    <w:p>
      <w:pPr>
        <w:pStyle w:val="11"/>
        <w:tabs>
          <w:tab w:val="right" w:leader="dot" w:pos="9746"/>
        </w:tabs>
      </w:pPr>
      <w:r>
        <w:fldChar w:fldCharType="begin"/>
      </w:r>
      <w:r>
        <w:instrText xml:space="preserve"> HYPERLINK \l "_Toc14161" </w:instrText>
      </w:r>
      <w:r>
        <w:fldChar w:fldCharType="separate"/>
      </w:r>
      <w:r>
        <w:rPr>
          <w:rFonts w:hint="eastAsia" w:ascii="宋体" w:hAnsi="宋体" w:cs="宋体"/>
        </w:rPr>
        <w:t>九、其他事项</w:t>
      </w:r>
      <w:r>
        <w:tab/>
      </w:r>
      <w:r>
        <w:fldChar w:fldCharType="begin"/>
      </w:r>
      <w:r>
        <w:instrText xml:space="preserve"> PAGEREF _Toc14161 \h </w:instrText>
      </w:r>
      <w:r>
        <w:fldChar w:fldCharType="separate"/>
      </w:r>
      <w:r>
        <w:t>185</w:t>
      </w:r>
      <w:r>
        <w:fldChar w:fldCharType="end"/>
      </w:r>
      <w:r>
        <w:fldChar w:fldCharType="end"/>
      </w:r>
    </w:p>
    <w:p>
      <w:pPr>
        <w:pStyle w:val="18"/>
        <w:tabs>
          <w:tab w:val="right" w:leader="dot" w:pos="9746"/>
        </w:tabs>
      </w:pPr>
      <w:r>
        <w:fldChar w:fldCharType="begin"/>
      </w:r>
      <w:r>
        <w:instrText xml:space="preserve"> HYPERLINK \l "_Toc30466" </w:instrText>
      </w:r>
      <w:r>
        <w:fldChar w:fldCharType="separate"/>
      </w:r>
      <w:r>
        <w:rPr>
          <w:rFonts w:hint="eastAsia" w:hAnsi="宋体" w:cs="宋体"/>
        </w:rPr>
        <w:t>第四章  评标方法及评分标准</w:t>
      </w:r>
      <w:r>
        <w:tab/>
      </w:r>
      <w:r>
        <w:fldChar w:fldCharType="begin"/>
      </w:r>
      <w:r>
        <w:instrText xml:space="preserve"> PAGEREF _Toc30466 \h </w:instrText>
      </w:r>
      <w:r>
        <w:fldChar w:fldCharType="separate"/>
      </w:r>
      <w:r>
        <w:t>187</w:t>
      </w:r>
      <w:r>
        <w:fldChar w:fldCharType="end"/>
      </w:r>
      <w:r>
        <w:fldChar w:fldCharType="end"/>
      </w:r>
    </w:p>
    <w:p>
      <w:pPr>
        <w:pStyle w:val="18"/>
        <w:tabs>
          <w:tab w:val="right" w:leader="dot" w:pos="9746"/>
        </w:tabs>
      </w:pPr>
      <w:r>
        <w:fldChar w:fldCharType="begin"/>
      </w:r>
      <w:r>
        <w:instrText xml:space="preserve"> HYPERLINK \l "_Toc5664" </w:instrText>
      </w:r>
      <w:r>
        <w:fldChar w:fldCharType="separate"/>
      </w:r>
      <w:r>
        <w:rPr>
          <w:rFonts w:hint="eastAsia" w:hAnsi="宋体" w:cs="宋体"/>
        </w:rPr>
        <w:t>第五章 拟签订的合同文本</w:t>
      </w:r>
      <w:r>
        <w:tab/>
      </w:r>
      <w:r>
        <w:fldChar w:fldCharType="begin"/>
      </w:r>
      <w:r>
        <w:instrText xml:space="preserve"> PAGEREF _Toc5664 \h </w:instrText>
      </w:r>
      <w:r>
        <w:fldChar w:fldCharType="separate"/>
      </w:r>
      <w:r>
        <w:t>190</w:t>
      </w:r>
      <w:r>
        <w:fldChar w:fldCharType="end"/>
      </w:r>
      <w:r>
        <w:fldChar w:fldCharType="end"/>
      </w:r>
    </w:p>
    <w:p>
      <w:pPr>
        <w:pStyle w:val="18"/>
        <w:tabs>
          <w:tab w:val="right" w:leader="dot" w:pos="9746"/>
        </w:tabs>
      </w:pPr>
      <w:r>
        <w:fldChar w:fldCharType="begin"/>
      </w:r>
      <w:r>
        <w:instrText xml:space="preserve"> HYPERLINK \l "_Toc15458" </w:instrText>
      </w:r>
      <w:r>
        <w:fldChar w:fldCharType="separate"/>
      </w:r>
      <w:r>
        <w:rPr>
          <w:rFonts w:hint="eastAsia" w:hAnsi="宋体" w:cs="宋体"/>
        </w:rPr>
        <w:t>第六章 投标文件格式</w:t>
      </w:r>
      <w:r>
        <w:tab/>
      </w:r>
      <w:r>
        <w:fldChar w:fldCharType="begin"/>
      </w:r>
      <w:r>
        <w:instrText xml:space="preserve"> PAGEREF _Toc15458 \h </w:instrText>
      </w:r>
      <w:r>
        <w:fldChar w:fldCharType="separate"/>
      </w:r>
      <w:r>
        <w:t>205</w:t>
      </w:r>
      <w:r>
        <w:fldChar w:fldCharType="end"/>
      </w:r>
      <w:r>
        <w:fldChar w:fldCharType="end"/>
      </w:r>
    </w:p>
    <w:p>
      <w:pPr>
        <w:pStyle w:val="20"/>
        <w:tabs>
          <w:tab w:val="right" w:leader="dot" w:pos="9746"/>
        </w:tabs>
      </w:pPr>
      <w:r>
        <w:fldChar w:fldCharType="begin"/>
      </w:r>
      <w:r>
        <w:instrText xml:space="preserve"> HYPERLINK \l "_Toc9276" </w:instrText>
      </w:r>
      <w:r>
        <w:fldChar w:fldCharType="separate"/>
      </w:r>
      <w:r>
        <w:rPr>
          <w:rFonts w:hint="eastAsia" w:hAnsi="宋体" w:cs="宋体"/>
          <w:szCs w:val="28"/>
        </w:rPr>
        <w:t>第一节 投标文件外层包装封面</w:t>
      </w:r>
      <w:r>
        <w:tab/>
      </w:r>
      <w:r>
        <w:fldChar w:fldCharType="begin"/>
      </w:r>
      <w:r>
        <w:instrText xml:space="preserve"> PAGEREF _Toc9276 \h </w:instrText>
      </w:r>
      <w:r>
        <w:fldChar w:fldCharType="separate"/>
      </w:r>
      <w:r>
        <w:t>206</w:t>
      </w:r>
      <w:r>
        <w:fldChar w:fldCharType="end"/>
      </w:r>
      <w:r>
        <w:fldChar w:fldCharType="end"/>
      </w:r>
    </w:p>
    <w:p>
      <w:pPr>
        <w:pStyle w:val="20"/>
        <w:tabs>
          <w:tab w:val="right" w:leader="dot" w:pos="9746"/>
        </w:tabs>
      </w:pPr>
      <w:r>
        <w:fldChar w:fldCharType="begin"/>
      </w:r>
      <w:r>
        <w:instrText xml:space="preserve"> HYPERLINK \l "_Toc27773" </w:instrText>
      </w:r>
      <w:r>
        <w:fldChar w:fldCharType="separate"/>
      </w:r>
      <w:r>
        <w:rPr>
          <w:rFonts w:hint="eastAsia" w:hAnsi="宋体" w:cs="宋体"/>
          <w:szCs w:val="28"/>
        </w:rPr>
        <w:t>第二节 资格证明文件格式</w:t>
      </w:r>
      <w:r>
        <w:tab/>
      </w:r>
      <w:r>
        <w:fldChar w:fldCharType="begin"/>
      </w:r>
      <w:r>
        <w:instrText xml:space="preserve"> PAGEREF _Toc27773 \h </w:instrText>
      </w:r>
      <w:r>
        <w:fldChar w:fldCharType="separate"/>
      </w:r>
      <w:r>
        <w:t>207</w:t>
      </w:r>
      <w:r>
        <w:fldChar w:fldCharType="end"/>
      </w:r>
      <w:r>
        <w:fldChar w:fldCharType="end"/>
      </w:r>
    </w:p>
    <w:p>
      <w:pPr>
        <w:pStyle w:val="20"/>
        <w:tabs>
          <w:tab w:val="right" w:leader="dot" w:pos="9746"/>
        </w:tabs>
      </w:pPr>
      <w:r>
        <w:fldChar w:fldCharType="begin"/>
      </w:r>
      <w:r>
        <w:instrText xml:space="preserve"> HYPERLINK \l "_Toc9533" </w:instrText>
      </w:r>
      <w:r>
        <w:fldChar w:fldCharType="separate"/>
      </w:r>
      <w:r>
        <w:rPr>
          <w:rFonts w:hint="eastAsia" w:hAnsi="宋体" w:cs="宋体"/>
          <w:szCs w:val="28"/>
        </w:rPr>
        <w:t>第三节 商务文件格式</w:t>
      </w:r>
      <w:r>
        <w:tab/>
      </w:r>
      <w:r>
        <w:fldChar w:fldCharType="begin"/>
      </w:r>
      <w:r>
        <w:instrText xml:space="preserve"> PAGEREF _Toc9533 \h </w:instrText>
      </w:r>
      <w:r>
        <w:fldChar w:fldCharType="separate"/>
      </w:r>
      <w:r>
        <w:t>215</w:t>
      </w:r>
      <w:r>
        <w:fldChar w:fldCharType="end"/>
      </w:r>
      <w:r>
        <w:fldChar w:fldCharType="end"/>
      </w:r>
    </w:p>
    <w:p>
      <w:pPr>
        <w:pStyle w:val="20"/>
        <w:tabs>
          <w:tab w:val="right" w:leader="dot" w:pos="9746"/>
        </w:tabs>
      </w:pPr>
      <w:r>
        <w:fldChar w:fldCharType="begin"/>
      </w:r>
      <w:r>
        <w:instrText xml:space="preserve"> HYPERLINK \l "_Toc21416" </w:instrText>
      </w:r>
      <w:r>
        <w:fldChar w:fldCharType="separate"/>
      </w:r>
      <w:r>
        <w:rPr>
          <w:rFonts w:hint="eastAsia" w:hAnsi="宋体" w:cs="宋体"/>
          <w:szCs w:val="28"/>
        </w:rPr>
        <w:t>第四节 技术文件格式</w:t>
      </w:r>
      <w:r>
        <w:tab/>
      </w:r>
      <w:r>
        <w:fldChar w:fldCharType="begin"/>
      </w:r>
      <w:r>
        <w:instrText xml:space="preserve"> PAGEREF _Toc21416 \h </w:instrText>
      </w:r>
      <w:r>
        <w:fldChar w:fldCharType="separate"/>
      </w:r>
      <w:r>
        <w:t>225</w:t>
      </w:r>
      <w:r>
        <w:fldChar w:fldCharType="end"/>
      </w:r>
      <w:r>
        <w:fldChar w:fldCharType="end"/>
      </w:r>
    </w:p>
    <w:p>
      <w:pPr>
        <w:pStyle w:val="20"/>
        <w:tabs>
          <w:tab w:val="right" w:leader="dot" w:pos="9746"/>
        </w:tabs>
      </w:pPr>
      <w:r>
        <w:fldChar w:fldCharType="begin"/>
      </w:r>
      <w:r>
        <w:instrText xml:space="preserve"> HYPERLINK \l "_Toc22229" </w:instrText>
      </w:r>
      <w:r>
        <w:fldChar w:fldCharType="separate"/>
      </w:r>
      <w:r>
        <w:rPr>
          <w:rFonts w:hint="eastAsia" w:hAnsi="宋体" w:cs="宋体"/>
          <w:szCs w:val="28"/>
        </w:rPr>
        <w:t>第五节 报价文件格式</w:t>
      </w:r>
      <w:r>
        <w:tab/>
      </w:r>
      <w:r>
        <w:fldChar w:fldCharType="begin"/>
      </w:r>
      <w:r>
        <w:instrText xml:space="preserve"> PAGEREF _Toc22229 \h </w:instrText>
      </w:r>
      <w:r>
        <w:fldChar w:fldCharType="separate"/>
      </w:r>
      <w:r>
        <w:t>230</w:t>
      </w:r>
      <w:r>
        <w:fldChar w:fldCharType="end"/>
      </w:r>
      <w:r>
        <w:fldChar w:fldCharType="end"/>
      </w:r>
    </w:p>
    <w:p>
      <w:pPr>
        <w:pStyle w:val="18"/>
        <w:tabs>
          <w:tab w:val="right" w:leader="dot" w:pos="9746"/>
        </w:tabs>
      </w:pPr>
      <w:r>
        <w:fldChar w:fldCharType="begin"/>
      </w:r>
      <w:r>
        <w:instrText xml:space="preserve"> HYPERLINK \l "_Toc6325" </w:instrText>
      </w:r>
      <w:r>
        <w:fldChar w:fldCharType="separate"/>
      </w:r>
      <w:r>
        <w:rPr>
          <w:rFonts w:hint="eastAsia" w:hAnsi="宋体" w:cs="宋体"/>
        </w:rPr>
        <w:t>第七章 质疑、投诉，证明材料格式</w:t>
      </w:r>
      <w:r>
        <w:tab/>
      </w:r>
      <w:r>
        <w:fldChar w:fldCharType="begin"/>
      </w:r>
      <w:r>
        <w:instrText xml:space="preserve"> PAGEREF _Toc6325 \h </w:instrText>
      </w:r>
      <w:r>
        <w:fldChar w:fldCharType="separate"/>
      </w:r>
      <w:r>
        <w:t>237</w:t>
      </w:r>
      <w:r>
        <w:fldChar w:fldCharType="end"/>
      </w:r>
      <w:r>
        <w:fldChar w:fldCharType="end"/>
      </w:r>
    </w:p>
    <w:p>
      <w:pPr>
        <w:pStyle w:val="20"/>
        <w:tabs>
          <w:tab w:val="right" w:leader="dot" w:pos="9746"/>
        </w:tabs>
      </w:pPr>
      <w:r>
        <w:fldChar w:fldCharType="begin"/>
      </w:r>
      <w:r>
        <w:instrText xml:space="preserve"> HYPERLINK \l "_Toc19666" </w:instrText>
      </w:r>
      <w:r>
        <w:fldChar w:fldCharType="separate"/>
      </w:r>
      <w:r>
        <w:rPr>
          <w:rFonts w:hint="eastAsia" w:ascii="宋体" w:hAnsi="宋体" w:cs="宋体"/>
          <w:bCs w:val="0"/>
        </w:rPr>
        <w:t>第一节 质疑函（格式）</w:t>
      </w:r>
      <w:r>
        <w:tab/>
      </w:r>
      <w:r>
        <w:fldChar w:fldCharType="begin"/>
      </w:r>
      <w:r>
        <w:instrText xml:space="preserve"> PAGEREF _Toc19666 \h </w:instrText>
      </w:r>
      <w:r>
        <w:fldChar w:fldCharType="separate"/>
      </w:r>
      <w:r>
        <w:t>238</w:t>
      </w:r>
      <w:r>
        <w:fldChar w:fldCharType="end"/>
      </w:r>
      <w:r>
        <w:fldChar w:fldCharType="end"/>
      </w:r>
    </w:p>
    <w:p>
      <w:pPr>
        <w:pStyle w:val="20"/>
        <w:tabs>
          <w:tab w:val="right" w:leader="dot" w:pos="9746"/>
        </w:tabs>
      </w:pPr>
      <w:r>
        <w:fldChar w:fldCharType="begin"/>
      </w:r>
      <w:r>
        <w:instrText xml:space="preserve"> HYPERLINK \l "_Toc28529" </w:instrText>
      </w:r>
      <w:r>
        <w:fldChar w:fldCharType="separate"/>
      </w:r>
      <w:r>
        <w:rPr>
          <w:rFonts w:hint="eastAsia" w:ascii="宋体" w:hAnsi="宋体" w:cs="宋体"/>
          <w:bCs w:val="0"/>
        </w:rPr>
        <w:t>第二节 投诉书（格式）</w:t>
      </w:r>
      <w:r>
        <w:tab/>
      </w:r>
      <w:r>
        <w:fldChar w:fldCharType="begin"/>
      </w:r>
      <w:r>
        <w:instrText xml:space="preserve"> PAGEREF _Toc28529 \h </w:instrText>
      </w:r>
      <w:r>
        <w:fldChar w:fldCharType="separate"/>
      </w:r>
      <w:r>
        <w:t>241</w:t>
      </w:r>
      <w:r>
        <w:fldChar w:fldCharType="end"/>
      </w:r>
      <w:r>
        <w:fldChar w:fldCharType="end"/>
      </w:r>
    </w:p>
    <w:p>
      <w:pPr>
        <w:pStyle w:val="12"/>
        <w:spacing w:line="420" w:lineRule="exact"/>
        <w:jc w:val="center"/>
        <w:rPr>
          <w:rFonts w:hAnsi="宋体" w:cs="宋体"/>
          <w:b/>
          <w:sz w:val="36"/>
        </w:rPr>
        <w:sectPr>
          <w:pgSz w:w="11906" w:h="16838"/>
          <w:pgMar w:top="1440" w:right="1080" w:bottom="1440" w:left="1080" w:header="720" w:footer="720" w:gutter="0"/>
          <w:pgNumType w:start="1"/>
          <w:cols w:space="720" w:num="1"/>
          <w:docGrid w:type="lines" w:linePitch="331" w:charSpace="0"/>
        </w:sectPr>
      </w:pPr>
      <w:r>
        <w:rPr>
          <w:rFonts w:hint="eastAsia" w:hAnsi="宋体" w:cs="宋体"/>
          <w:bCs/>
          <w:caps/>
          <w:szCs w:val="28"/>
          <w:u w:val="single"/>
        </w:rPr>
        <w:fldChar w:fldCharType="end"/>
      </w:r>
      <w:bookmarkStart w:id="2" w:name="_Toc532545041"/>
    </w:p>
    <w:p>
      <w:pPr>
        <w:pStyle w:val="12"/>
        <w:spacing w:line="360" w:lineRule="auto"/>
        <w:jc w:val="center"/>
        <w:outlineLvl w:val="0"/>
        <w:rPr>
          <w:rFonts w:hAnsi="宋体" w:cs="宋体"/>
          <w:b/>
          <w:sz w:val="36"/>
        </w:rPr>
      </w:pPr>
      <w:bookmarkStart w:id="3" w:name="_Toc31591"/>
      <w:r>
        <w:rPr>
          <w:rFonts w:hint="eastAsia" w:hAnsi="宋体" w:cs="宋体"/>
          <w:b/>
          <w:sz w:val="36"/>
        </w:rPr>
        <w:t>第一章  招标公告</w:t>
      </w:r>
      <w:bookmarkEnd w:id="2"/>
      <w:bookmarkEnd w:id="3"/>
    </w:p>
    <w:p>
      <w:pPr>
        <w:pStyle w:val="12"/>
        <w:spacing w:line="360" w:lineRule="auto"/>
        <w:jc w:val="center"/>
        <w:rPr>
          <w:rFonts w:hAnsi="宋体" w:cs="宋体"/>
          <w:b/>
          <w:sz w:val="30"/>
          <w:szCs w:val="30"/>
        </w:rPr>
      </w:pPr>
      <w:r>
        <w:rPr>
          <w:rFonts w:hint="eastAsia" w:hAnsi="宋体" w:cs="宋体"/>
          <w:b/>
          <w:sz w:val="30"/>
          <w:szCs w:val="30"/>
        </w:rPr>
        <w:t>公开招标公告</w:t>
      </w:r>
    </w:p>
    <w:p>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sz w:val="24"/>
        </w:rPr>
      </w:pPr>
      <w:r>
        <w:rPr>
          <w:rFonts w:hint="eastAsia" w:ascii="宋体" w:hAnsi="宋体" w:cs="宋体"/>
          <w:sz w:val="24"/>
        </w:rPr>
        <w:t>项目概况</w:t>
      </w:r>
    </w:p>
    <w:p>
      <w:pPr>
        <w:pBdr>
          <w:top w:val="single" w:color="auto" w:sz="4" w:space="1"/>
          <w:left w:val="single" w:color="auto" w:sz="4" w:space="4"/>
          <w:bottom w:val="single" w:color="auto" w:sz="4" w:space="1"/>
          <w:right w:val="single" w:color="auto" w:sz="4" w:space="4"/>
        </w:pBdr>
        <w:spacing w:line="360" w:lineRule="auto"/>
        <w:ind w:firstLine="525" w:firstLineChars="250"/>
        <w:rPr>
          <w:rFonts w:ascii="宋体" w:hAnsi="宋体" w:cs="宋体"/>
          <w:szCs w:val="21"/>
          <w:u w:val="single"/>
        </w:rPr>
      </w:pPr>
      <w:r>
        <w:rPr>
          <w:rFonts w:hint="eastAsia" w:ascii="宋体" w:hAnsi="宋体" w:cs="宋体"/>
          <w:szCs w:val="21"/>
          <w:u w:val="single"/>
        </w:rPr>
        <w:t xml:space="preserve"> 隆安县第三中学江滨校区设备设施采购项目 </w:t>
      </w:r>
      <w:r>
        <w:rPr>
          <w:rFonts w:hint="eastAsia" w:ascii="宋体" w:hAnsi="宋体" w:cs="宋体"/>
          <w:szCs w:val="21"/>
        </w:rPr>
        <w:t>招标项目的潜在投标人应在“广西政府采购云”平台（https://www.gcy.zfcg.gxzf.gov.cn/）获取（下载）招标文件，并于</w:t>
      </w:r>
      <w:r>
        <w:rPr>
          <w:rFonts w:hint="eastAsia" w:ascii="宋体" w:hAnsi="宋体" w:cs="宋体"/>
          <w:color w:val="0000FF"/>
          <w:szCs w:val="21"/>
          <w:highlight w:val="yellow"/>
          <w:u w:val="single"/>
        </w:rPr>
        <w:t>2025年</w:t>
      </w:r>
      <w:r>
        <w:rPr>
          <w:rFonts w:hint="eastAsia" w:ascii="宋体" w:hAnsi="宋体" w:cs="宋体"/>
          <w:color w:val="0000FF"/>
          <w:szCs w:val="21"/>
          <w:highlight w:val="yellow"/>
          <w:u w:val="single"/>
          <w:lang w:val="en-US" w:eastAsia="zh-CN"/>
        </w:rPr>
        <w:t>8</w:t>
      </w:r>
      <w:r>
        <w:rPr>
          <w:rFonts w:hint="eastAsia" w:ascii="宋体" w:hAnsi="宋体" w:cs="宋体"/>
          <w:color w:val="0000FF"/>
          <w:szCs w:val="21"/>
          <w:highlight w:val="yellow"/>
          <w:u w:val="single"/>
        </w:rPr>
        <w:t>月</w:t>
      </w:r>
      <w:r>
        <w:rPr>
          <w:rFonts w:hint="eastAsia" w:ascii="宋体" w:hAnsi="宋体" w:cs="宋体"/>
          <w:color w:val="0000FF"/>
          <w:szCs w:val="21"/>
          <w:highlight w:val="yellow"/>
          <w:u w:val="single"/>
          <w:lang w:val="en-US" w:eastAsia="zh-CN"/>
        </w:rPr>
        <w:t>7</w:t>
      </w:r>
      <w:r>
        <w:rPr>
          <w:rFonts w:hint="eastAsia" w:ascii="宋体" w:hAnsi="宋体" w:cs="宋体"/>
          <w:color w:val="0000FF"/>
          <w:szCs w:val="21"/>
          <w:highlight w:val="yellow"/>
          <w:u w:val="single"/>
        </w:rPr>
        <w:t>日</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9点30</w:t>
      </w:r>
      <w:r>
        <w:rPr>
          <w:rFonts w:ascii="宋体" w:hAnsi="宋体" w:cs="宋体"/>
          <w:color w:val="0000FF"/>
          <w:szCs w:val="21"/>
          <w:highlight w:val="yellow"/>
          <w:u w:val="single"/>
        </w:rPr>
        <w:t xml:space="preserve"> </w:t>
      </w:r>
      <w:r>
        <w:rPr>
          <w:rFonts w:hint="eastAsia" w:ascii="宋体" w:hAnsi="宋体" w:cs="宋体"/>
          <w:color w:val="0000FF"/>
          <w:szCs w:val="21"/>
          <w:highlight w:val="yellow"/>
          <w:u w:val="single"/>
        </w:rPr>
        <w:t>分</w:t>
      </w:r>
      <w:r>
        <w:rPr>
          <w:rFonts w:hint="eastAsia" w:ascii="宋体" w:hAnsi="宋体" w:cs="宋体"/>
          <w:szCs w:val="21"/>
          <w:u w:val="single"/>
        </w:rPr>
        <w:t>（北京时间）</w:t>
      </w:r>
      <w:r>
        <w:rPr>
          <w:rFonts w:hint="eastAsia" w:ascii="宋体" w:hAnsi="宋体" w:cs="宋体"/>
          <w:bCs/>
          <w:szCs w:val="21"/>
        </w:rPr>
        <w:t>前</w:t>
      </w:r>
      <w:r>
        <w:rPr>
          <w:rFonts w:hint="eastAsia" w:ascii="宋体" w:hAnsi="宋体" w:cs="宋体"/>
          <w:szCs w:val="21"/>
        </w:rPr>
        <w:t>递交（上传）投标文件。</w:t>
      </w:r>
    </w:p>
    <w:p>
      <w:pPr>
        <w:spacing w:line="360" w:lineRule="auto"/>
        <w:rPr>
          <w:rFonts w:ascii="宋体" w:hAnsi="宋体" w:cs="宋体"/>
          <w:b/>
          <w:bCs/>
          <w:sz w:val="24"/>
        </w:rPr>
      </w:pPr>
      <w:bookmarkStart w:id="4" w:name="_Toc28359079"/>
      <w:bookmarkStart w:id="5" w:name="_Toc28359002"/>
      <w:bookmarkStart w:id="6" w:name="_Toc35393621"/>
      <w:bookmarkStart w:id="7" w:name="_Toc35393790"/>
      <w:bookmarkStart w:id="8" w:name="_Hlk24379207"/>
      <w:r>
        <w:rPr>
          <w:rFonts w:hint="eastAsia" w:ascii="宋体" w:hAnsi="宋体" w:cs="宋体"/>
          <w:b/>
          <w:bCs/>
          <w:sz w:val="24"/>
        </w:rPr>
        <w:t>一、项目基本情况</w:t>
      </w:r>
      <w:bookmarkEnd w:id="4"/>
      <w:bookmarkEnd w:id="5"/>
      <w:bookmarkEnd w:id="6"/>
      <w:bookmarkEnd w:id="7"/>
    </w:p>
    <w:p>
      <w:pPr>
        <w:spacing w:line="360" w:lineRule="auto"/>
        <w:ind w:firstLine="420" w:firstLineChars="200"/>
        <w:rPr>
          <w:rFonts w:ascii="宋体" w:hAnsi="宋体" w:cs="宋体"/>
          <w:color w:val="C00000"/>
          <w:szCs w:val="21"/>
          <w:highlight w:val="yellow"/>
        </w:rPr>
      </w:pPr>
      <w:r>
        <w:rPr>
          <w:rFonts w:hint="eastAsia" w:ascii="宋体" w:hAnsi="宋体" w:cs="宋体"/>
          <w:szCs w:val="21"/>
        </w:rPr>
        <w:t>项目编号：NNZC2025-G1-230040-NNSL</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ascii="宋体" w:hAnsi="宋体" w:cs="宋体"/>
          <w:szCs w:val="21"/>
        </w:rPr>
        <w:t xml:space="preserve"> </w:t>
      </w:r>
      <w:bookmarkEnd w:id="8"/>
      <w:r>
        <w:rPr>
          <w:rFonts w:hint="eastAsia" w:ascii="宋体" w:hAnsi="宋体" w:cs="宋体"/>
          <w:szCs w:val="21"/>
        </w:rPr>
        <w:t>隆安县第三中学江滨校区设备设施采购项目</w:t>
      </w:r>
    </w:p>
    <w:p>
      <w:pPr>
        <w:spacing w:line="360" w:lineRule="auto"/>
        <w:ind w:left="420" w:leftChars="200"/>
        <w:rPr>
          <w:rFonts w:ascii="宋体" w:hAnsi="宋体" w:cs="宋体"/>
          <w:szCs w:val="21"/>
          <w:u w:val="single"/>
        </w:rPr>
      </w:pPr>
      <w:r>
        <w:rPr>
          <w:rFonts w:hint="eastAsia" w:ascii="宋体" w:hAnsi="宋体" w:cs="宋体"/>
          <w:szCs w:val="21"/>
        </w:rPr>
        <w:t>预算金额：</w:t>
      </w:r>
      <w:r>
        <w:rPr>
          <w:rFonts w:hint="eastAsia" w:ascii="宋体" w:hAnsi="宋体" w:cs="宋体"/>
          <w:szCs w:val="21"/>
          <w:u w:val="single"/>
        </w:rPr>
        <w:t>517.0566万元</w:t>
      </w:r>
      <w:r>
        <w:rPr>
          <w:rFonts w:hint="eastAsia" w:ascii="宋体" w:hAnsi="宋体" w:cs="宋体"/>
          <w:szCs w:val="21"/>
          <w:u w:val="single"/>
        </w:rPr>
        <w:br w:type="textWrapping"/>
      </w:r>
      <w:r>
        <w:rPr>
          <w:rFonts w:hint="eastAsia" w:ascii="宋体" w:hAnsi="宋体" w:cs="宋体"/>
          <w:szCs w:val="21"/>
          <w:u w:val="single"/>
        </w:rPr>
        <w:t>最高限价：517.0566万元</w:t>
      </w:r>
      <w:r>
        <w:rPr>
          <w:rFonts w:hint="eastAsia" w:ascii="宋体" w:hAnsi="宋体"/>
          <w:color w:val="000000"/>
          <w:szCs w:val="21"/>
        </w:rPr>
        <w:t>（A分标（分标一）</w:t>
      </w:r>
      <w:r>
        <w:rPr>
          <w:rFonts w:hint="eastAsia" w:ascii="宋体" w:hAnsi="宋体"/>
          <w:color w:val="000000"/>
          <w:szCs w:val="21"/>
          <w:u w:val="single"/>
        </w:rPr>
        <w:t xml:space="preserve"> 268.749</w:t>
      </w:r>
      <w:r>
        <w:rPr>
          <w:rFonts w:hint="eastAsia" w:ascii="宋体" w:hAnsi="宋体"/>
          <w:color w:val="000000"/>
          <w:szCs w:val="21"/>
        </w:rPr>
        <w:t>万元；B分标（分标二）：</w:t>
      </w:r>
      <w:r>
        <w:rPr>
          <w:rFonts w:hint="eastAsia" w:ascii="宋体" w:hAnsi="宋体"/>
          <w:color w:val="000000"/>
          <w:szCs w:val="21"/>
          <w:u w:val="single"/>
        </w:rPr>
        <w:t>248.3076</w:t>
      </w:r>
      <w:r>
        <w:rPr>
          <w:rFonts w:hint="eastAsia" w:ascii="宋体" w:hAnsi="宋体"/>
          <w:color w:val="000000"/>
          <w:szCs w:val="21"/>
        </w:rPr>
        <w:t>万元。</w:t>
      </w:r>
    </w:p>
    <w:p>
      <w:pPr>
        <w:spacing w:line="360" w:lineRule="auto"/>
        <w:ind w:firstLine="420" w:firstLineChars="200"/>
        <w:rPr>
          <w:rFonts w:ascii="宋体" w:hAnsi="宋体" w:cs="宋体"/>
          <w:szCs w:val="21"/>
        </w:rPr>
      </w:pPr>
      <w:r>
        <w:rPr>
          <w:rFonts w:hint="eastAsia" w:ascii="宋体" w:hAnsi="宋体" w:cs="宋体"/>
          <w:szCs w:val="21"/>
        </w:rPr>
        <w:t>采购需求：</w:t>
      </w:r>
      <w:bookmarkStart w:id="9" w:name="PO_3000001866_PM004"/>
      <w:r>
        <w:rPr>
          <w:rFonts w:hint="eastAsia" w:ascii="宋体" w:hAnsi="宋体" w:cs="宋体"/>
          <w:szCs w:val="21"/>
        </w:rPr>
        <w:t xml:space="preserve"> </w:t>
      </w:r>
    </w:p>
    <w:bookmarkEnd w:id="9"/>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3727"/>
        <w:gridCol w:w="859"/>
        <w:gridCol w:w="1863"/>
        <w:gridCol w:w="2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pct"/>
          </w:tcPr>
          <w:p>
            <w:pPr>
              <w:spacing w:line="360" w:lineRule="auto"/>
              <w:rPr>
                <w:rFonts w:ascii="宋体" w:hAnsi="宋体"/>
                <w:color w:val="000000"/>
                <w:szCs w:val="21"/>
              </w:rPr>
            </w:pPr>
            <w:r>
              <w:rPr>
                <w:rFonts w:hint="eastAsia" w:ascii="宋体" w:hAnsi="宋体"/>
                <w:color w:val="000000"/>
                <w:szCs w:val="21"/>
              </w:rPr>
              <w:t>分标序号</w:t>
            </w:r>
          </w:p>
        </w:tc>
        <w:tc>
          <w:tcPr>
            <w:tcW w:w="1870" w:type="pct"/>
          </w:tcPr>
          <w:p>
            <w:pPr>
              <w:spacing w:line="360" w:lineRule="auto"/>
              <w:rPr>
                <w:rFonts w:ascii="宋体" w:hAnsi="宋体"/>
                <w:color w:val="000000"/>
                <w:szCs w:val="21"/>
              </w:rPr>
            </w:pPr>
            <w:r>
              <w:rPr>
                <w:rFonts w:hint="eastAsia" w:ascii="宋体" w:hAnsi="宋体"/>
                <w:color w:val="000000"/>
                <w:szCs w:val="21"/>
              </w:rPr>
              <w:t>分标名称</w:t>
            </w:r>
          </w:p>
        </w:tc>
        <w:tc>
          <w:tcPr>
            <w:tcW w:w="431" w:type="pct"/>
          </w:tcPr>
          <w:p>
            <w:pPr>
              <w:spacing w:line="360" w:lineRule="auto"/>
              <w:rPr>
                <w:rFonts w:ascii="宋体" w:hAnsi="宋体"/>
                <w:color w:val="000000"/>
                <w:szCs w:val="21"/>
              </w:rPr>
            </w:pPr>
            <w:r>
              <w:rPr>
                <w:rFonts w:hint="eastAsia" w:ascii="宋体" w:hAnsi="宋体"/>
                <w:color w:val="000000"/>
                <w:szCs w:val="21"/>
              </w:rPr>
              <w:t>数量</w:t>
            </w:r>
          </w:p>
        </w:tc>
        <w:tc>
          <w:tcPr>
            <w:tcW w:w="935" w:type="pct"/>
          </w:tcPr>
          <w:p>
            <w:pPr>
              <w:spacing w:line="360" w:lineRule="auto"/>
              <w:rPr>
                <w:rFonts w:ascii="宋体" w:hAnsi="宋体"/>
                <w:color w:val="000000"/>
                <w:szCs w:val="21"/>
              </w:rPr>
            </w:pPr>
            <w:r>
              <w:rPr>
                <w:rFonts w:hint="eastAsia" w:ascii="宋体" w:hAnsi="宋体"/>
                <w:color w:val="000000"/>
                <w:szCs w:val="21"/>
              </w:rPr>
              <w:t>预算金额</w:t>
            </w:r>
            <w:r>
              <w:rPr>
                <w:rFonts w:ascii="宋体" w:hAnsi="宋体"/>
                <w:color w:val="000000"/>
                <w:szCs w:val="21"/>
              </w:rPr>
              <w:t>(万元)</w:t>
            </w:r>
          </w:p>
        </w:tc>
        <w:tc>
          <w:tcPr>
            <w:tcW w:w="1205" w:type="pct"/>
          </w:tcPr>
          <w:p>
            <w:pPr>
              <w:spacing w:line="360" w:lineRule="auto"/>
              <w:rPr>
                <w:rFonts w:ascii="宋体" w:hAnsi="宋体"/>
                <w:color w:val="000000"/>
                <w:szCs w:val="21"/>
              </w:rPr>
            </w:pPr>
            <w:r>
              <w:rPr>
                <w:rFonts w:hint="eastAsia" w:ascii="宋体" w:hAnsi="宋体"/>
                <w:color w:val="000000"/>
                <w:szCs w:val="21"/>
              </w:rPr>
              <w:t>简要规格描述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1</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隆安县第三中学江滨校区设备设施采购项目（A分标）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268.749</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tcPr>
          <w:p>
            <w:pPr>
              <w:spacing w:line="360" w:lineRule="auto"/>
              <w:jc w:val="center"/>
              <w:rPr>
                <w:rFonts w:ascii="宋体" w:hAnsi="宋体"/>
                <w:color w:val="000000"/>
                <w:szCs w:val="21"/>
              </w:rPr>
            </w:pPr>
            <w:r>
              <w:rPr>
                <w:rFonts w:hint="eastAsia" w:ascii="宋体" w:hAnsi="宋体"/>
                <w:color w:val="000000"/>
                <w:szCs w:val="21"/>
              </w:rPr>
              <w:t>2</w:t>
            </w:r>
          </w:p>
        </w:tc>
        <w:tc>
          <w:tcPr>
            <w:tcW w:w="1870" w:type="pct"/>
          </w:tcPr>
          <w:p>
            <w:pPr>
              <w:spacing w:line="360" w:lineRule="auto"/>
              <w:rPr>
                <w:rFonts w:ascii="宋体" w:hAnsi="宋体"/>
                <w:color w:val="000000"/>
                <w:szCs w:val="21"/>
              </w:rPr>
            </w:pPr>
            <w:r>
              <w:rPr>
                <w:rFonts w:hint="eastAsia" w:ascii="仿宋_GB2312" w:hAnsi="宋体" w:eastAsia="仿宋_GB2312"/>
                <w:b/>
                <w:bCs/>
                <w:color w:val="000000"/>
                <w:sz w:val="30"/>
                <w:szCs w:val="30"/>
              </w:rPr>
              <w:t>隆安县第三中学江滨校区设备设施采购项目（B分标）</w:t>
            </w:r>
          </w:p>
        </w:tc>
        <w:tc>
          <w:tcPr>
            <w:tcW w:w="431" w:type="pct"/>
          </w:tcPr>
          <w:p>
            <w:pPr>
              <w:spacing w:line="360" w:lineRule="auto"/>
              <w:rPr>
                <w:rFonts w:ascii="宋体" w:hAnsi="宋体"/>
                <w:color w:val="000000"/>
                <w:szCs w:val="21"/>
              </w:rPr>
            </w:pPr>
            <w:r>
              <w:rPr>
                <w:rFonts w:ascii="宋体" w:hAnsi="宋体"/>
                <w:color w:val="000000"/>
                <w:szCs w:val="21"/>
              </w:rPr>
              <w:t>1</w:t>
            </w:r>
            <w:r>
              <w:rPr>
                <w:rFonts w:hint="eastAsia" w:ascii="宋体" w:hAnsi="宋体"/>
                <w:color w:val="000000"/>
                <w:szCs w:val="21"/>
              </w:rPr>
              <w:t>项</w:t>
            </w:r>
          </w:p>
        </w:tc>
        <w:tc>
          <w:tcPr>
            <w:tcW w:w="935" w:type="pct"/>
          </w:tcPr>
          <w:p>
            <w:pPr>
              <w:spacing w:line="360" w:lineRule="auto"/>
              <w:rPr>
                <w:rFonts w:ascii="宋体" w:hAnsi="宋体"/>
                <w:color w:val="000000"/>
                <w:szCs w:val="21"/>
              </w:rPr>
            </w:pPr>
            <w:r>
              <w:rPr>
                <w:rFonts w:hint="eastAsia" w:ascii="宋体" w:hAnsi="宋体"/>
                <w:color w:val="000000"/>
                <w:szCs w:val="21"/>
                <w:u w:val="single"/>
              </w:rPr>
              <w:t>248.3076</w:t>
            </w:r>
          </w:p>
        </w:tc>
        <w:tc>
          <w:tcPr>
            <w:tcW w:w="1205" w:type="pct"/>
          </w:tcPr>
          <w:p>
            <w:pPr>
              <w:spacing w:line="360" w:lineRule="auto"/>
              <w:rPr>
                <w:rFonts w:ascii="宋体" w:hAnsi="宋体"/>
                <w:color w:val="000000"/>
                <w:szCs w:val="21"/>
              </w:rPr>
            </w:pPr>
            <w:r>
              <w:rPr>
                <w:rFonts w:hint="eastAsia" w:ascii="宋体" w:hAnsi="宋体"/>
                <w:color w:val="000000"/>
                <w:szCs w:val="21"/>
              </w:rPr>
              <w:t>详见招标文件第二章</w:t>
            </w:r>
          </w:p>
        </w:tc>
      </w:tr>
    </w:tbl>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u w:val="single"/>
        </w:rPr>
      </w:pPr>
      <w:r>
        <w:rPr>
          <w:rFonts w:hint="eastAsia" w:ascii="宋体" w:hAnsi="宋体" w:cs="宋体"/>
          <w:szCs w:val="21"/>
        </w:rPr>
        <w:t>合同履行期限：</w:t>
      </w:r>
      <w:r>
        <w:rPr>
          <w:rFonts w:hint="eastAsia" w:ascii="宋体" w:hAnsi="宋体"/>
          <w:color w:val="000000"/>
          <w:szCs w:val="21"/>
        </w:rPr>
        <w:t>详见招标文件第二章商务条款。</w:t>
      </w:r>
    </w:p>
    <w:p>
      <w:pPr>
        <w:spacing w:line="360" w:lineRule="auto"/>
        <w:ind w:firstLine="420" w:firstLineChars="200"/>
        <w:rPr>
          <w:rFonts w:ascii="宋体" w:hAnsi="宋体" w:cs="宋体"/>
          <w:szCs w:val="21"/>
        </w:rPr>
      </w:pPr>
      <w:r>
        <w:rPr>
          <w:rFonts w:hint="eastAsia" w:ascii="宋体" w:hAnsi="宋体" w:cs="宋体"/>
          <w:szCs w:val="21"/>
        </w:rPr>
        <w:t>本项目是否接受联合体投标：□是</w:t>
      </w:r>
      <w:r>
        <w:rPr>
          <w:rFonts w:hint="eastAsia" w:ascii="宋体" w:hAnsi="宋体" w:cs="宋体"/>
          <w:b/>
          <w:bCs/>
          <w:szCs w:val="21"/>
        </w:rPr>
        <w:t>/☑否</w:t>
      </w:r>
    </w:p>
    <w:p>
      <w:pPr>
        <w:spacing w:line="360" w:lineRule="auto"/>
        <w:rPr>
          <w:rFonts w:ascii="宋体" w:hAnsi="宋体" w:cs="宋体"/>
          <w:b/>
          <w:bCs/>
          <w:sz w:val="24"/>
        </w:rPr>
      </w:pPr>
      <w:bookmarkStart w:id="10" w:name="_Toc28359080"/>
      <w:bookmarkStart w:id="11" w:name="_Toc35393791"/>
      <w:bookmarkStart w:id="12" w:name="_Toc28359003"/>
      <w:bookmarkStart w:id="13" w:name="_Toc35393622"/>
      <w:r>
        <w:rPr>
          <w:rFonts w:hint="eastAsia" w:ascii="宋体" w:hAnsi="宋体" w:cs="宋体"/>
          <w:b/>
          <w:bCs/>
          <w:sz w:val="24"/>
        </w:rPr>
        <w:t>二、投标人的资格要求：</w:t>
      </w:r>
      <w:bookmarkEnd w:id="10"/>
      <w:bookmarkEnd w:id="11"/>
      <w:bookmarkEnd w:id="12"/>
      <w:bookmarkEnd w:id="13"/>
    </w:p>
    <w:p>
      <w:pPr>
        <w:spacing w:line="360" w:lineRule="auto"/>
        <w:ind w:firstLine="420" w:firstLineChars="200"/>
        <w:rPr>
          <w:rFonts w:ascii="宋体" w:hAnsi="宋体" w:cs="宋体"/>
          <w:szCs w:val="21"/>
        </w:rPr>
      </w:pPr>
      <w:r>
        <w:rPr>
          <w:rFonts w:hint="eastAsia" w:ascii="宋体" w:hAnsi="宋体" w:cs="宋体"/>
          <w:szCs w:val="21"/>
        </w:rPr>
        <w:t>1.满足《中华人民共和国政府采购法》第二十二条规定；</w:t>
      </w:r>
    </w:p>
    <w:p>
      <w:pPr>
        <w:spacing w:line="360" w:lineRule="auto"/>
        <w:ind w:firstLine="420" w:firstLineChars="200"/>
        <w:rPr>
          <w:rFonts w:ascii="宋体" w:hAnsi="宋体" w:cs="宋体"/>
          <w:szCs w:val="21"/>
        </w:rPr>
      </w:pPr>
      <w:bookmarkStart w:id="14" w:name="_Toc28359081"/>
      <w:bookmarkStart w:id="15" w:name="_Toc28359004"/>
      <w:r>
        <w:rPr>
          <w:rFonts w:hint="eastAsia" w:ascii="宋体" w:hAnsi="宋体" w:cs="宋体"/>
          <w:szCs w:val="21"/>
        </w:rPr>
        <w:t>2.落实政府采购政策需满足的资格要求。</w:t>
      </w:r>
    </w:p>
    <w:p>
      <w:pPr>
        <w:spacing w:line="360" w:lineRule="auto"/>
        <w:ind w:firstLine="420" w:firstLineChars="200"/>
        <w:rPr>
          <w:rFonts w:ascii="宋体" w:hAnsi="宋体" w:cs="宋体"/>
          <w:szCs w:val="21"/>
        </w:rPr>
      </w:pPr>
      <w:r>
        <w:rPr>
          <w:rFonts w:hint="eastAsia" w:ascii="宋体" w:hAnsi="宋体" w:cs="宋体"/>
          <w:szCs w:val="21"/>
        </w:rPr>
        <w:t>□专门面向中小企业采购的项目（供应商应为中小微企业、监狱企业、残疾人福利性单位）</w:t>
      </w:r>
    </w:p>
    <w:p>
      <w:pPr>
        <w:spacing w:line="360" w:lineRule="auto"/>
        <w:ind w:firstLine="422" w:firstLineChars="200"/>
        <w:rPr>
          <w:rFonts w:ascii="宋体" w:hAnsi="宋体" w:cs="宋体"/>
          <w:b/>
          <w:bCs/>
          <w:szCs w:val="21"/>
        </w:rPr>
      </w:pPr>
      <w:r>
        <w:rPr>
          <w:rFonts w:hint="eastAsia" w:ascii="宋体" w:hAnsi="宋体" w:cs="宋体"/>
          <w:b/>
          <w:bCs/>
          <w:szCs w:val="21"/>
        </w:rPr>
        <w:t>☑非专门面向中小企业采购的项目</w:t>
      </w:r>
    </w:p>
    <w:p>
      <w:pPr>
        <w:spacing w:line="360" w:lineRule="auto"/>
        <w:ind w:firstLine="420" w:firstLineChars="200"/>
        <w:rPr>
          <w:rFonts w:ascii="宋体" w:hAnsi="宋体"/>
          <w:color w:val="000000"/>
          <w:szCs w:val="21"/>
        </w:rPr>
      </w:pPr>
      <w:r>
        <w:rPr>
          <w:rFonts w:hint="eastAsia" w:ascii="宋体" w:hAnsi="宋体"/>
          <w:color w:val="000000"/>
          <w:szCs w:val="21"/>
        </w:rPr>
        <w:t>3.A分标(1分标)</w:t>
      </w:r>
      <w:r>
        <w:rPr>
          <w:rFonts w:hint="eastAsia" w:ascii="宋体" w:hAnsi="宋体" w:cs="宋体"/>
          <w:szCs w:val="21"/>
        </w:rPr>
        <w:t>特定资格要求：</w:t>
      </w:r>
      <w:r>
        <w:rPr>
          <w:rFonts w:hint="eastAsia" w:ascii="宋体" w:hAnsi="宋体" w:cs="宋体"/>
          <w:szCs w:val="21"/>
          <w:u w:val="single"/>
        </w:rPr>
        <w:t>无。</w:t>
      </w:r>
    </w:p>
    <w:p>
      <w:pPr>
        <w:pStyle w:val="9"/>
        <w:ind w:left="3570" w:leftChars="400" w:hanging="2730" w:hangingChars="1300"/>
      </w:pPr>
      <w:r>
        <w:rPr>
          <w:rFonts w:hint="eastAsia" w:ascii="宋体" w:hAnsi="宋体"/>
          <w:color w:val="000000"/>
          <w:szCs w:val="21"/>
        </w:rPr>
        <w:t>B分标(2分标)</w:t>
      </w:r>
      <w:r>
        <w:rPr>
          <w:rFonts w:hint="eastAsia" w:ascii="宋体" w:hAnsi="宋体" w:cs="宋体"/>
          <w:szCs w:val="21"/>
        </w:rPr>
        <w:t>特定资格要求：</w:t>
      </w:r>
      <w:r>
        <w:rPr>
          <w:rFonts w:hint="eastAsia" w:ascii="宋体" w:hAnsi="宋体" w:cs="宋体"/>
          <w:szCs w:val="21"/>
          <w:u w:val="single"/>
        </w:rPr>
        <w:t>无</w:t>
      </w:r>
    </w:p>
    <w:p>
      <w:pPr>
        <w:spacing w:line="360" w:lineRule="auto"/>
        <w:ind w:firstLine="420" w:firstLineChars="200"/>
        <w:rPr>
          <w:rFonts w:ascii="宋体" w:hAnsi="宋体" w:cs="宋体"/>
          <w:szCs w:val="21"/>
        </w:rPr>
      </w:pPr>
      <w:r>
        <w:rPr>
          <w:rFonts w:hint="eastAsia" w:ascii="宋体" w:hAnsi="宋体" w:cs="宋体"/>
          <w:szCs w:val="21"/>
        </w:rPr>
        <w:t>4.本项目的特定条件：</w:t>
      </w:r>
      <w:r>
        <w:rPr>
          <w:rFonts w:hint="eastAsia" w:ascii="宋体" w:hAnsi="宋体" w:cs="宋体"/>
          <w:szCs w:val="21"/>
          <w:u w:val="single"/>
        </w:rPr>
        <w:t xml:space="preserve">无 </w:t>
      </w:r>
      <w:r>
        <w:rPr>
          <w:rFonts w:hint="eastAsia" w:ascii="宋体" w:hAnsi="宋体" w:cs="宋体"/>
          <w:szCs w:val="21"/>
        </w:rPr>
        <w:t>。</w:t>
      </w:r>
    </w:p>
    <w:p>
      <w:pPr>
        <w:snapToGrid w:val="0"/>
        <w:spacing w:line="360" w:lineRule="auto"/>
        <w:ind w:firstLine="420"/>
        <w:jc w:val="left"/>
        <w:rPr>
          <w:rFonts w:ascii="宋体" w:hAnsi="宋体" w:cs="宋体"/>
          <w:szCs w:val="21"/>
        </w:rPr>
      </w:pPr>
      <w:r>
        <w:rPr>
          <w:rFonts w:hint="eastAsia" w:ascii="宋体" w:hAnsi="宋体" w:cs="宋体"/>
          <w:szCs w:val="21"/>
        </w:rPr>
        <w:t>5.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pPr>
        <w:spacing w:line="360" w:lineRule="auto"/>
        <w:ind w:firstLine="420" w:firstLineChars="200"/>
        <w:rPr>
          <w:rFonts w:ascii="宋体" w:hAnsi="宋体" w:cs="宋体"/>
          <w:szCs w:val="21"/>
        </w:rPr>
      </w:pPr>
      <w:r>
        <w:rPr>
          <w:rFonts w:hint="eastAsia" w:ascii="宋体" w:hAnsi="宋体" w:cs="宋体"/>
          <w:szCs w:val="21"/>
        </w:rPr>
        <w:t>6.对在“信用中国”网站（www.creditchina.gov.cn)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pPr>
        <w:spacing w:line="360" w:lineRule="auto"/>
        <w:rPr>
          <w:rFonts w:ascii="宋体" w:hAnsi="宋体" w:cs="宋体"/>
          <w:b/>
          <w:bCs/>
          <w:sz w:val="24"/>
        </w:rPr>
      </w:pPr>
      <w:bookmarkStart w:id="16" w:name="_Toc35393623"/>
      <w:bookmarkStart w:id="17" w:name="_Toc35393792"/>
      <w:r>
        <w:rPr>
          <w:rFonts w:hint="eastAsia" w:ascii="宋体" w:hAnsi="宋体" w:cs="宋体"/>
          <w:b/>
          <w:bCs/>
          <w:sz w:val="24"/>
        </w:rPr>
        <w:t>三、获取招标文件</w:t>
      </w:r>
      <w:bookmarkEnd w:id="14"/>
      <w:bookmarkEnd w:id="15"/>
      <w:bookmarkEnd w:id="16"/>
      <w:bookmarkEnd w:id="17"/>
    </w:p>
    <w:p>
      <w:pPr>
        <w:snapToGrid w:val="0"/>
        <w:spacing w:line="360" w:lineRule="auto"/>
        <w:ind w:firstLine="472" w:firstLineChars="225"/>
        <w:rPr>
          <w:rFonts w:ascii="宋体" w:hAnsi="宋体" w:cs="宋体"/>
          <w:szCs w:val="21"/>
        </w:rPr>
      </w:pPr>
      <w:bookmarkStart w:id="18" w:name="_Toc28359005"/>
      <w:bookmarkStart w:id="19" w:name="_Toc28359082"/>
      <w:bookmarkStart w:id="20" w:name="_Toc35393793"/>
      <w:bookmarkStart w:id="21" w:name="_Toc35393624"/>
      <w:r>
        <w:rPr>
          <w:rFonts w:hint="eastAsia" w:ascii="宋体" w:hAnsi="宋体" w:cs="宋体"/>
          <w:szCs w:val="21"/>
        </w:rPr>
        <w:t>时间：自公告发布之日起。</w:t>
      </w:r>
    </w:p>
    <w:p>
      <w:pPr>
        <w:spacing w:line="360" w:lineRule="auto"/>
        <w:ind w:firstLine="420" w:firstLineChars="200"/>
        <w:rPr>
          <w:rFonts w:ascii="黑体" w:hAnsi="黑体" w:eastAsia="黑体"/>
          <w:b/>
          <w:bCs/>
          <w:color w:val="000000"/>
          <w:sz w:val="24"/>
        </w:rPr>
      </w:pPr>
      <w:r>
        <w:rPr>
          <w:rFonts w:hint="eastAsia" w:ascii="宋体" w:hAnsi="宋体"/>
          <w:color w:val="000000"/>
          <w:szCs w:val="21"/>
        </w:rPr>
        <w:t>获取方式:网上下载。本项目不发放纸质文件，供应商可自行在</w:t>
      </w:r>
      <w:r>
        <w:fldChar w:fldCharType="begin"/>
      </w:r>
      <w:r>
        <w:instrText xml:space="preserve"> HYPERLINK </w:instrText>
      </w:r>
      <w:r>
        <w:fldChar w:fldCharType="separate"/>
      </w:r>
      <w:r>
        <w:fldChar w:fldCharType="end"/>
      </w:r>
      <w:r>
        <w:rPr>
          <w:rFonts w:hint="eastAsia" w:ascii="宋体" w:hAnsi="宋体"/>
          <w:color w:val="000000"/>
          <w:szCs w:val="21"/>
        </w:rPr>
        <w:t>“广西政府采购云”平台（</w:t>
      </w:r>
      <w:r>
        <w:rPr>
          <w:rFonts w:hint="eastAsia" w:ascii="仿宋_GB2312" w:hAnsi="仿宋" w:eastAsia="仿宋_GB2312"/>
          <w:snapToGrid w:val="0"/>
        </w:rPr>
        <w:t>https://www.gcy.zfcg.gxzf.gov.cn/</w:t>
      </w:r>
      <w:r>
        <w:rPr>
          <w:rFonts w:hint="eastAsia" w:ascii="宋体" w:hAnsi="宋体"/>
          <w:color w:val="000000"/>
          <w:szCs w:val="21"/>
        </w:rPr>
        <w:t>）下载招标文件（操作路径：登录“广西政府采购云”平台-项目采购-获取采购文件-找到本项目-点击“申请获取采购文件”），电子投标文件制作需要基于“广西政府采购云”平台（</w:t>
      </w:r>
      <w:r>
        <w:rPr>
          <w:rFonts w:hint="eastAsia" w:ascii="仿宋_GB2312" w:hAnsi="仿宋" w:eastAsia="仿宋_GB2312"/>
          <w:snapToGrid w:val="0"/>
        </w:rPr>
        <w:t>https://www.gcy.zfcg.gxzf.gov.cn/</w:t>
      </w:r>
      <w:r>
        <w:rPr>
          <w:rFonts w:hint="eastAsia" w:ascii="宋体" w:hAnsi="宋体"/>
          <w:color w:val="000000"/>
          <w:szCs w:val="21"/>
        </w:rPr>
        <w:t>）获取的招标文件编制。</w:t>
      </w:r>
    </w:p>
    <w:p>
      <w:pPr>
        <w:spacing w:line="360" w:lineRule="auto"/>
        <w:rPr>
          <w:rFonts w:ascii="宋体" w:hAnsi="宋体" w:cs="宋体"/>
          <w:b/>
          <w:bCs/>
          <w:sz w:val="24"/>
        </w:rPr>
      </w:pPr>
      <w:r>
        <w:rPr>
          <w:rFonts w:hint="eastAsia" w:ascii="宋体" w:hAnsi="宋体" w:cs="宋体"/>
          <w:b/>
          <w:bCs/>
          <w:sz w:val="24"/>
        </w:rPr>
        <w:t>四、提交投标文件</w:t>
      </w:r>
      <w:bookmarkEnd w:id="18"/>
      <w:bookmarkEnd w:id="19"/>
      <w:r>
        <w:rPr>
          <w:rFonts w:hint="eastAsia" w:ascii="宋体" w:hAnsi="宋体" w:cs="宋体"/>
          <w:b/>
          <w:bCs/>
          <w:sz w:val="24"/>
        </w:rPr>
        <w:t>截止时间、开标时间和地点</w:t>
      </w:r>
      <w:bookmarkEnd w:id="20"/>
      <w:bookmarkEnd w:id="21"/>
    </w:p>
    <w:p>
      <w:pPr>
        <w:spacing w:line="360" w:lineRule="auto"/>
        <w:ind w:firstLine="420" w:firstLineChars="200"/>
        <w:rPr>
          <w:rFonts w:ascii="宋体" w:hAnsi="宋体" w:cs="宋体"/>
          <w:szCs w:val="21"/>
          <w:u w:val="single"/>
        </w:rPr>
      </w:pPr>
      <w:r>
        <w:rPr>
          <w:rFonts w:hint="eastAsia" w:ascii="宋体" w:hAnsi="宋体" w:cs="宋体"/>
          <w:bCs/>
          <w:szCs w:val="21"/>
        </w:rPr>
        <w:t>1、提交投标文件截止时间和开标时间</w:t>
      </w:r>
      <w:r>
        <w:rPr>
          <w:rFonts w:hint="eastAsia" w:ascii="宋体" w:hAnsi="宋体" w:cs="宋体"/>
          <w:bCs/>
          <w:szCs w:val="21"/>
          <w:highlight w:val="yellow"/>
        </w:rPr>
        <w:t>：</w:t>
      </w:r>
      <w:r>
        <w:rPr>
          <w:rFonts w:hint="eastAsia" w:ascii="宋体" w:hAnsi="宋体" w:cs="宋体"/>
          <w:bCs/>
          <w:color w:val="0000FF"/>
          <w:szCs w:val="21"/>
          <w:highlight w:val="yellow"/>
          <w:u w:val="single"/>
        </w:rPr>
        <w:t>2025年</w:t>
      </w:r>
      <w:r>
        <w:rPr>
          <w:rFonts w:hint="eastAsia" w:ascii="宋体" w:hAnsi="宋体" w:cs="宋体"/>
          <w:bCs/>
          <w:color w:val="0000FF"/>
          <w:szCs w:val="21"/>
          <w:highlight w:val="yellow"/>
          <w:u w:val="single"/>
          <w:lang w:val="en-US" w:eastAsia="zh-CN"/>
        </w:rPr>
        <w:t>8</w:t>
      </w:r>
      <w:r>
        <w:rPr>
          <w:rFonts w:hint="eastAsia" w:ascii="宋体" w:hAnsi="宋体" w:cs="宋体"/>
          <w:bCs/>
          <w:color w:val="0000FF"/>
          <w:szCs w:val="21"/>
          <w:highlight w:val="yellow"/>
          <w:u w:val="single"/>
        </w:rPr>
        <w:t>月</w:t>
      </w:r>
      <w:r>
        <w:rPr>
          <w:rFonts w:hint="eastAsia" w:ascii="宋体" w:hAnsi="宋体" w:cs="宋体"/>
          <w:bCs/>
          <w:color w:val="0000FF"/>
          <w:szCs w:val="21"/>
          <w:highlight w:val="yellow"/>
          <w:u w:val="single"/>
          <w:lang w:val="en-US" w:eastAsia="zh-CN"/>
        </w:rPr>
        <w:t>7</w:t>
      </w:r>
      <w:r>
        <w:rPr>
          <w:rFonts w:hint="eastAsia" w:ascii="宋体" w:hAnsi="宋体" w:cs="宋体"/>
          <w:bCs/>
          <w:color w:val="0000FF"/>
          <w:szCs w:val="21"/>
          <w:highlight w:val="yellow"/>
          <w:u w:val="single"/>
        </w:rPr>
        <w:t>日</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9点</w:t>
      </w:r>
      <w:r>
        <w:rPr>
          <w:rFonts w:ascii="宋体" w:hAnsi="宋体" w:cs="宋体"/>
          <w:bCs/>
          <w:color w:val="0000FF"/>
          <w:szCs w:val="21"/>
          <w:highlight w:val="yellow"/>
          <w:u w:val="single"/>
        </w:rPr>
        <w:t xml:space="preserve"> </w:t>
      </w:r>
      <w:r>
        <w:rPr>
          <w:rFonts w:hint="eastAsia" w:ascii="宋体" w:hAnsi="宋体" w:cs="宋体"/>
          <w:bCs/>
          <w:color w:val="0000FF"/>
          <w:szCs w:val="21"/>
          <w:highlight w:val="yellow"/>
          <w:u w:val="single"/>
        </w:rPr>
        <w:t>30分</w:t>
      </w:r>
      <w:r>
        <w:rPr>
          <w:rFonts w:hint="eastAsia" w:ascii="宋体" w:hAnsi="宋体" w:cs="宋体"/>
          <w:bCs/>
          <w:szCs w:val="21"/>
          <w:highlight w:val="yellow"/>
        </w:rPr>
        <w:t>（北京时间）</w:t>
      </w:r>
    </w:p>
    <w:p>
      <w:pPr>
        <w:spacing w:line="360" w:lineRule="auto"/>
        <w:ind w:firstLine="420" w:firstLineChars="200"/>
        <w:rPr>
          <w:rFonts w:ascii="宋体" w:hAnsi="宋体" w:cs="宋体"/>
          <w:szCs w:val="21"/>
        </w:rPr>
      </w:pPr>
      <w:r>
        <w:rPr>
          <w:rFonts w:hint="eastAsia" w:ascii="宋体" w:hAnsi="宋体" w:cs="宋体"/>
          <w:szCs w:val="21"/>
        </w:rPr>
        <w:t>2、投标和开标地点：</w:t>
      </w:r>
      <w:bookmarkStart w:id="315" w:name="_GoBack"/>
      <w:bookmarkEnd w:id="315"/>
    </w:p>
    <w:p>
      <w:pPr>
        <w:spacing w:line="360" w:lineRule="auto"/>
        <w:rPr>
          <w:rFonts w:ascii="宋体" w:hAnsi="宋体" w:cs="宋体"/>
          <w:szCs w:val="21"/>
        </w:rPr>
      </w:pPr>
      <w:bookmarkStart w:id="22" w:name="_Toc35393794"/>
      <w:bookmarkStart w:id="23" w:name="_Toc28359084"/>
      <w:bookmarkStart w:id="24" w:name="_Toc28359007"/>
      <w:bookmarkStart w:id="25" w:name="_Toc35393625"/>
      <w:r>
        <w:rPr>
          <w:rFonts w:hint="eastAsia" w:ascii="宋体" w:hAnsi="宋体" w:cs="宋体"/>
          <w:szCs w:val="21"/>
        </w:rPr>
        <w:t>（1）投标文件提交方式：本项目为南宁市全流程电子化项目，通过“广西政府采购云”平台（https://www.gcy.zfcg.gxzf.gov.cn/）实行在线电子投标，供应商应先安装“广西政府采购云电子交易客户端”（请自行前往“广西政府采购云”平台进行下载），并按照本项目招标文件和“广西政府采购云”平台的要求编制、加密后在投标截止时间前通过网络上传至南宁市“广西政府采购云”平台，供应商在“广西政府采购云”平台提交电子版投标文件时，请填写参加远程开标活动经办人联系方式，电子投标具体操作流程详见本公告附件2。</w:t>
      </w:r>
    </w:p>
    <w:p>
      <w:pPr>
        <w:spacing w:line="360" w:lineRule="auto"/>
        <w:rPr>
          <w:rFonts w:ascii="宋体" w:hAnsi="宋体" w:cs="宋体"/>
          <w:szCs w:val="21"/>
        </w:rPr>
      </w:pPr>
      <w:r>
        <w:rPr>
          <w:rFonts w:hint="eastAsia" w:ascii="宋体" w:hAnsi="宋体" w:cs="宋体"/>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投标人只需办理其中一家CA数字证书及签章，建议各投标人抓紧时间办理。</w:t>
      </w:r>
    </w:p>
    <w:p>
      <w:pPr>
        <w:spacing w:line="360" w:lineRule="auto"/>
        <w:rPr>
          <w:rFonts w:ascii="宋体" w:hAnsi="宋体" w:cs="宋体"/>
          <w:szCs w:val="21"/>
        </w:rPr>
      </w:pPr>
      <w:r>
        <w:rPr>
          <w:rFonts w:hint="eastAsia" w:ascii="宋体" w:hAnsi="宋体" w:cs="宋体"/>
          <w:szCs w:val="21"/>
        </w:rPr>
        <w:t>（3）为确保网上操作合法、有效和安全，请投标供应商确保在电子投标过程中能够对相关数据电文进行加密和使用电子签章，妥善保管CA数字证书并使用有效的CA数字证书参与整个招标活动。</w:t>
      </w:r>
    </w:p>
    <w:p>
      <w:pPr>
        <w:spacing w:line="360" w:lineRule="auto"/>
        <w:rPr>
          <w:rFonts w:ascii="宋体" w:hAnsi="宋体" w:cs="宋体"/>
          <w:szCs w:val="21"/>
        </w:rPr>
      </w:pPr>
      <w:r>
        <w:rPr>
          <w:rFonts w:hint="eastAsia" w:ascii="宋体" w:hAnsi="宋体" w:cs="宋体"/>
          <w:szCs w:val="21"/>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pPr>
        <w:spacing w:line="360" w:lineRule="auto"/>
        <w:rPr>
          <w:rFonts w:ascii="宋体" w:hAnsi="宋体" w:cs="宋体"/>
          <w:szCs w:val="21"/>
        </w:rPr>
      </w:pPr>
      <w:r>
        <w:rPr>
          <w:rFonts w:hint="eastAsia" w:ascii="宋体" w:hAnsi="宋体" w:cs="宋体"/>
          <w:szCs w:val="21"/>
        </w:rPr>
        <w:t>（4）开标地点：本次招标将于</w:t>
      </w:r>
      <w:r>
        <w:rPr>
          <w:rFonts w:hint="eastAsia" w:ascii="宋体" w:hAnsi="宋体" w:cs="宋体"/>
          <w:color w:val="FF0000"/>
          <w:szCs w:val="21"/>
          <w:highlight w:val="yellow"/>
          <w:u w:val="single"/>
        </w:rPr>
        <w:t>2025年</w:t>
      </w:r>
      <w:r>
        <w:rPr>
          <w:rFonts w:hint="eastAsia" w:ascii="宋体" w:hAnsi="宋体" w:cs="宋体"/>
          <w:color w:val="FF0000"/>
          <w:szCs w:val="21"/>
          <w:highlight w:val="yellow"/>
          <w:u w:val="single"/>
          <w:lang w:val="en-US" w:eastAsia="zh-CN"/>
        </w:rPr>
        <w:t>8</w:t>
      </w:r>
      <w:r>
        <w:rPr>
          <w:rFonts w:hint="eastAsia" w:ascii="宋体" w:hAnsi="宋体" w:cs="宋体"/>
          <w:color w:val="FF0000"/>
          <w:szCs w:val="21"/>
          <w:highlight w:val="yellow"/>
          <w:u w:val="single"/>
        </w:rPr>
        <w:t>月</w:t>
      </w:r>
      <w:r>
        <w:rPr>
          <w:rFonts w:hint="eastAsia" w:ascii="宋体" w:hAnsi="宋体" w:cs="宋体"/>
          <w:color w:val="FF0000"/>
          <w:szCs w:val="21"/>
          <w:highlight w:val="yellow"/>
          <w:u w:val="single"/>
          <w:lang w:val="en-US" w:eastAsia="zh-CN"/>
        </w:rPr>
        <w:t>7</w:t>
      </w:r>
      <w:r>
        <w:rPr>
          <w:rFonts w:hint="eastAsia" w:ascii="宋体" w:hAnsi="宋体" w:cs="宋体"/>
          <w:color w:val="FF0000"/>
          <w:szCs w:val="21"/>
          <w:highlight w:val="yellow"/>
          <w:u w:val="single"/>
        </w:rPr>
        <w:t>日9时30</w:t>
      </w:r>
      <w:r>
        <w:rPr>
          <w:rFonts w:hint="eastAsia" w:ascii="宋体" w:hAnsi="宋体" w:cs="宋体"/>
          <w:szCs w:val="21"/>
        </w:rPr>
        <w:t>分在“广西政府采购云”平台电子开标大厅开标。</w:t>
      </w:r>
    </w:p>
    <w:p>
      <w:pPr>
        <w:spacing w:line="360" w:lineRule="auto"/>
        <w:rPr>
          <w:rFonts w:ascii="宋体" w:hAnsi="宋体" w:cs="宋体"/>
          <w:szCs w:val="21"/>
        </w:rPr>
      </w:pPr>
      <w:r>
        <w:rPr>
          <w:rFonts w:hint="eastAsia" w:ascii="宋体" w:hAnsi="宋体" w:cs="宋体"/>
          <w:szCs w:val="21"/>
        </w:rPr>
        <w:t>（5）CA证书在线解密：供应商投标时，需携带制作投标文件时用来加密的有效数字证书（CA认证）登录“广西政府采购云”平台电子开标大厅现场按规定时间对加密的投标文件进行解密，未能按要求进行解密的，由此产生的后果由投标人自行承担。</w:t>
      </w:r>
    </w:p>
    <w:p>
      <w:pPr>
        <w:spacing w:line="360" w:lineRule="auto"/>
        <w:rPr>
          <w:rFonts w:ascii="宋体" w:hAnsi="宋体" w:cs="宋体"/>
          <w:b/>
          <w:bCs/>
          <w:sz w:val="24"/>
        </w:rPr>
      </w:pPr>
      <w:r>
        <w:rPr>
          <w:rFonts w:hint="eastAsia" w:ascii="宋体" w:hAnsi="宋体" w:cs="宋体"/>
          <w:b/>
          <w:bCs/>
          <w:sz w:val="24"/>
        </w:rPr>
        <w:t>五、公告期限</w:t>
      </w:r>
      <w:bookmarkEnd w:id="22"/>
      <w:bookmarkEnd w:id="23"/>
      <w:bookmarkEnd w:id="24"/>
      <w:bookmarkEnd w:id="25"/>
    </w:p>
    <w:p>
      <w:pPr>
        <w:spacing w:line="360" w:lineRule="auto"/>
        <w:ind w:firstLine="420" w:firstLineChars="200"/>
        <w:rPr>
          <w:rFonts w:ascii="宋体" w:hAnsi="宋体" w:cs="宋体"/>
          <w:kern w:val="0"/>
          <w:szCs w:val="21"/>
        </w:rPr>
      </w:pPr>
      <w:r>
        <w:rPr>
          <w:rFonts w:hint="eastAsia" w:ascii="宋体" w:hAnsi="宋体" w:cs="宋体"/>
          <w:kern w:val="0"/>
          <w:szCs w:val="21"/>
        </w:rPr>
        <w:t>自本公告发布之日起</w:t>
      </w:r>
      <w:r>
        <w:rPr>
          <w:rFonts w:hint="eastAsia" w:ascii="宋体" w:hAnsi="宋体" w:cs="宋体"/>
          <w:kern w:val="0"/>
          <w:szCs w:val="21"/>
          <w:lang w:val="en-US" w:eastAsia="zh-CN"/>
        </w:rPr>
        <w:t>5</w:t>
      </w:r>
      <w:r>
        <w:rPr>
          <w:rFonts w:hint="eastAsia" w:ascii="宋体" w:hAnsi="宋体" w:cs="宋体"/>
          <w:kern w:val="0"/>
          <w:szCs w:val="21"/>
        </w:rPr>
        <w:t>个工作日。</w:t>
      </w:r>
    </w:p>
    <w:p>
      <w:pPr>
        <w:spacing w:line="360" w:lineRule="auto"/>
        <w:rPr>
          <w:rFonts w:ascii="宋体" w:hAnsi="宋体" w:cs="宋体"/>
          <w:b/>
          <w:bCs/>
          <w:sz w:val="24"/>
        </w:rPr>
      </w:pPr>
      <w:bookmarkStart w:id="26" w:name="_Toc35393795"/>
      <w:bookmarkStart w:id="27" w:name="_Toc35393626"/>
      <w:r>
        <w:rPr>
          <w:rFonts w:hint="eastAsia" w:ascii="宋体" w:hAnsi="宋体" w:cs="宋体"/>
          <w:b/>
          <w:bCs/>
          <w:sz w:val="24"/>
        </w:rPr>
        <w:t>六、其他补充事宜</w:t>
      </w:r>
      <w:bookmarkEnd w:id="26"/>
      <w:bookmarkEnd w:id="27"/>
    </w:p>
    <w:p>
      <w:pPr>
        <w:spacing w:line="360" w:lineRule="auto"/>
        <w:ind w:firstLine="315" w:firstLineChars="150"/>
        <w:rPr>
          <w:rFonts w:ascii="宋体" w:hAnsi="宋体" w:cs="宋体"/>
          <w:kern w:val="0"/>
          <w:szCs w:val="21"/>
        </w:rPr>
      </w:pPr>
      <w:r>
        <w:rPr>
          <w:rFonts w:hint="eastAsia" w:ascii="宋体" w:hAnsi="宋体" w:cs="宋体"/>
          <w:kern w:val="0"/>
          <w:szCs w:val="21"/>
        </w:rPr>
        <w:t>（一）投标保证金：本项目不收取投标保证金</w:t>
      </w:r>
    </w:p>
    <w:p>
      <w:pPr>
        <w:wordWrap w:val="0"/>
        <w:spacing w:line="360" w:lineRule="auto"/>
        <w:ind w:firstLine="315" w:firstLineChars="150"/>
        <w:jc w:val="left"/>
        <w:rPr>
          <w:rFonts w:ascii="宋体" w:hAnsi="宋体" w:cs="宋体"/>
          <w:kern w:val="0"/>
          <w:szCs w:val="21"/>
          <w:u w:val="single"/>
        </w:rPr>
      </w:pPr>
      <w:r>
        <w:rPr>
          <w:rFonts w:hint="eastAsia" w:ascii="宋体" w:hAnsi="宋体" w:cs="宋体"/>
          <w:kern w:val="0"/>
          <w:szCs w:val="21"/>
        </w:rPr>
        <w:t>（二）采购意向公开链接：https://zfcg.gxzf.gov.cn/site/detail?parentId=66601&amp;articleId=jbvRkuOlt4zb9sJ4plTPSg==</w:t>
      </w:r>
    </w:p>
    <w:p>
      <w:pPr>
        <w:spacing w:line="360" w:lineRule="auto"/>
        <w:ind w:firstLine="315" w:firstLineChars="150"/>
        <w:rPr>
          <w:rFonts w:ascii="宋体" w:hAnsi="宋体" w:cs="宋体"/>
          <w:kern w:val="0"/>
          <w:szCs w:val="21"/>
        </w:rPr>
      </w:pPr>
      <w:bookmarkStart w:id="28" w:name="_Hlk37429585"/>
      <w:r>
        <w:rPr>
          <w:rFonts w:hint="eastAsia" w:ascii="宋体" w:hAnsi="宋体" w:cs="宋体"/>
          <w:szCs w:val="21"/>
        </w:rPr>
        <w:t xml:space="preserve">（三） </w:t>
      </w:r>
      <w:bookmarkStart w:id="29" w:name="_Hlk37429595"/>
      <w:r>
        <w:rPr>
          <w:rFonts w:hint="eastAsia" w:ascii="宋体" w:hAnsi="宋体" w:cs="宋体"/>
          <w:kern w:val="0"/>
          <w:szCs w:val="21"/>
        </w:rPr>
        <w:t>网上查询地址</w:t>
      </w:r>
    </w:p>
    <w:bookmarkEnd w:id="28"/>
    <w:bookmarkEnd w:id="29"/>
    <w:p>
      <w:pPr>
        <w:spacing w:line="360" w:lineRule="auto"/>
        <w:ind w:firstLine="420" w:firstLineChars="200"/>
        <w:rPr>
          <w:rFonts w:ascii="宋体" w:hAnsi="宋体" w:cs="宋体"/>
          <w:kern w:val="0"/>
          <w:szCs w:val="21"/>
        </w:rPr>
      </w:pPr>
      <w:bookmarkStart w:id="30" w:name="_Hlk37429674"/>
      <w:r>
        <w:rPr>
          <w:rFonts w:hint="eastAsia" w:ascii="宋体" w:hAnsi="宋体" w:cs="宋体"/>
          <w:kern w:val="0"/>
          <w:szCs w:val="21"/>
        </w:rPr>
        <w:t xml:space="preserve">http://www.ccgp.gov.cn（中国政府采购网）,http://zfcg.gxzf.gov.cn（广西政府采购网）, </w:t>
      </w:r>
      <w:r>
        <w:fldChar w:fldCharType="begin"/>
      </w:r>
      <w:r>
        <w:instrText xml:space="preserve"> HYPERLINK "http://ggzy.nanning.gov.cn/" </w:instrText>
      </w:r>
      <w:r>
        <w:fldChar w:fldCharType="separate"/>
      </w:r>
      <w:r>
        <w:rPr>
          <w:rStyle w:val="29"/>
          <w:rFonts w:hint="eastAsia" w:ascii="宋体" w:hAnsi="宋体" w:cs="宋体"/>
          <w:color w:val="auto"/>
          <w:kern w:val="0"/>
          <w:szCs w:val="21"/>
          <w:u w:val="none"/>
        </w:rPr>
        <w:t>http://ggzy.nanning.gov.cn/</w:t>
      </w:r>
      <w:r>
        <w:rPr>
          <w:rStyle w:val="29"/>
          <w:rFonts w:hint="eastAsia" w:ascii="宋体" w:hAnsi="宋体" w:cs="宋体"/>
          <w:color w:val="auto"/>
          <w:kern w:val="0"/>
          <w:szCs w:val="21"/>
          <w:u w:val="none"/>
        </w:rPr>
        <w:fldChar w:fldCharType="end"/>
      </w:r>
      <w:r>
        <w:rPr>
          <w:rFonts w:hint="eastAsia" w:ascii="宋体" w:hAnsi="宋体" w:cs="宋体"/>
          <w:kern w:val="0"/>
          <w:szCs w:val="21"/>
        </w:rPr>
        <w:t>（广西南宁市公共资源交易中心网站）</w:t>
      </w:r>
    </w:p>
    <w:p>
      <w:pPr>
        <w:spacing w:line="360" w:lineRule="auto"/>
        <w:ind w:firstLine="315" w:firstLineChars="150"/>
        <w:rPr>
          <w:rFonts w:ascii="宋体" w:hAnsi="宋体" w:cs="宋体"/>
          <w:kern w:val="0"/>
          <w:szCs w:val="21"/>
        </w:rPr>
      </w:pPr>
      <w:r>
        <w:rPr>
          <w:rFonts w:hint="eastAsia" w:ascii="宋体" w:hAnsi="宋体" w:cs="宋体"/>
          <w:kern w:val="0"/>
          <w:szCs w:val="21"/>
        </w:rPr>
        <w:t>（四）本项目需要落实的政府采购政策：</w:t>
      </w:r>
    </w:p>
    <w:p>
      <w:pPr>
        <w:spacing w:line="360" w:lineRule="auto"/>
        <w:ind w:firstLine="420" w:firstLineChars="200"/>
        <w:rPr>
          <w:rFonts w:ascii="宋体" w:hAnsi="宋体" w:cs="宋体"/>
          <w:kern w:val="0"/>
          <w:szCs w:val="21"/>
        </w:rPr>
      </w:pPr>
      <w:r>
        <w:rPr>
          <w:rFonts w:hint="eastAsia" w:ascii="宋体" w:hAnsi="宋体" w:cs="宋体"/>
          <w:kern w:val="0"/>
          <w:szCs w:val="21"/>
        </w:rPr>
        <w:t>（1）政府采购促进中小企业发展。</w:t>
      </w:r>
    </w:p>
    <w:p>
      <w:pPr>
        <w:spacing w:line="360" w:lineRule="auto"/>
        <w:ind w:firstLine="420" w:firstLineChars="200"/>
        <w:rPr>
          <w:rFonts w:ascii="宋体" w:hAnsi="宋体" w:cs="宋体"/>
          <w:kern w:val="0"/>
          <w:szCs w:val="21"/>
        </w:rPr>
      </w:pPr>
      <w:r>
        <w:rPr>
          <w:rFonts w:hint="eastAsia" w:ascii="宋体" w:hAnsi="宋体" w:cs="宋体"/>
          <w:kern w:val="0"/>
          <w:szCs w:val="21"/>
        </w:rPr>
        <w:t>（2）政府采购支持采用本国产品的政策。</w:t>
      </w:r>
    </w:p>
    <w:p>
      <w:pPr>
        <w:spacing w:line="360" w:lineRule="auto"/>
        <w:ind w:firstLine="420" w:firstLineChars="200"/>
        <w:rPr>
          <w:rFonts w:ascii="宋体" w:hAnsi="宋体" w:cs="宋体"/>
          <w:kern w:val="0"/>
          <w:szCs w:val="21"/>
        </w:rPr>
      </w:pPr>
      <w:r>
        <w:rPr>
          <w:rFonts w:hint="eastAsia" w:ascii="宋体" w:hAnsi="宋体" w:cs="宋体"/>
          <w:kern w:val="0"/>
          <w:szCs w:val="21"/>
        </w:rPr>
        <w:t>（3）强制采购节能产品；优先采购节能产品、环境标志产品。</w:t>
      </w:r>
    </w:p>
    <w:p>
      <w:pPr>
        <w:spacing w:line="360" w:lineRule="auto"/>
        <w:ind w:firstLine="420" w:firstLineChars="200"/>
        <w:rPr>
          <w:rFonts w:ascii="宋体" w:hAnsi="宋体" w:cs="宋体"/>
          <w:kern w:val="0"/>
          <w:szCs w:val="21"/>
        </w:rPr>
      </w:pPr>
      <w:r>
        <w:rPr>
          <w:rFonts w:hint="eastAsia" w:ascii="宋体" w:hAnsi="宋体" w:cs="宋体"/>
          <w:kern w:val="0"/>
          <w:szCs w:val="21"/>
        </w:rPr>
        <w:t>（4）政府采购促进残疾人就业政策。</w:t>
      </w:r>
    </w:p>
    <w:p>
      <w:pPr>
        <w:spacing w:line="360" w:lineRule="auto"/>
        <w:ind w:firstLine="420" w:firstLineChars="200"/>
        <w:rPr>
          <w:rFonts w:ascii="宋体" w:hAnsi="宋体" w:cs="宋体"/>
          <w:kern w:val="0"/>
          <w:szCs w:val="21"/>
        </w:rPr>
      </w:pPr>
      <w:r>
        <w:rPr>
          <w:rFonts w:hint="eastAsia" w:ascii="宋体" w:hAnsi="宋体" w:cs="宋体"/>
          <w:kern w:val="0"/>
          <w:szCs w:val="21"/>
        </w:rPr>
        <w:t>（5）政府采购支持监狱企业发展。</w:t>
      </w:r>
    </w:p>
    <w:bookmarkEnd w:id="30"/>
    <w:p>
      <w:pPr>
        <w:spacing w:line="360" w:lineRule="auto"/>
        <w:ind w:firstLine="315" w:firstLineChars="150"/>
        <w:rPr>
          <w:rFonts w:ascii="宋体" w:hAnsi="宋体" w:cs="宋体"/>
          <w:kern w:val="0"/>
          <w:szCs w:val="21"/>
        </w:rPr>
      </w:pPr>
      <w:r>
        <w:rPr>
          <w:rFonts w:hint="eastAsia" w:ascii="宋体" w:hAnsi="宋体" w:cs="宋体"/>
          <w:kern w:val="0"/>
          <w:szCs w:val="21"/>
        </w:rPr>
        <w:t>（五）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pPr>
        <w:spacing w:line="360" w:lineRule="auto"/>
        <w:ind w:firstLine="420" w:firstLineChars="200"/>
        <w:rPr>
          <w:rFonts w:ascii="宋体" w:hAnsi="宋体" w:cs="宋体"/>
          <w:kern w:val="0"/>
          <w:szCs w:val="21"/>
        </w:rPr>
      </w:pPr>
      <w:r>
        <w:rPr>
          <w:rFonts w:hint="eastAsia" w:ascii="宋体" w:hAnsi="宋体" w:cs="宋体"/>
          <w:kern w:val="0"/>
          <w:szCs w:val="21"/>
        </w:rPr>
        <w:t>（六）若对项目采购电子交易系统操作有疑问，可登录“广西政府采购云”平台（https://www.gcy.zfcg.gxzf.gov.cn/），点击右侧咨询小采，获取采小蜜智能服务管家帮助，或拨打广西政府采购云服务热线95763获取热线服务帮助。</w:t>
      </w:r>
    </w:p>
    <w:p>
      <w:pPr>
        <w:spacing w:line="360" w:lineRule="auto"/>
        <w:rPr>
          <w:rFonts w:ascii="宋体" w:hAnsi="宋体" w:cs="宋体"/>
          <w:b/>
          <w:bCs/>
          <w:sz w:val="24"/>
        </w:rPr>
      </w:pPr>
      <w:bookmarkStart w:id="31" w:name="_Toc28359085"/>
      <w:bookmarkStart w:id="32" w:name="_Toc28359008"/>
      <w:bookmarkStart w:id="33" w:name="_Toc35393627"/>
      <w:bookmarkStart w:id="34" w:name="_Toc35393796"/>
      <w:r>
        <w:rPr>
          <w:rFonts w:hint="eastAsia" w:ascii="宋体" w:hAnsi="宋体" w:cs="宋体"/>
          <w:b/>
          <w:bCs/>
          <w:sz w:val="24"/>
        </w:rPr>
        <w:t>七、对本次招标提出询问，请按以下方式联系。</w:t>
      </w:r>
      <w:bookmarkEnd w:id="31"/>
      <w:bookmarkEnd w:id="32"/>
      <w:bookmarkEnd w:id="33"/>
      <w:bookmarkEnd w:id="34"/>
    </w:p>
    <w:p>
      <w:pPr>
        <w:spacing w:line="360" w:lineRule="auto"/>
        <w:jc w:val="left"/>
        <w:rPr>
          <w:rFonts w:ascii="宋体" w:hAnsi="宋体" w:cs="宋体"/>
          <w:szCs w:val="21"/>
        </w:rPr>
      </w:pPr>
      <w:r>
        <w:rPr>
          <w:rFonts w:hint="eastAsia" w:ascii="宋体" w:hAnsi="宋体" w:cs="宋体"/>
          <w:szCs w:val="21"/>
        </w:rPr>
        <w:t>　　　1.采购人信息</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名称：</w:t>
      </w:r>
      <w:r>
        <w:rPr>
          <w:rFonts w:hint="eastAsia" w:ascii="宋体" w:hAnsi="宋体" w:cs="宋体"/>
          <w:szCs w:val="21"/>
          <w:u w:val="single"/>
        </w:rPr>
        <w:t>隆安县教育局</w:t>
      </w:r>
    </w:p>
    <w:p>
      <w:pPr>
        <w:spacing w:line="360" w:lineRule="auto"/>
        <w:ind w:left="1041" w:leftChars="371" w:hanging="262" w:hangingChars="125"/>
        <w:jc w:val="left"/>
        <w:rPr>
          <w:rFonts w:ascii="宋体" w:hAnsi="宋体" w:cs="宋体"/>
          <w:szCs w:val="21"/>
        </w:rPr>
      </w:pPr>
      <w:r>
        <w:rPr>
          <w:rFonts w:hint="eastAsia" w:ascii="宋体" w:hAnsi="宋体" w:cs="宋体"/>
          <w:szCs w:val="21"/>
        </w:rPr>
        <w:t>地址：</w:t>
      </w:r>
      <w:r>
        <w:rPr>
          <w:rFonts w:hint="eastAsia" w:ascii="宋体" w:hAnsi="宋体" w:cs="宋体"/>
          <w:szCs w:val="21"/>
          <w:u w:val="single"/>
        </w:rPr>
        <w:t>隆安县城厢镇江滨路22号</w:t>
      </w:r>
    </w:p>
    <w:p>
      <w:pPr>
        <w:pStyle w:val="12"/>
        <w:spacing w:line="360" w:lineRule="auto"/>
        <w:ind w:firstLine="735" w:firstLineChars="350"/>
        <w:rPr>
          <w:rFonts w:hAnsi="宋体" w:cs="宋体"/>
        </w:rPr>
      </w:pPr>
      <w:r>
        <w:rPr>
          <w:rFonts w:hint="eastAsia" w:hAnsi="宋体" w:cs="宋体"/>
        </w:rPr>
        <w:t>项目联系人：李老师</w:t>
      </w:r>
    </w:p>
    <w:p>
      <w:pPr>
        <w:spacing w:line="360" w:lineRule="auto"/>
        <w:ind w:left="1041" w:leftChars="371" w:hanging="262" w:hangingChars="125"/>
        <w:jc w:val="left"/>
        <w:rPr>
          <w:rFonts w:ascii="宋体" w:hAnsi="宋体" w:cs="宋体"/>
          <w:szCs w:val="21"/>
          <w:u w:val="single"/>
        </w:rPr>
      </w:pPr>
      <w:r>
        <w:rPr>
          <w:rFonts w:hint="eastAsia" w:ascii="宋体" w:hAnsi="宋体" w:cs="宋体"/>
          <w:szCs w:val="21"/>
        </w:rPr>
        <w:t>联系电话：</w:t>
      </w:r>
      <w:r>
        <w:rPr>
          <w:rFonts w:hint="eastAsia" w:ascii="宋体" w:hAnsi="宋体" w:cs="宋体"/>
          <w:szCs w:val="21"/>
          <w:u w:val="single"/>
        </w:rPr>
        <w:t>0771-6528701</w:t>
      </w:r>
    </w:p>
    <w:p>
      <w:pPr>
        <w:spacing w:line="360" w:lineRule="auto"/>
        <w:ind w:left="1041" w:leftChars="371" w:hanging="262" w:hangingChars="125"/>
        <w:jc w:val="left"/>
        <w:rPr>
          <w:rFonts w:ascii="宋体" w:hAnsi="宋体" w:cs="宋体"/>
          <w:szCs w:val="21"/>
        </w:rPr>
      </w:pPr>
      <w:r>
        <w:rPr>
          <w:rFonts w:hint="eastAsia" w:ascii="宋体" w:hAnsi="宋体" w:cs="宋体"/>
          <w:szCs w:val="21"/>
        </w:rPr>
        <w:t>2.采购代理机构信息</w:t>
      </w:r>
    </w:p>
    <w:p>
      <w:pPr>
        <w:spacing w:line="360" w:lineRule="auto"/>
        <w:ind w:firstLine="735" w:firstLineChars="350"/>
        <w:rPr>
          <w:rFonts w:ascii="宋体" w:hAnsi="宋体" w:cs="宋体"/>
          <w:szCs w:val="21"/>
          <w:u w:val="single"/>
        </w:rPr>
      </w:pPr>
      <w:r>
        <w:rPr>
          <w:rFonts w:hint="eastAsia" w:ascii="宋体" w:hAnsi="宋体" w:cs="宋体"/>
          <w:szCs w:val="21"/>
        </w:rPr>
        <w:t>名 称：</w:t>
      </w:r>
      <w:r>
        <w:rPr>
          <w:rFonts w:hint="eastAsia" w:ascii="宋体" w:hAnsi="宋体" w:cs="宋体"/>
          <w:szCs w:val="21"/>
          <w:u w:val="single"/>
        </w:rPr>
        <w:t>隆安县政府集中采购中心</w:t>
      </w:r>
    </w:p>
    <w:p>
      <w:pPr>
        <w:spacing w:line="360" w:lineRule="auto"/>
        <w:ind w:firstLine="735" w:firstLineChars="350"/>
        <w:rPr>
          <w:rFonts w:ascii="宋体" w:hAnsi="宋体" w:cs="宋体"/>
          <w:szCs w:val="21"/>
        </w:rPr>
      </w:pPr>
      <w:r>
        <w:rPr>
          <w:rFonts w:hint="eastAsia" w:ascii="宋体" w:hAnsi="宋体" w:cs="宋体"/>
          <w:szCs w:val="21"/>
        </w:rPr>
        <w:t>地　址：隆安县城厢镇城南路14号</w:t>
      </w:r>
    </w:p>
    <w:p>
      <w:pPr>
        <w:spacing w:line="360" w:lineRule="auto"/>
        <w:ind w:firstLine="735" w:firstLineChars="350"/>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p>
    <w:p>
      <w:pPr>
        <w:spacing w:line="360" w:lineRule="auto"/>
        <w:ind w:firstLine="735" w:firstLineChars="350"/>
        <w:rPr>
          <w:rFonts w:ascii="宋体" w:hAnsi="宋体" w:cs="宋体"/>
          <w:szCs w:val="21"/>
        </w:rPr>
      </w:pPr>
      <w:r>
        <w:rPr>
          <w:rFonts w:hint="eastAsia" w:ascii="宋体" w:hAnsi="宋体" w:cs="宋体"/>
          <w:szCs w:val="21"/>
        </w:rPr>
        <w:t>3.项目联系方式</w:t>
      </w:r>
    </w:p>
    <w:p>
      <w:pPr>
        <w:spacing w:line="360" w:lineRule="auto"/>
        <w:ind w:firstLine="735" w:firstLineChars="350"/>
        <w:rPr>
          <w:rFonts w:ascii="宋体" w:hAnsi="宋体" w:cs="宋体"/>
          <w:szCs w:val="21"/>
        </w:rPr>
      </w:pPr>
      <w:r>
        <w:rPr>
          <w:rFonts w:hint="eastAsia" w:ascii="宋体" w:hAnsi="宋体" w:cs="宋体"/>
          <w:szCs w:val="21"/>
        </w:rPr>
        <w:t>项目联系人：</w:t>
      </w:r>
      <w:r>
        <w:rPr>
          <w:rFonts w:hint="eastAsia" w:ascii="宋体" w:hAnsi="宋体" w:cs="宋体"/>
          <w:szCs w:val="21"/>
          <w:u w:val="single"/>
        </w:rPr>
        <w:t xml:space="preserve">　卢工　 </w:t>
      </w:r>
    </w:p>
    <w:p>
      <w:pPr>
        <w:spacing w:line="360" w:lineRule="auto"/>
        <w:ind w:firstLine="735" w:firstLineChars="350"/>
        <w:rPr>
          <w:rFonts w:ascii="宋体" w:hAnsi="宋体" w:cs="宋体"/>
          <w:szCs w:val="21"/>
        </w:rPr>
      </w:pPr>
      <w:r>
        <w:rPr>
          <w:rFonts w:hint="eastAsia" w:ascii="宋体" w:hAnsi="宋体" w:cs="宋体"/>
          <w:szCs w:val="21"/>
        </w:rPr>
        <w:t>电    话：</w:t>
      </w:r>
      <w:r>
        <w:rPr>
          <w:rFonts w:hint="eastAsia" w:ascii="宋体" w:hAnsi="宋体" w:cs="宋体"/>
          <w:szCs w:val="21"/>
          <w:u w:val="single"/>
        </w:rPr>
        <w:t xml:space="preserve"> 0771-6529585  </w:t>
      </w:r>
    </w:p>
    <w:p>
      <w:pPr>
        <w:spacing w:line="360" w:lineRule="auto"/>
        <w:rPr>
          <w:rFonts w:ascii="宋体" w:hAnsi="宋体" w:cs="宋体"/>
          <w:szCs w:val="21"/>
        </w:rPr>
      </w:pPr>
    </w:p>
    <w:p>
      <w:pPr>
        <w:pStyle w:val="8"/>
        <w:spacing w:line="360" w:lineRule="auto"/>
        <w:ind w:firstLine="420" w:firstLineChars="200"/>
        <w:rPr>
          <w:rFonts w:ascii="宋体" w:hAnsi="宋体" w:cs="宋体"/>
          <w:szCs w:val="21"/>
        </w:rPr>
      </w:pPr>
      <w:r>
        <w:rPr>
          <w:rFonts w:hint="eastAsia" w:ascii="宋体" w:hAnsi="宋体" w:cs="宋体"/>
          <w:szCs w:val="21"/>
        </w:rPr>
        <w:t xml:space="preserve">附件： </w:t>
      </w:r>
    </w:p>
    <w:p>
      <w:pPr>
        <w:pStyle w:val="8"/>
        <w:spacing w:line="360" w:lineRule="auto"/>
        <w:ind w:firstLine="420" w:firstLineChars="200"/>
        <w:rPr>
          <w:rFonts w:ascii="宋体" w:hAnsi="宋体" w:cs="宋体"/>
          <w:szCs w:val="21"/>
        </w:rPr>
      </w:pPr>
      <w:r>
        <w:rPr>
          <w:rFonts w:hint="eastAsia" w:ascii="宋体" w:hAnsi="宋体" w:cs="宋体"/>
          <w:szCs w:val="21"/>
        </w:rPr>
        <w:t>1.《采购需求》</w:t>
      </w:r>
    </w:p>
    <w:p>
      <w:pPr>
        <w:pStyle w:val="8"/>
        <w:spacing w:line="360" w:lineRule="auto"/>
        <w:ind w:firstLine="420" w:firstLineChars="200"/>
        <w:rPr>
          <w:rFonts w:ascii="宋体" w:hAnsi="宋体" w:cs="宋体"/>
        </w:rPr>
      </w:pPr>
      <w:r>
        <w:rPr>
          <w:rFonts w:hint="eastAsia" w:ascii="宋体" w:hAnsi="宋体" w:cs="宋体"/>
          <w:szCs w:val="21"/>
        </w:rPr>
        <w:t>2.CA证书申请方式及操作指南下载地址（现场申请方式见网址：</w:t>
      </w:r>
      <w:r>
        <w:fldChar w:fldCharType="begin"/>
      </w:r>
      <w:r>
        <w:instrText xml:space="preserve"> HYPERLINK "http://www.ccgp-guangxi.gov.cn/OfficeService/DownloadArea/8354055.html?utm=a0003.39a112b4.cmp001.d0002.f0464b20ff2a11eb873141bf9e381949" </w:instrText>
      </w:r>
      <w:r>
        <w:fldChar w:fldCharType="separate"/>
      </w:r>
      <w:r>
        <w:rPr>
          <w:rStyle w:val="29"/>
          <w:rFonts w:hint="eastAsia" w:ascii="宋体" w:hAnsi="宋体" w:cs="宋体"/>
          <w:color w:val="auto"/>
        </w:rPr>
        <w:t>http://www.ccgp-guangxi.gov.cn/OfficeService/DownloadArea/8354055.html?utm=a0003.39a112b4.cmp001.d0002.f0464b20ff2a11eb873141bf9e381949</w:t>
      </w:r>
      <w:r>
        <w:rPr>
          <w:rStyle w:val="29"/>
          <w:rFonts w:hint="eastAsia" w:ascii="宋体" w:hAnsi="宋体" w:cs="宋体"/>
          <w:color w:val="auto"/>
        </w:rPr>
        <w:fldChar w:fldCharType="end"/>
      </w:r>
      <w:r>
        <w:rPr>
          <w:rFonts w:hint="eastAsia" w:ascii="宋体" w:hAnsi="宋体" w:cs="宋体"/>
        </w:rPr>
        <w:t xml:space="preserve">（广西政府采购网）/网上申请方式见网址： </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（南宁市财政局官网）-下载专区-“广西政采云西部CA办理方式”或“南宁市政采云CA证书办理操作指南”</w:t>
      </w:r>
      <w:r>
        <w:rPr>
          <w:rFonts w:hint="eastAsia" w:ascii="宋体" w:hAnsi="宋体" w:cs="宋体"/>
          <w:szCs w:val="21"/>
        </w:rPr>
        <w:t>）</w:t>
      </w:r>
    </w:p>
    <w:p>
      <w:pPr>
        <w:pStyle w:val="8"/>
        <w:spacing w:line="360" w:lineRule="auto"/>
        <w:ind w:firstLine="420" w:firstLineChars="200"/>
        <w:rPr>
          <w:rFonts w:ascii="宋体" w:hAnsi="宋体" w:cs="宋体"/>
          <w:szCs w:val="21"/>
        </w:rPr>
      </w:pPr>
      <w:r>
        <w:rPr>
          <w:rFonts w:hint="eastAsia" w:ascii="宋体" w:hAnsi="宋体" w:cs="宋体"/>
          <w:szCs w:val="21"/>
        </w:rPr>
        <w:t>3.电子投标文件制作与投送教程（在此网址下载：</w:t>
      </w:r>
      <w:r>
        <w:fldChar w:fldCharType="begin"/>
      </w:r>
      <w:r>
        <w:instrText xml:space="preserve"> HYPERLINK "http://nncz.nanning.gov.cn/" </w:instrText>
      </w:r>
      <w:r>
        <w:fldChar w:fldCharType="separate"/>
      </w:r>
      <w:r>
        <w:rPr>
          <w:rStyle w:val="29"/>
          <w:rFonts w:hint="eastAsia" w:ascii="宋体" w:hAnsi="宋体" w:cs="宋体"/>
          <w:color w:val="auto"/>
        </w:rPr>
        <w:t>http://nncz.nanning.gov.cn/</w:t>
      </w:r>
      <w:r>
        <w:rPr>
          <w:rStyle w:val="29"/>
          <w:rFonts w:hint="eastAsia" w:ascii="宋体" w:hAnsi="宋体" w:cs="宋体"/>
          <w:color w:val="auto"/>
        </w:rPr>
        <w:fldChar w:fldCharType="end"/>
      </w:r>
      <w:r>
        <w:rPr>
          <w:rFonts w:hint="eastAsia" w:ascii="宋体" w:hAnsi="宋体" w:cs="宋体"/>
        </w:rPr>
        <w:t>（南宁市财政局官网）-下载专区</w:t>
      </w:r>
      <w:r>
        <w:rPr>
          <w:rFonts w:hint="eastAsia" w:ascii="宋体" w:hAnsi="宋体" w:cs="宋体"/>
          <w:szCs w:val="21"/>
        </w:rPr>
        <w:t>）</w:t>
      </w:r>
    </w:p>
    <w:p>
      <w:pPr>
        <w:spacing w:line="360" w:lineRule="auto"/>
        <w:rPr>
          <w:rFonts w:ascii="宋体" w:hAnsi="宋体" w:cs="宋体"/>
          <w:szCs w:val="21"/>
        </w:rPr>
      </w:pPr>
    </w:p>
    <w:p>
      <w:pPr>
        <w:spacing w:line="360" w:lineRule="auto"/>
        <w:ind w:firstLine="210" w:firstLineChars="100"/>
        <w:jc w:val="right"/>
        <w:rPr>
          <w:rFonts w:ascii="宋体" w:hAnsi="宋体" w:cs="宋体"/>
          <w:szCs w:val="21"/>
          <w:u w:val="single"/>
        </w:rPr>
      </w:pPr>
      <w:r>
        <w:rPr>
          <w:rFonts w:hint="eastAsia" w:ascii="宋体" w:hAnsi="宋体" w:cs="宋体"/>
          <w:szCs w:val="21"/>
          <w:u w:val="single"/>
        </w:rPr>
        <w:t>隆安县政府集中采购中心</w:t>
      </w:r>
    </w:p>
    <w:p>
      <w:pPr>
        <w:spacing w:line="360" w:lineRule="auto"/>
        <w:ind w:firstLine="210" w:firstLineChars="100"/>
        <w:jc w:val="right"/>
        <w:rPr>
          <w:rFonts w:ascii="宋体" w:hAnsi="宋体" w:cs="宋体"/>
        </w:rPr>
      </w:pPr>
      <w:r>
        <w:rPr>
          <w:rFonts w:hint="eastAsia" w:ascii="宋体" w:hAnsi="宋体" w:cs="宋体"/>
          <w:szCs w:val="21"/>
          <w:u w:val="single"/>
        </w:rPr>
        <w:t>2025</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u w:val="single"/>
          <w:lang w:val="en-US" w:eastAsia="zh-CN"/>
        </w:rPr>
        <w:t>7</w:t>
      </w:r>
      <w:r>
        <w:rPr>
          <w:rFonts w:hint="eastAsia" w:ascii="宋体" w:hAnsi="宋体" w:cs="宋体"/>
          <w:szCs w:val="21"/>
          <w:u w:val="single"/>
        </w:rPr>
        <w:t xml:space="preserve"> </w:t>
      </w:r>
      <w:r>
        <w:rPr>
          <w:rFonts w:hint="eastAsia" w:ascii="宋体" w:hAnsi="宋体" w:cs="宋体"/>
          <w:szCs w:val="21"/>
        </w:rPr>
        <w:t xml:space="preserve">月 </w:t>
      </w:r>
      <w:r>
        <w:rPr>
          <w:rFonts w:hint="eastAsia" w:ascii="宋体" w:hAnsi="宋体" w:cs="宋体"/>
          <w:szCs w:val="21"/>
          <w:u w:val="single"/>
        </w:rPr>
        <w:t xml:space="preserve"> </w:t>
      </w:r>
      <w:r>
        <w:rPr>
          <w:rFonts w:hint="eastAsia" w:ascii="宋体" w:hAnsi="宋体" w:cs="宋体"/>
          <w:szCs w:val="21"/>
          <w:u w:val="single"/>
          <w:lang w:val="en-US" w:eastAsia="zh-CN"/>
        </w:rPr>
        <w:t>1</w:t>
      </w:r>
      <w:r>
        <w:rPr>
          <w:rFonts w:hint="eastAsia" w:ascii="宋体" w:hAnsi="宋体" w:cs="宋体"/>
          <w:szCs w:val="21"/>
          <w:u w:val="single"/>
        </w:rPr>
        <w:t xml:space="preserve"> </w:t>
      </w:r>
      <w:r>
        <w:rPr>
          <w:rFonts w:hint="eastAsia" w:ascii="宋体" w:hAnsi="宋体" w:cs="宋体"/>
          <w:szCs w:val="21"/>
        </w:rPr>
        <w:t xml:space="preserve"> 日</w:t>
      </w:r>
    </w:p>
    <w:p>
      <w:pPr>
        <w:snapToGrid w:val="0"/>
        <w:spacing w:line="360" w:lineRule="auto"/>
        <w:ind w:firstLine="420"/>
        <w:rPr>
          <w:rFonts w:ascii="宋体" w:hAnsi="宋体" w:cs="宋体"/>
          <w:sz w:val="24"/>
          <w:lang w:val="zh-CN"/>
        </w:rPr>
        <w:sectPr>
          <w:footerReference r:id="rId5" w:type="default"/>
          <w:pgSz w:w="11906" w:h="16838"/>
          <w:pgMar w:top="1440" w:right="1080" w:bottom="1440" w:left="1080" w:header="720" w:footer="720" w:gutter="0"/>
          <w:pgNumType w:start="1"/>
          <w:cols w:space="720" w:num="1"/>
          <w:docGrid w:type="lines" w:linePitch="331" w:charSpace="0"/>
        </w:sectPr>
      </w:pPr>
    </w:p>
    <w:p>
      <w:pPr>
        <w:pStyle w:val="12"/>
        <w:spacing w:line="360" w:lineRule="auto"/>
        <w:jc w:val="center"/>
        <w:outlineLvl w:val="0"/>
        <w:rPr>
          <w:rFonts w:hAnsi="宋体" w:cs="宋体"/>
          <w:b/>
          <w:sz w:val="36"/>
        </w:rPr>
      </w:pPr>
      <w:bookmarkStart w:id="35" w:name="_Toc532545042"/>
      <w:bookmarkStart w:id="36" w:name="_Toc6782"/>
      <w:r>
        <w:rPr>
          <w:rFonts w:hint="eastAsia" w:hAnsi="宋体" w:cs="宋体"/>
          <w:b/>
          <w:sz w:val="36"/>
        </w:rPr>
        <w:t xml:space="preserve">第二章  </w:t>
      </w:r>
      <w:bookmarkEnd w:id="35"/>
      <w:r>
        <w:rPr>
          <w:rFonts w:hint="eastAsia" w:hAnsi="宋体" w:cs="宋体"/>
          <w:b/>
          <w:sz w:val="36"/>
        </w:rPr>
        <w:t>采购需求</w:t>
      </w:r>
      <w:bookmarkEnd w:id="36"/>
    </w:p>
    <w:p>
      <w:pPr>
        <w:adjustRightInd w:val="0"/>
        <w:spacing w:line="360" w:lineRule="auto"/>
        <w:rPr>
          <w:rFonts w:ascii="宋体" w:hAnsi="宋体" w:cs="宋体"/>
          <w:b/>
          <w:szCs w:val="21"/>
        </w:rPr>
      </w:pPr>
    </w:p>
    <w:p>
      <w:pPr>
        <w:adjustRightInd w:val="0"/>
        <w:spacing w:line="360" w:lineRule="auto"/>
        <w:rPr>
          <w:rFonts w:ascii="宋体" w:hAnsi="宋体" w:cs="宋体"/>
          <w:b/>
          <w:szCs w:val="21"/>
        </w:rPr>
      </w:pPr>
      <w:r>
        <w:rPr>
          <w:rFonts w:hint="eastAsia" w:ascii="宋体" w:hAnsi="宋体" w:cs="宋体"/>
          <w:b/>
          <w:szCs w:val="21"/>
        </w:rPr>
        <w:t>说明：</w:t>
      </w:r>
    </w:p>
    <w:p>
      <w:pPr>
        <w:spacing w:line="360" w:lineRule="auto"/>
        <w:ind w:firstLine="420" w:firstLineChars="200"/>
        <w:jc w:val="left"/>
      </w:pPr>
      <w:r>
        <w:t xml:space="preserve">1. </w:t>
      </w:r>
      <w:r>
        <w:rPr>
          <w:rFonts w:hint="eastAsia"/>
        </w:rPr>
        <w:t>为落实政府采购政策需满足的要求（根据项目实际情况填写内容）</w:t>
      </w:r>
    </w:p>
    <w:p>
      <w:pPr>
        <w:spacing w:line="360" w:lineRule="auto"/>
        <w:ind w:firstLine="420" w:firstLineChars="200"/>
        <w:jc w:val="left"/>
        <w:rPr>
          <w:rFonts w:ascii="宋体" w:hAnsi="宋体" w:cs="宋体"/>
          <w:szCs w:val="21"/>
        </w:rPr>
      </w:pPr>
      <w:r>
        <w:rPr>
          <w:rFonts w:hint="eastAsia" w:ascii="宋体" w:hAnsi="宋体" w:cs="宋体"/>
          <w:szCs w:val="21"/>
        </w:rPr>
        <w:t>（1）本招标文件所称中小企业必须符合《政府采购促进中小企业发展管理办法》（财库〔2020〕46号）的规定。</w:t>
      </w:r>
    </w:p>
    <w:p>
      <w:pPr>
        <w:spacing w:line="360" w:lineRule="auto"/>
        <w:ind w:firstLine="424" w:firstLineChars="202"/>
        <w:jc w:val="left"/>
        <w:rPr>
          <w:rFonts w:ascii="宋体" w:hAnsi="宋体" w:cs="宋体"/>
          <w:szCs w:val="21"/>
        </w:rPr>
      </w:pPr>
      <w:r>
        <w:rPr>
          <w:rFonts w:hint="eastAsia" w:ascii="宋体" w:hAnsi="宋体" w:cs="宋体"/>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1），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pPr>
        <w:spacing w:line="360" w:lineRule="auto"/>
        <w:ind w:firstLine="424" w:firstLineChars="202"/>
        <w:jc w:val="left"/>
        <w:rPr>
          <w:rFonts w:ascii="宋体" w:hAnsi="宋体" w:cs="宋体"/>
          <w:b/>
          <w:szCs w:val="21"/>
        </w:rPr>
      </w:pPr>
      <w:r>
        <w:rPr>
          <w:rFonts w:hint="eastAsia" w:ascii="宋体" w:hAnsi="宋体" w:cs="宋体"/>
          <w:szCs w:val="21"/>
        </w:rPr>
        <w:t>（3）</w:t>
      </w:r>
      <w:r>
        <w:rPr>
          <w:rFonts w:hint="eastAsia" w:ascii="宋体" w:hAnsi="宋体" w:cs="宋体"/>
          <w:b/>
          <w:szCs w:val="21"/>
        </w:rPr>
        <w:t>服务项目中伴随的货物包含列入《网络关键设备和网络安全专用产品目录》的网络安全专用产品，应当按照《信息安全技术 网络安全专用产品安全技术要求》等相关国家标准的强制性要求，提供具备资格的机构安全认证合格或者安全检测证明材料（加盖投标人公章），否则投标文件作无效处理。</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 xml:space="preserve"> “实质性要求”是指招标文件中已经指明不满足则投标无效的条款，或者不能负偏离的条款，或者采购需求中带“▲”的条款。</w:t>
      </w:r>
    </w:p>
    <w:p>
      <w:pPr>
        <w:numPr>
          <w:ilvl w:val="0"/>
          <w:numId w:val="2"/>
        </w:numPr>
        <w:spacing w:line="360" w:lineRule="auto"/>
        <w:ind w:firstLine="424" w:firstLineChars="202"/>
        <w:jc w:val="left"/>
        <w:rPr>
          <w:rFonts w:ascii="宋体" w:hAnsi="宋体" w:cs="宋体"/>
          <w:szCs w:val="21"/>
        </w:rPr>
      </w:pPr>
      <w:r>
        <w:rPr>
          <w:rFonts w:hint="eastAsia" w:ascii="宋体" w:hAnsi="宋体" w:cs="宋体"/>
          <w:szCs w:val="21"/>
        </w:rPr>
        <w:t>不需要投标人对采购需求响应为具体数值的，此采购需求的数值后将以◆号标注。</w:t>
      </w:r>
    </w:p>
    <w:p>
      <w:pPr>
        <w:numPr>
          <w:ilvl w:val="0"/>
          <w:numId w:val="2"/>
        </w:numPr>
        <w:spacing w:line="360" w:lineRule="auto"/>
        <w:ind w:firstLine="424" w:firstLineChars="202"/>
        <w:jc w:val="left"/>
      </w:pPr>
      <w:r>
        <w:rPr>
          <w:rFonts w:hint="eastAsia"/>
        </w:rPr>
        <w:t>如投标人投标产品存在侵犯他人的知识产权或者专利成果行为的，应承担相应法律责任。</w:t>
      </w:r>
    </w:p>
    <w:p>
      <w:pPr>
        <w:adjustRightInd w:val="0"/>
        <w:spacing w:line="360" w:lineRule="auto"/>
        <w:ind w:left="6" w:firstLine="431"/>
        <w:rPr>
          <w:rFonts w:ascii="宋体" w:hAnsi="宋体" w:cs="宋体"/>
          <w:szCs w:val="21"/>
        </w:rPr>
      </w:pPr>
      <w:r>
        <w:rPr>
          <w:rFonts w:hint="eastAsia" w:ascii="宋体" w:hAnsi="宋体" w:cs="宋体"/>
          <w:szCs w:val="21"/>
        </w:rPr>
        <w:t>5.本货物/服务需求一览表中所列的品牌、型号</w:t>
      </w:r>
      <w:r>
        <w:rPr>
          <w:rFonts w:hint="eastAsia" w:ascii="宋体" w:hAnsi="宋体" w:cs="宋体"/>
          <w:b/>
          <w:szCs w:val="21"/>
        </w:rPr>
        <w:t>仅起参考作</w:t>
      </w:r>
      <w:r>
        <w:rPr>
          <w:rFonts w:hint="eastAsia" w:ascii="宋体" w:hAnsi="宋体" w:cs="宋体"/>
          <w:szCs w:val="21"/>
        </w:rPr>
        <w:t>用，投标人可选用其他品牌、型号替代，但替代的品牌、型号在实质性要求和条件上要</w:t>
      </w:r>
      <w:r>
        <w:rPr>
          <w:rFonts w:hint="eastAsia" w:ascii="宋体" w:hAnsi="宋体" w:cs="宋体"/>
          <w:b/>
          <w:szCs w:val="21"/>
        </w:rPr>
        <w:t>相当于或优于</w:t>
      </w:r>
      <w:r>
        <w:rPr>
          <w:rFonts w:hint="eastAsia" w:ascii="宋体" w:hAnsi="宋体" w:cs="宋体"/>
          <w:szCs w:val="21"/>
        </w:rPr>
        <w:t>参考品牌、型号。</w:t>
      </w:r>
    </w:p>
    <w:p>
      <w:pPr>
        <w:spacing w:line="360" w:lineRule="auto"/>
        <w:ind w:firstLine="420" w:firstLineChars="200"/>
        <w:rPr>
          <w:rFonts w:ascii="宋体" w:hAnsi="宋体" w:cs="宋体"/>
          <w:szCs w:val="21"/>
        </w:rPr>
      </w:pPr>
      <w:r>
        <w:rPr>
          <w:rFonts w:hint="eastAsia" w:ascii="宋体" w:hAnsi="宋体" w:cs="宋体"/>
          <w:szCs w:val="21"/>
        </w:rPr>
        <w:t>6.凡在“技术参数要求”中表述为“标配”或“标准配置”的设备，将要求投标人按照“第六章 投标文件格式”规定的格式在“技术需求偏离表”中将其参数详细列明。</w:t>
      </w:r>
    </w:p>
    <w:p>
      <w:pPr>
        <w:spacing w:line="360" w:lineRule="auto"/>
        <w:ind w:firstLine="420" w:firstLineChars="200"/>
        <w:rPr>
          <w:rFonts w:ascii="宋体" w:hAnsi="宋体" w:cs="宋体"/>
          <w:szCs w:val="21"/>
        </w:rPr>
      </w:pPr>
      <w:r>
        <w:rPr>
          <w:rFonts w:hint="eastAsia" w:ascii="宋体" w:hAnsi="宋体" w:cs="宋体"/>
          <w:szCs w:val="21"/>
        </w:rPr>
        <w:t>7.本次货物采购最高限价为</w:t>
      </w:r>
      <w:r>
        <w:rPr>
          <w:rFonts w:hint="eastAsia" w:ascii="宋体" w:hAnsi="宋体" w:cs="宋体"/>
          <w:szCs w:val="21"/>
          <w:u w:val="single"/>
        </w:rPr>
        <w:t xml:space="preserve"> </w:t>
      </w:r>
      <w:r>
        <w:rPr>
          <w:rFonts w:hint="eastAsia" w:ascii="宋体" w:hAnsi="宋体" w:cs="宋体"/>
          <w:b/>
          <w:bCs/>
          <w:szCs w:val="21"/>
          <w:u w:val="single"/>
        </w:rPr>
        <w:t>517.0566</w:t>
      </w:r>
      <w:r>
        <w:rPr>
          <w:rFonts w:hint="eastAsia" w:ascii="宋体" w:hAnsi="宋体" w:cs="宋体"/>
          <w:szCs w:val="21"/>
          <w:u w:val="single"/>
        </w:rPr>
        <w:t xml:space="preserve"> </w:t>
      </w:r>
      <w:r>
        <w:rPr>
          <w:rFonts w:hint="eastAsia" w:ascii="宋体" w:hAnsi="宋体" w:cs="宋体"/>
          <w:szCs w:val="21"/>
        </w:rPr>
        <w:t>万元。在报价的过程中，投标人的分项报价不得超过分项最高限价，否则作无效投标处理。</w:t>
      </w:r>
    </w:p>
    <w:p>
      <w:pPr>
        <w:spacing w:line="360" w:lineRule="auto"/>
        <w:ind w:firstLine="420" w:firstLineChars="200"/>
        <w:rPr>
          <w:rFonts w:ascii="宋体" w:hAnsi="宋体" w:cs="宋体"/>
          <w:szCs w:val="21"/>
        </w:rPr>
      </w:pPr>
    </w:p>
    <w:p>
      <w:pPr>
        <w:spacing w:line="360" w:lineRule="auto"/>
        <w:ind w:firstLine="420" w:firstLineChars="200"/>
        <w:rPr>
          <w:rFonts w:ascii="宋体" w:hAnsi="宋体" w:cs="宋体"/>
          <w:szCs w:val="21"/>
        </w:rPr>
      </w:pPr>
    </w:p>
    <w:p>
      <w:pPr>
        <w:jc w:val="center"/>
        <w:rPr>
          <w:rFonts w:ascii="仿宋_GB2312" w:eastAsia="仿宋_GB2312"/>
          <w:b/>
          <w:sz w:val="32"/>
          <w:szCs w:val="32"/>
        </w:rPr>
      </w:pPr>
      <w:r>
        <w:rPr>
          <w:rFonts w:hint="eastAsia" w:ascii="仿宋_GB2312" w:eastAsia="仿宋_GB2312"/>
          <w:b/>
          <w:sz w:val="32"/>
          <w:szCs w:val="32"/>
        </w:rPr>
        <w:t>采购需求清单</w:t>
      </w:r>
    </w:p>
    <w:p>
      <w:pPr>
        <w:pStyle w:val="22"/>
        <w:jc w:val="both"/>
        <w:rPr>
          <w:rFonts w:ascii="宋体" w:hAnsi="宋体"/>
          <w:color w:val="FF0000"/>
          <w:szCs w:val="21"/>
        </w:rPr>
      </w:pPr>
      <w:r>
        <w:rPr>
          <w:rFonts w:hint="eastAsia" w:ascii="宋体" w:hAnsi="宋体"/>
          <w:color w:val="FF0000"/>
          <w:szCs w:val="21"/>
        </w:rPr>
        <w:t>A分标（分标一</w:t>
      </w:r>
      <w:r>
        <w:rPr>
          <w:rFonts w:hint="eastAsia" w:ascii="宋体" w:hAnsi="宋体"/>
          <w:color w:val="FF0000"/>
          <w:szCs w:val="21"/>
          <w:u w:val="single"/>
        </w:rPr>
        <w:t>） 268.749</w:t>
      </w:r>
      <w:r>
        <w:rPr>
          <w:rFonts w:hint="eastAsia" w:ascii="宋体" w:hAnsi="宋体"/>
          <w:color w:val="FF0000"/>
          <w:szCs w:val="21"/>
        </w:rPr>
        <w:t>万元</w:t>
      </w:r>
    </w:p>
    <w:p>
      <w:pPr>
        <w:jc w:val="left"/>
        <w:rPr>
          <w:rFonts w:ascii="仿宋_GB2312" w:eastAsia="仿宋_GB2312"/>
          <w:b/>
          <w:sz w:val="32"/>
          <w:szCs w:val="32"/>
        </w:rPr>
      </w:pPr>
      <w:r>
        <w:rPr>
          <w:rFonts w:hint="eastAsia" w:ascii="仿宋_GB2312" w:eastAsia="仿宋_GB2312"/>
          <w:b/>
          <w:sz w:val="32"/>
          <w:szCs w:val="32"/>
        </w:rPr>
        <w:t>一、饮水机</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5"/>
        <w:gridCol w:w="656"/>
        <w:gridCol w:w="656"/>
        <w:gridCol w:w="1316"/>
        <w:gridCol w:w="13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项号</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货物名称</w:t>
            </w:r>
          </w:p>
        </w:tc>
        <w:tc>
          <w:tcPr>
            <w:tcW w:w="375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技术参数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单位</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数量</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单价（元）</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1</w:t>
            </w:r>
          </w:p>
        </w:tc>
        <w:tc>
          <w:tcPr>
            <w:tcW w:w="21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饮水机</w:t>
            </w:r>
          </w:p>
        </w:tc>
        <w:tc>
          <w:tcPr>
            <w:tcW w:w="3752" w:type="pct"/>
            <w:shd w:val="clear" w:color="auto" w:fill="auto"/>
            <w:vAlign w:val="center"/>
          </w:tcPr>
          <w:p>
            <w:pPr>
              <w:widowControl/>
              <w:jc w:val="left"/>
              <w:rPr>
                <w:rFonts w:ascii="宋体" w:hAnsi="宋体" w:cs="宋体"/>
                <w:color w:val="000000"/>
                <w:kern w:val="0"/>
                <w:sz w:val="22"/>
                <w:szCs w:val="22"/>
              </w:rPr>
            </w:pPr>
            <w:r>
              <w:rPr>
                <w:rFonts w:hint="eastAsia" w:ascii="宋体" w:hAnsi="宋体" w:cs="宋体"/>
                <w:color w:val="000000"/>
                <w:kern w:val="0"/>
                <w:sz w:val="22"/>
                <w:szCs w:val="22"/>
              </w:rPr>
              <w:t>一、产品规格</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1、容量：≥35升</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2、功率：6kw/380v</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3、开水出水量：≥60升/小时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4、温开水出水量：≥350升/小时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5、尺寸：1950×400×1100mm（±5%）</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▲6、一开五温</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▲7、配置：PP棉，颗粒活性炭，烧结活性炭，智能变频，定时开关机，不锈钢精制龙头，12V低压控制，安全系数高，无焊接热能交换，VFD彩屏显示。</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二、产品性能</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1、过滤系统：PP棉+活性炭+活性炭 保证出水水质达到或高于国家标准GB5749-2006。</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▲2、材质：采用优秀不锈钢板，内胆采用食品级304不锈钢，厚度1mm。用加厚保温，高效节能。水槽采用304不锈钢板厚度为0.8mm。</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3、整机采用电脑主板进行智能化管理，做到无人值守、自我管理。</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▲4、所使用的滤芯与整机为同品牌，必须具有卫生部门颁发的涉水卫生许可批件，投标文件中提供各级滤芯卫生许可批件复印件并加盖公章。</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5、节能技术：采用饮水机用高效热交换器技术，内外管均采用304不锈钢波纹管，高效节能，节省加热时间和电源，水温调控不得采用原水或经过净化的原水和开水直接混合方式。回收开水热能，饮用温开水节能达80%以上。</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6、设有液晶中文显示屏，显示包含以下内容：温度、时间、饮水机运行技术参数、故障代码或中文报警显示。</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7、为保证节能饮水机的安全，保障用户的安全，采用常压式节能饮水机技术，使节能饮水机系统不承压。</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8. 可防爆、防触电、防渗漏、防干烧、防缺水、防超温、防火、防蒸汽，安全可靠；防触电保护I类，外壳防护等级IP44。</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9、设备外表平整光滑，其易触及零部件棱边和尖角圆滑；</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10、配置泄压装置，确保内胆的使用安全及延长内胆使用寿命。</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11、采用智能变频控制技术，设备可以通过微电脑控制发热管功率，更加节能；微电脑全自动控制。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▲12、提供所投型号商用开水器（饮水机）通过环保检测，符合GB/T 26572-2011《电子电气产品中限用物质的限量要求》、GB/T 26125-2011《电子电气产品六种限用物质（铅、汞、镉、六价铬、多溴和多溴二苯醚）的测定》标准（投标文件中提供投标产品品牌型号一致的整机《RoHS符合性认证证书》复印件且须提供全国认证认可信息公共服务平台官网查询截图）；</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13、饮水机具备智能4.0功能，智能无菌，智能保鲜，智能换芯，智能芯片；（投标文件中提供投标产品制造商获得国家质检、科技或知识产产权部门颁发的证明文件复印件）</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14.含不少于五年（十次）的滤芯更换、水质检测等，每次更换滤芯后提供水质检测报告。</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三、其他</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1、校园饮水机投标产品属于中国强制性认证、中国节能产品认证产品。</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2、整机符合GB4806.7-2016、GB4806.9-2016、GB4806.11-2016要求，保证出水安全。</w:t>
            </w:r>
          </w:p>
          <w:p>
            <w:pPr>
              <w:widowControl/>
              <w:jc w:val="left"/>
              <w:rPr>
                <w:rFonts w:ascii="宋体" w:hAnsi="宋体" w:cs="宋体"/>
                <w:color w:val="000000"/>
                <w:kern w:val="0"/>
                <w:sz w:val="22"/>
                <w:szCs w:val="22"/>
              </w:rPr>
            </w:pPr>
            <w:r>
              <w:rPr>
                <w:rFonts w:hint="eastAsia" w:ascii="宋体" w:hAnsi="宋体" w:cs="宋体"/>
                <w:color w:val="000000"/>
                <w:kern w:val="0"/>
                <w:sz w:val="22"/>
                <w:szCs w:val="22"/>
              </w:rPr>
              <w:t>3、含电缆、水管等所有安装辅材。</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台</w:t>
            </w:r>
          </w:p>
        </w:tc>
        <w:tc>
          <w:tcPr>
            <w:tcW w:w="136"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8</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7000</w:t>
            </w:r>
          </w:p>
        </w:tc>
        <w:tc>
          <w:tcPr>
            <w:tcW w:w="272" w:type="pct"/>
            <w:shd w:val="clear" w:color="auto" w:fill="auto"/>
            <w:noWrap/>
            <w:vAlign w:val="center"/>
          </w:tcPr>
          <w:p>
            <w:pPr>
              <w:widowControl/>
              <w:jc w:val="center"/>
              <w:rPr>
                <w:rFonts w:ascii="宋体" w:hAnsi="宋体" w:cs="宋体"/>
                <w:color w:val="000000"/>
                <w:kern w:val="0"/>
                <w:sz w:val="22"/>
                <w:szCs w:val="22"/>
              </w:rPr>
            </w:pPr>
            <w:r>
              <w:rPr>
                <w:rFonts w:hint="eastAsia" w:ascii="宋体" w:hAnsi="宋体" w:cs="宋体"/>
                <w:color w:val="000000"/>
                <w:kern w:val="0"/>
                <w:sz w:val="22"/>
                <w:szCs w:val="22"/>
              </w:rPr>
              <w:t>56000</w:t>
            </w:r>
          </w:p>
        </w:tc>
      </w:tr>
    </w:tbl>
    <w:p>
      <w:pPr>
        <w:rPr>
          <w:b/>
          <w:bCs/>
          <w:sz w:val="28"/>
          <w:szCs w:val="28"/>
        </w:rPr>
      </w:pPr>
      <w:r>
        <w:rPr>
          <w:rFonts w:hint="eastAsia"/>
          <w:b/>
          <w:bCs/>
          <w:sz w:val="28"/>
          <w:szCs w:val="28"/>
        </w:rPr>
        <w:t>二、安保器材</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159"/>
        <w:gridCol w:w="4702"/>
        <w:gridCol w:w="578"/>
        <w:gridCol w:w="578"/>
        <w:gridCol w:w="1112"/>
        <w:gridCol w:w="11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36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防护器材放置架</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1.参考尺寸：约长120cm，柜体厚度42cm (厚度允许正负偏差3cm)，高约190cm，可放置警务室要求各种安防器材；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2.材质：整柜钢板材质。</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钢叉</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1.材质：不锈钢；一体式焊接；一体式拉伸；Ⅱ型警用钢叉；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2.长度：约1380mm（收缩），约2005mm（展开）；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3.前端圆弧直径：500mm。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长棍</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尼龙材质；规格：1.6米；粗细一致，光滑均匀，弹性强，韧性好。</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短棍</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 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3.手柄约：φ30mm。</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防割手套</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2.长度：约500mm；手柄：约φ30mm；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3.材料：高强度高模量聚乙烯纤维和高强度不锈钢线组成的复合材料，强度好，安全无毒；防割等级：5级 ；耐磨系数：3级； 抗撕拉系数：4级 ；产品性能：防切割、耐磨损、防酸碱、防微波、防静电。</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对</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防刺背心</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1.材质：强度钢合金片冲压鳞片成型、模压叠铆成型符合相关标准，防刺面积大于0.3平方米，在高温、常温、低温状态下，能有效地防止利器的穿刺；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2.防护面积：≥0.3</w:t>
            </w:r>
            <w:r>
              <w:rPr>
                <w:rFonts w:cs="Segoe UI Symbol" w:asciiTheme="minorEastAsia" w:hAnsiTheme="minorEastAsia" w:eastAsiaTheme="minorEastAsia"/>
                <w:bCs/>
                <w:sz w:val="22"/>
                <w:szCs w:val="22"/>
              </w:rPr>
              <w:t>㎡</w:t>
            </w:r>
            <w:r>
              <w:rPr>
                <w:rFonts w:hint="eastAsia" w:cs="仿宋_GB2312" w:asciiTheme="minorEastAsia" w:hAnsiTheme="minorEastAsia" w:eastAsiaTheme="minorEastAsia"/>
                <w:bCs/>
                <w:sz w:val="22"/>
                <w:szCs w:val="22"/>
              </w:rPr>
              <w:t>单衣；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3.颜色：警服蓝、迷彩。</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喷雾剂</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1.罐液量：50ml±20ml；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2.成分：强烈的新辣素-CS混合刺激剂；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3.尺寸约：Φ35mm×高150mm；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4.喷射距离：大于3m；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5.喷射速度：大于8.5g/s；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6.有效期：3年。</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瓶</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强光手电</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1.外形尺寸：约φ26mm×150mm；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2.电池容量：2200毫安；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3.持续高亮照明：5小时；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4.电池使用寿命：重复充电1000次。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警戒带</w:t>
            </w:r>
          </w:p>
        </w:tc>
        <w:tc>
          <w:tcPr>
            <w:tcW w:w="2360" w:type="pct"/>
            <w:noWrap/>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长度：约100米。</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盾牌(长）</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2.尺寸：约90×50cm；厚度：3mm-4.5mm；透光率：＞79%；防护面积：0.45m</w:t>
            </w:r>
            <w:r>
              <w:rPr>
                <w:rFonts w:hint="eastAsia" w:asciiTheme="minorEastAsia" w:hAnsiTheme="minorEastAsia" w:eastAsiaTheme="minorEastAsia"/>
                <w:bCs/>
                <w:sz w:val="22"/>
                <w:szCs w:val="22"/>
                <w:vertAlign w:val="superscript"/>
              </w:rPr>
              <w:t>2</w:t>
            </w:r>
            <w:r>
              <w:rPr>
                <w:rFonts w:hint="eastAsia" w:asciiTheme="minorEastAsia" w:hAnsiTheme="minorEastAsia" w:eastAsiaTheme="minorEastAsia"/>
                <w:bCs/>
                <w:sz w:val="22"/>
                <w:szCs w:val="22"/>
              </w:rPr>
              <w:t>；</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盾牌圆盾(短）</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1.材质：透明PC材料高温成形，重量：1.58kg；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2.尺寸约：Φ50cm;厚度：3.5mm;透光率：＞70%。</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执务盔</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1.材质：PC面罩；</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2.颜色：黑色；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3.重量：≥1.55kg。</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36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82"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声光报警</w:t>
            </w:r>
          </w:p>
        </w:tc>
        <w:tc>
          <w:tcPr>
            <w:tcW w:w="2360" w:type="pct"/>
          </w:tcPr>
          <w:p>
            <w:pPr>
              <w:rPr>
                <w:rFonts w:asciiTheme="minorEastAsia" w:hAnsiTheme="minorEastAsia" w:eastAsiaTheme="minorEastAsia"/>
                <w:bCs/>
                <w:sz w:val="22"/>
                <w:szCs w:val="22"/>
              </w:rPr>
            </w:pPr>
            <w:r>
              <w:rPr>
                <w:rFonts w:hint="eastAsia" w:asciiTheme="minorEastAsia" w:hAnsiTheme="minorEastAsia" w:eastAsiaTheme="minorEastAsia"/>
                <w:bCs/>
                <w:sz w:val="22"/>
                <w:szCs w:val="22"/>
              </w:rPr>
              <w:t>1.电源：220V；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2.抗震LED灯珠；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3.可选颜色：红色；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4.音量：≥115；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5.外形材料：喷塑钢板，抗干扰。</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0"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58"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5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bl>
    <w:p>
      <w:pPr>
        <w:rPr>
          <w:b/>
          <w:bCs/>
          <w:sz w:val="28"/>
          <w:szCs w:val="28"/>
        </w:rPr>
      </w:pPr>
      <w:r>
        <w:rPr>
          <w:rFonts w:hint="eastAsia"/>
          <w:b/>
          <w:bCs/>
          <w:sz w:val="28"/>
          <w:szCs w:val="28"/>
        </w:rPr>
        <w:t>三、学生用床</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096"/>
        <w:gridCol w:w="4266"/>
        <w:gridCol w:w="656"/>
        <w:gridCol w:w="656"/>
        <w:gridCol w:w="1316"/>
        <w:gridCol w:w="1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2" w:hRule="atLeast"/>
        </w:trPr>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学生用床</w:t>
            </w:r>
          </w:p>
        </w:tc>
        <w:tc>
          <w:tcPr>
            <w:tcW w:w="0" w:type="auto"/>
            <w:vMerge w:val="restart"/>
            <w:vAlign w:val="center"/>
          </w:tcPr>
          <w:p>
            <w:pPr>
              <w:pStyle w:val="37"/>
              <w:numPr>
                <w:ilvl w:val="0"/>
                <w:numId w:val="3"/>
              </w:numPr>
              <w:ind w:left="0" w:firstLine="0" w:firstLineChars="0"/>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1312" behindDoc="0" locked="0" layoutInCell="1" allowOverlap="1">
                  <wp:simplePos x="0" y="0"/>
                  <wp:positionH relativeFrom="column">
                    <wp:posOffset>219075</wp:posOffset>
                  </wp:positionH>
                  <wp:positionV relativeFrom="paragraph">
                    <wp:posOffset>3949065</wp:posOffset>
                  </wp:positionV>
                  <wp:extent cx="2085975" cy="1581150"/>
                  <wp:effectExtent l="0" t="0" r="0" b="0"/>
                  <wp:wrapNone/>
                  <wp:docPr id="31" name="图片 31"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9"/>
                          <pic:cNvPicPr>
                            <a:picLocks noChangeAspect="1"/>
                          </pic:cNvPicPr>
                        </pic:nvPicPr>
                        <pic:blipFill>
                          <a:blip r:embed="rId22"/>
                          <a:srcRect l="19710"/>
                          <a:stretch>
                            <a:fillRect/>
                          </a:stretch>
                        </pic:blipFill>
                        <pic:spPr>
                          <a:xfrm>
                            <a:off x="0" y="0"/>
                            <a:ext cx="2085975" cy="1581150"/>
                          </a:xfrm>
                          <a:prstGeom prst="rect">
                            <a:avLst/>
                          </a:prstGeom>
                          <a:noFill/>
                          <a:ln>
                            <a:noFill/>
                          </a:ln>
                        </pic:spPr>
                      </pic:pic>
                    </a:graphicData>
                  </a:graphic>
                </wp:anchor>
              </w:drawing>
            </w:r>
            <w:r>
              <w:rPr>
                <w:rFonts w:hint="eastAsia"/>
              </w:rPr>
              <w:drawing>
                <wp:anchor distT="0" distB="0" distL="114300" distR="114300" simplePos="0" relativeHeight="251659264" behindDoc="0" locked="0" layoutInCell="1" allowOverlap="1">
                  <wp:simplePos x="0" y="0"/>
                  <wp:positionH relativeFrom="column">
                    <wp:posOffset>1430020</wp:posOffset>
                  </wp:positionH>
                  <wp:positionV relativeFrom="paragraph">
                    <wp:posOffset>2658110</wp:posOffset>
                  </wp:positionV>
                  <wp:extent cx="1000125" cy="1202690"/>
                  <wp:effectExtent l="0" t="0" r="0" b="0"/>
                  <wp:wrapNone/>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3"/>
                          <a:stretch>
                            <a:fillRect/>
                          </a:stretch>
                        </pic:blipFill>
                        <pic:spPr>
                          <a:xfrm>
                            <a:off x="0" y="0"/>
                            <a:ext cx="1000125" cy="1202690"/>
                          </a:xfrm>
                          <a:prstGeom prst="rect">
                            <a:avLst/>
                          </a:prstGeom>
                          <a:noFill/>
                          <a:ln>
                            <a:noFill/>
                          </a:ln>
                        </pic:spPr>
                      </pic:pic>
                    </a:graphicData>
                  </a:graphic>
                </wp:anchor>
              </w:drawing>
            </w:r>
            <w:r>
              <w:rPr>
                <w:rFonts w:hint="eastAsia"/>
              </w:rPr>
              <w:drawing>
                <wp:anchor distT="0" distB="0" distL="114300" distR="114300" simplePos="0" relativeHeight="251660288" behindDoc="0" locked="0" layoutInCell="1" allowOverlap="1">
                  <wp:simplePos x="0" y="0"/>
                  <wp:positionH relativeFrom="column">
                    <wp:posOffset>140335</wp:posOffset>
                  </wp:positionH>
                  <wp:positionV relativeFrom="paragraph">
                    <wp:posOffset>2766060</wp:posOffset>
                  </wp:positionV>
                  <wp:extent cx="850900" cy="1057275"/>
                  <wp:effectExtent l="0" t="0" r="0" b="952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24"/>
                          <a:stretch>
                            <a:fillRect/>
                          </a:stretch>
                        </pic:blipFill>
                        <pic:spPr>
                          <a:xfrm>
                            <a:off x="0" y="0"/>
                            <a:ext cx="850900" cy="1057275"/>
                          </a:xfrm>
                          <a:prstGeom prst="rect">
                            <a:avLst/>
                          </a:prstGeom>
                          <a:noFill/>
                          <a:ln>
                            <a:noFill/>
                          </a:ln>
                        </pic:spPr>
                      </pic:pic>
                    </a:graphicData>
                  </a:graphic>
                </wp:anchor>
              </w:drawing>
            </w:r>
            <w:r>
              <w:rPr>
                <w:rFonts w:hint="eastAsia" w:asciiTheme="minorEastAsia" w:hAnsiTheme="minorEastAsia" w:eastAsiaTheme="minorEastAsia"/>
                <w:bCs/>
                <w:sz w:val="22"/>
                <w:szCs w:val="22"/>
              </w:rPr>
              <w:t>产品必须符合GB/T 3325—2024 国家标准《</w:t>
            </w:r>
            <w:bookmarkStart w:id="37" w:name="OLE_LINK1"/>
            <w:r>
              <w:rPr>
                <w:rFonts w:hint="eastAsia" w:asciiTheme="minorEastAsia" w:hAnsiTheme="minorEastAsia" w:eastAsiaTheme="minorEastAsia"/>
                <w:bCs/>
                <w:sz w:val="22"/>
                <w:szCs w:val="22"/>
              </w:rPr>
              <w:t>金属家具通用技术条件</w:t>
            </w:r>
            <w:bookmarkEnd w:id="37"/>
            <w:r>
              <w:rPr>
                <w:rFonts w:hint="eastAsia" w:asciiTheme="minorEastAsia" w:hAnsiTheme="minorEastAsia" w:eastAsiaTheme="minorEastAsia"/>
                <w:bCs/>
                <w:sz w:val="22"/>
                <w:szCs w:val="22"/>
              </w:rPr>
              <w: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▲2、规格：2000 mm×900 mm×1800mm（长×宽×高），上下床铺面间的层间净高为1000mm。（±5mm）。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▲3、立柱：采用79mm×79mm，壁厚≧1.3mm（截面±0.5mm）高频焊接封口型材管，立柱带弧形状且与木质部分整体结合。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▲4、前床挺：采用106mm×44mm（±10mm）的异形管（非矩形）钢管（截面±0.5mm），壁厚≧1.2mm高频焊接封口型材管。上下端呈圆弧型，床厅预留遮灰板插槽（如下图）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asciiTheme="minorEastAsia" w:hAnsiTheme="minorEastAsia" w:eastAsiaTheme="minorEastAsia"/>
                <w:bCs/>
                <w:sz w:val="22"/>
                <w:szCs w:val="22"/>
              </w:rPr>
            </w:pPr>
          </w:p>
          <w:p>
            <w:pPr>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▲5、后床挺：采用73mm×42mm，（截面±0.5mm）壁厚≧1.2mm高频焊接封口型材管。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▲6、边立柱拉换：采用73mm×42mm（截面±0.5mm）,壁厚≧1.2mm高频焊接封口型材管。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▲7、床厅护栏：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(1)护栏高度为≧300mm；(从床板面算起，如下图）</w:t>
            </w:r>
            <w:r>
              <w:rPr>
                <w:rFonts w:hint="eastAsia" w:asciiTheme="minorEastAsia" w:hAnsiTheme="minorEastAsia" w:eastAsiaTheme="minorEastAsia"/>
                <w:bCs/>
                <w:sz w:val="22"/>
                <w:szCs w:val="22"/>
              </w:rPr>
              <w:br w:type="textWrapping"/>
            </w:r>
          </w:p>
          <w:p>
            <w:pPr>
              <w:rPr>
                <w:rFonts w:asciiTheme="minorEastAsia" w:hAnsiTheme="minorEastAsia" w:eastAsiaTheme="minorEastAsia"/>
                <w:bCs/>
                <w:sz w:val="22"/>
                <w:szCs w:val="22"/>
              </w:rPr>
            </w:pPr>
            <w:r>
              <w:rPr>
                <w:rFonts w:hint="eastAsia"/>
              </w:rPr>
              <w:drawing>
                <wp:anchor distT="0" distB="0" distL="114300" distR="114300" simplePos="0" relativeHeight="251662336" behindDoc="0" locked="0" layoutInCell="1" allowOverlap="1">
                  <wp:simplePos x="0" y="0"/>
                  <wp:positionH relativeFrom="column">
                    <wp:posOffset>163195</wp:posOffset>
                  </wp:positionH>
                  <wp:positionV relativeFrom="paragraph">
                    <wp:posOffset>118745</wp:posOffset>
                  </wp:positionV>
                  <wp:extent cx="2152650" cy="1057275"/>
                  <wp:effectExtent l="0" t="0" r="0" b="9525"/>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25"/>
                          <a:stretch>
                            <a:fillRect/>
                          </a:stretch>
                        </pic:blipFill>
                        <pic:spPr>
                          <a:xfrm>
                            <a:off x="0" y="0"/>
                            <a:ext cx="2152650" cy="1057275"/>
                          </a:xfrm>
                          <a:prstGeom prst="rect">
                            <a:avLst/>
                          </a:prstGeom>
                          <a:noFill/>
                          <a:ln>
                            <a:noFill/>
                          </a:ln>
                        </pic:spPr>
                      </pic:pic>
                    </a:graphicData>
                  </a:graphic>
                </wp:anchor>
              </w:draw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(2)护栏横支撑：最上一条直径38mm×厚1.2mm圆管，其余直径16mm×1.2mm圆管；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(3)护栏竖支撑：16mm×1.2mm椭圆管；护栏为竖直方向，不弯曲。</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(4)上铺出入口（床厅护栏与床头护栏的距离）为≤600mm。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▲8、床头护栏：采用16mm×1.2mm圆管，≥3根。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▲9、床换：30×20×1.2mm方管，≥5根(不含两边)。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▲10、爬梯，宽度300mm，采用25×25×1.2mm方管，爬梯踏板规格：约250×110mm采用钢板一次性冲压成型，具有防滑作用，踏板数量不少于3根。爬梯与前床挺连接的四个连接处上螺钉加固。床梯具有夜光标识。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11、立柱、爬梯接触地面需加防潮胶套。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▲12、链接方式：采用30×2mm卡件“H”型内卡扣式连接（无螺丝连接，整体全隐装），床立柱和床护栏管材开口处均加装塑料胶套。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▲13、床板：采用≥18mm厚优质杉木板(每块宽度≧120mm)，四匹加强筋，均匀排布，无缝连接；床板的长度距离床两端不大于8mm。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14、上铺蚊帐架采用不小于（直径）16mm×（厚度）1.0mm的无缝钢管制成，蚊帐架顶部横杆两端的上方各焊接一个铁圈，两</w:t>
            </w:r>
            <w:r>
              <w:rPr>
                <w:rFonts w:hint="eastAsia" w:asciiTheme="minorEastAsia" w:hAnsiTheme="minorEastAsia" w:eastAsiaTheme="minorEastAsia"/>
                <w:bCs/>
                <w:sz w:val="22"/>
                <w:szCs w:val="22"/>
              </w:rPr>
              <w:drawing>
                <wp:anchor distT="0" distB="0" distL="114300" distR="114300" simplePos="0" relativeHeight="251663360" behindDoc="0" locked="0" layoutInCell="1" allowOverlap="1">
                  <wp:simplePos x="0" y="0"/>
                  <wp:positionH relativeFrom="column">
                    <wp:posOffset>836930</wp:posOffset>
                  </wp:positionH>
                  <wp:positionV relativeFrom="paragraph">
                    <wp:posOffset>1330960</wp:posOffset>
                  </wp:positionV>
                  <wp:extent cx="977900" cy="1178560"/>
                  <wp:effectExtent l="0" t="0" r="12700" b="2540"/>
                  <wp:wrapNone/>
                  <wp:docPr id="32" name="图片 32" descr="}AES~`PS_ZY4GPI[AK{5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AES~`PS_ZY4GPI[AK{5V{4"/>
                          <pic:cNvPicPr>
                            <a:picLocks noChangeAspect="1"/>
                          </pic:cNvPicPr>
                        </pic:nvPicPr>
                        <pic:blipFill>
                          <a:blip r:embed="rId26"/>
                          <a:stretch>
                            <a:fillRect/>
                          </a:stretch>
                        </pic:blipFill>
                        <pic:spPr>
                          <a:xfrm>
                            <a:off x="0" y="0"/>
                            <a:ext cx="977900" cy="1178560"/>
                          </a:xfrm>
                          <a:prstGeom prst="rect">
                            <a:avLst/>
                          </a:prstGeom>
                          <a:noFill/>
                          <a:ln>
                            <a:noFill/>
                          </a:ln>
                        </pic:spPr>
                      </pic:pic>
                    </a:graphicData>
                  </a:graphic>
                </wp:anchor>
              </w:drawing>
            </w:r>
            <w:r>
              <w:rPr>
                <w:rFonts w:hint="eastAsia" w:asciiTheme="minorEastAsia" w:hAnsiTheme="minorEastAsia" w:eastAsiaTheme="minorEastAsia"/>
                <w:bCs/>
                <w:sz w:val="22"/>
                <w:szCs w:val="22"/>
              </w:rPr>
              <w:t>铁圈的距离与床的宽度一致。铁圈孔径30mm-35mm，制作铁圈的铁线直径约3±0.2 mm。从上铺床板到蚊帐架顶部的高度不小于1300mm。一个床架配套两个蚊帐架。蚊帐架式样见下图。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15、下铺挂蚊帐用4个铁圈，铁圈孔径30mm-35mm，制作铁圈的铁线直径3±0.2 mm焊接在立柱和边立柱拉换连接处的下方。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16、项号14、15的蚊帐铁圈共8个，供货时必须提供。</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17、一床位必须配一合适规格的席子。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18、工艺：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钢材采用国标钢材，高频焊接冷轧封口钢材，成型前经过内外镀锌或特殊防腐处理。钢管焊接要求：按GB/T3325-1995，CO2保护焊，不低于国标镀铜焊丝，焊接无灰渣、气孔、焊瘤；无脱焊、虚焊、焊穿；精细打磨，光洁平整,所有焊线打磨平整，保证架体美观。各钢件经酸洗磷化及抛丸机打砂除油除锈脱脂处理后，高压恒温环氧树脂固体粉末静电喷涂，195-205摄氏度高温固化。喷涂均匀，表面光泽度为80%，硬度≥0.4，冲击强度4N-M，附着力≥2级，漆膜厚度≥0.06mm，耐腐蚀，耐擦挂，防护性能良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钢件表面处理须经过：除油-水洗-酸洗-除锈-清洗-中和-磷化-水洗-烘干的九工位处理，表面采用优质环保型环氧聚脂塑粉静电喷塑，成品表面手触摸光滑无毛刺，无漏喷及留痕，具有耐腐蚀、防水抗老化等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▲（3）产品所使用塑粉无毒害气味符合环保要求。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（4）架床与地接触点配防水防滑脚垫，床柱上端配软塑料保护套或直接与床档头相连接；架床动态承重在500Kg以上，保证架床结实，安全，安装后无摇摆现象，长期使用不会出现松动。</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0" w:type="auto"/>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0" w:hRule="atLeast"/>
        </w:trPr>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vMerge w:val="continue"/>
            <w:vAlign w:val="center"/>
          </w:tcPr>
          <w:p>
            <w:pP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c>
          <w:tcPr>
            <w:tcW w:w="0" w:type="auto"/>
            <w:noWrap/>
            <w:vAlign w:val="center"/>
          </w:tcPr>
          <w:p>
            <w:pPr>
              <w:jc w:val="center"/>
              <w:rPr>
                <w:rFonts w:asciiTheme="minorEastAsia" w:hAnsiTheme="minorEastAsia" w:eastAsiaTheme="minorEastAsia"/>
                <w:bCs/>
                <w:sz w:val="22"/>
                <w:szCs w:val="22"/>
              </w:rPr>
            </w:pPr>
          </w:p>
        </w:tc>
      </w:tr>
    </w:tbl>
    <w:p>
      <w:pPr>
        <w:rPr>
          <w:b/>
          <w:bCs/>
          <w:sz w:val="28"/>
          <w:szCs w:val="28"/>
        </w:rPr>
      </w:pPr>
    </w:p>
    <w:p>
      <w:pPr>
        <w:rPr>
          <w:b/>
          <w:bCs/>
          <w:sz w:val="28"/>
          <w:szCs w:val="28"/>
        </w:rPr>
      </w:pPr>
      <w:r>
        <w:rPr>
          <w:rFonts w:hint="eastAsia"/>
          <w:b/>
          <w:bCs/>
          <w:sz w:val="28"/>
          <w:szCs w:val="28"/>
        </w:rPr>
        <w:t>四、网络多媒体教室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8"/>
        <w:gridCol w:w="387"/>
        <w:gridCol w:w="5749"/>
        <w:gridCol w:w="580"/>
        <w:gridCol w:w="580"/>
        <w:gridCol w:w="1159"/>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8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194" w:type="pct"/>
            <w:vMerge w:val="restar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szCs w:val="21"/>
              </w:rPr>
              <w:t>★</w:t>
            </w:r>
            <w:r>
              <w:rPr>
                <w:rFonts w:hint="eastAsia" w:asciiTheme="minorEastAsia" w:hAnsiTheme="minorEastAsia" w:eastAsiaTheme="minorEastAsia"/>
                <w:bCs/>
                <w:sz w:val="22"/>
                <w:szCs w:val="22"/>
              </w:rPr>
              <w:t>智慧黑板</w:t>
            </w:r>
          </w:p>
        </w:tc>
        <w:tc>
          <w:tcPr>
            <w:tcW w:w="2885" w:type="pct"/>
            <w:vMerge w:val="restar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 UHD超高清LED 液晶屏，显示比例16:9，屏幕图像分辨率≥3840*2160。灰阶等级≥256级。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 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须提供佐证材料证明满足该功能，证明材料包括但不限于官网截图、彩页、功能截图等材料，原件备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vMerge w:val="restar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583920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vMerge w:val="continue"/>
            <w:vAlign w:val="center"/>
          </w:tcPr>
          <w:p>
            <w:pPr>
              <w:spacing w:line="400" w:lineRule="exact"/>
              <w:jc w:val="center"/>
              <w:rPr>
                <w:rFonts w:asciiTheme="minorEastAsia" w:hAnsiTheme="minorEastAsia" w:eastAsiaTheme="minorEastAsia"/>
                <w:bCs/>
                <w:sz w:val="22"/>
                <w:szCs w:val="22"/>
              </w:rPr>
            </w:pPr>
          </w:p>
        </w:tc>
        <w:tc>
          <w:tcPr>
            <w:tcW w:w="194" w:type="pct"/>
            <w:vMerge w:val="continue"/>
            <w:vAlign w:val="center"/>
          </w:tcPr>
          <w:p>
            <w:pPr>
              <w:spacing w:line="400" w:lineRule="exact"/>
              <w:jc w:val="center"/>
              <w:rPr>
                <w:rFonts w:asciiTheme="minorEastAsia" w:hAnsiTheme="minorEastAsia" w:eastAsiaTheme="minorEastAsia"/>
                <w:bCs/>
                <w:sz w:val="22"/>
                <w:szCs w:val="22"/>
              </w:rPr>
            </w:pPr>
          </w:p>
        </w:tc>
        <w:tc>
          <w:tcPr>
            <w:tcW w:w="2885" w:type="pct"/>
            <w:vMerge w:val="continue"/>
            <w:vAlign w:val="center"/>
          </w:tcPr>
          <w:p>
            <w:pPr>
              <w:spacing w:line="400" w:lineRule="exact"/>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291" w:type="pct"/>
            <w:vMerge w:val="continue"/>
            <w:vAlign w:val="center"/>
          </w:tcPr>
          <w:p>
            <w:pPr>
              <w:spacing w:line="400" w:lineRule="exact"/>
              <w:jc w:val="center"/>
              <w:rPr>
                <w:rFonts w:asciiTheme="minorEastAsia" w:hAnsiTheme="minorEastAsia" w:eastAsiaTheme="minorEastAsia"/>
                <w:bCs/>
                <w:sz w:val="22"/>
                <w:szCs w:val="22"/>
              </w:rPr>
            </w:pPr>
          </w:p>
        </w:tc>
        <w:tc>
          <w:tcPr>
            <w:tcW w:w="582" w:type="pct"/>
            <w:vMerge w:val="continue"/>
            <w:vAlign w:val="center"/>
          </w:tcPr>
          <w:p>
            <w:pPr>
              <w:spacing w:line="400" w:lineRule="exact"/>
              <w:jc w:val="center"/>
              <w:rPr>
                <w:rFonts w:asciiTheme="minorEastAsia" w:hAnsiTheme="minorEastAsia" w:eastAsiaTheme="minorEastAsia"/>
                <w:bCs/>
                <w:sz w:val="22"/>
                <w:szCs w:val="22"/>
              </w:rPr>
            </w:pPr>
          </w:p>
        </w:tc>
        <w:tc>
          <w:tcPr>
            <w:tcW w:w="562" w:type="pct"/>
            <w:vMerge w:val="continue"/>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noWrap/>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2.采样率≥48KHz，16bit；扩音增益≥15dB；声频响150Hz-16kHz，声信噪比≥60dB；配合一体化有源音箱，扩音延时≤35ms。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3.用Wi-Fi射频频段传输，有效避免环境中运营商U段（700MHz）信号干扰。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4.支持2.4GHz与5GHz双频段工作，信道数量≥26个。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6.采用红外对码方式连接，避免连接到其他教室音箱。可在5S内快速完成与教学扩声音箱对码。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8.空旷无干扰的环境，无线传输有效距离≥15 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9.外壳防火等级≥V1。</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10.无线麦克风与一体化有源音箱需保证兼容性。</w:t>
            </w: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5408" behindDoc="0" locked="0" layoutInCell="1" allowOverlap="1">
                  <wp:simplePos x="0" y="0"/>
                  <wp:positionH relativeFrom="column">
                    <wp:posOffset>2183765</wp:posOffset>
                  </wp:positionH>
                  <wp:positionV relativeFrom="paragraph">
                    <wp:posOffset>3663315</wp:posOffset>
                  </wp:positionV>
                  <wp:extent cx="1409700" cy="1216025"/>
                  <wp:effectExtent l="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27" cstate="print">
                            <a:extLst>
                              <a:ext uri="{28A0092B-C50C-407E-A947-70E740481C1C}">
                                <a14:useLocalDpi xmlns:a14="http://schemas.microsoft.com/office/drawing/2010/main" val="0"/>
                              </a:ext>
                            </a:extLst>
                          </a:blip>
                          <a:srcRect l="24250" t="7456" r="21187" b="8039"/>
                          <a:stretch>
                            <a:fillRect/>
                          </a:stretch>
                        </pic:blipFill>
                        <pic:spPr>
                          <a:xfrm>
                            <a:off x="0" y="0"/>
                            <a:ext cx="1409700" cy="1216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1385570</wp:posOffset>
                  </wp:positionH>
                  <wp:positionV relativeFrom="paragraph">
                    <wp:posOffset>3760470</wp:posOffset>
                  </wp:positionV>
                  <wp:extent cx="942975" cy="962025"/>
                  <wp:effectExtent l="0" t="0" r="9525" b="9525"/>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cstate="print">
                            <a:extLst>
                              <a:ext uri="{28A0092B-C50C-407E-A947-70E740481C1C}">
                                <a14:useLocalDpi xmlns:a14="http://schemas.microsoft.com/office/drawing/2010/main" val="0"/>
                              </a:ext>
                            </a:extLst>
                          </a:blip>
                          <a:srcRect l="23823" r="21764"/>
                          <a:stretch>
                            <a:fillRect/>
                          </a:stretch>
                        </pic:blipFill>
                        <pic:spPr>
                          <a:xfrm>
                            <a:off x="0" y="0"/>
                            <a:ext cx="942975" cy="962025"/>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4384" behindDoc="0" locked="0" layoutInCell="1" allowOverlap="1">
                  <wp:simplePos x="0" y="0"/>
                  <wp:positionH relativeFrom="column">
                    <wp:posOffset>528320</wp:posOffset>
                  </wp:positionH>
                  <wp:positionV relativeFrom="paragraph">
                    <wp:posOffset>3789045</wp:posOffset>
                  </wp:positionV>
                  <wp:extent cx="904875" cy="942975"/>
                  <wp:effectExtent l="0" t="0" r="9525" b="9525"/>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9" cstate="print">
                            <a:extLst>
                              <a:ext uri="{28A0092B-C50C-407E-A947-70E740481C1C}">
                                <a14:useLocalDpi xmlns:a14="http://schemas.microsoft.com/office/drawing/2010/main" val="0"/>
                              </a:ext>
                            </a:extLst>
                          </a:blip>
                          <a:srcRect l="25514" r="20189"/>
                          <a:stretch>
                            <a:fillRect/>
                          </a:stretch>
                        </pic:blipFill>
                        <pic:spPr>
                          <a:xfrm>
                            <a:off x="0" y="0"/>
                            <a:ext cx="904875" cy="942975"/>
                          </a:xfrm>
                          <a:prstGeom prst="rect">
                            <a:avLst/>
                          </a:prstGeom>
                        </pic:spPr>
                      </pic:pic>
                    </a:graphicData>
                  </a:graphic>
                </wp:anchor>
              </w:drawing>
            </w: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p>
            <w:pPr>
              <w:spacing w:line="400" w:lineRule="exact"/>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3、（如有）中标人负责拆除旧班班通设备并搬运至学校指定地点。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4、智慧黑板开机画面居中展示“隆安县教育局2025年装备”。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98寸多媒体设备</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一、大尺寸显示设计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1.整机色域覆盖率（NTSC）≥90%，灰度等级≥256级。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2.整机背光系统支持DC调光方式，多级亮度调节，支持白颜色背景下最暗亮度≤100nit，用于提升显示对比度。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6.整机系统支持手势上滑调出人工智能画质调节模式（AI-PQ） ， 在安卓通道下可根据屏幕内容自动调节画质参数，当屏幕出现人物、建筑、夜景等元素时，自动调整对比度、饱和度、锐利度、色调色相值、高光/阴影。</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7.支持可自定义图像设置，可对对比度、屏幕色温、图像亮度、亮度范围、色彩空间进行调节设置。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8.整机视网膜蓝光危害（蓝光加权辐射亮度LB）满足IEC TR 62778:2014蓝光危害RG0级别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9.整机全通道支持纸质护眼模式，可实现画面纹理的实时调整；支持纸质纹理：牛皮纸、素描纸、宣纸、水彩纸、水纹纸；支持透明度调节；支持色温调节。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10.纸质护眼模式下，显示画面各像素点灰度不规则，减少背景干扰。</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11.整机采用一体设计，外部无任何可见内部功能模块连接线。整机采用全金属外壳设计，边角采用弧形设计，表面无尖锐边缘或凸起。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12.整机屏幕边缘采用金属圆角包边防护，整机背板采用金属材质，有效屏蔽内部电路器件辐射；防潮耐盐雾蚀锈，适应多种教学环境。</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13.整机屏幕采用≥98英寸液晶显示器，显示比例16:9，分辨率3840×2160。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14.侧置输入接口具备2路HDMI、1路RS232、1路USB接口，1路3.5mm Audio in 音频输入接口  ；侧置输出接口具备1路3.5mm Audio out音频输出、1路触控USB输出；侧置输出接口具备1路HDMI out接口，支持最大4K60HZ分辨率输出；前置输入接口3路USB接口（包含1路Type-C、2路USB）。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15.整机支持双路可插拔模块，一个槽位支持OPS模块插拔，另一个槽位支持AI模块插拔。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16.▲整机系统采用高性能8核CPU。嵌入式系统版本不低于Android 13.0，内存≥4GB，存储空间≥32GB。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17.整机支持全通道支持4K UI界面显示，包括安卓通道、PC通道、HDMI通道、Type-C通道。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18.用全物理防眩光钢化玻璃，钢化玻璃表面硬度≥9H，有效保护屏幕显示画面，屏幕支持防眩光功能。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19.▲采用红外触控方式，支持Windows系统中进行50点或以上触控，支持在Android系统中进行40点或以上触控。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20.从内部Android通道切换到内部PC通道后，触摸框在1s内达到可触控状态。从内部PC通道切换到外部通道后，触摸框在3s内达到可触控状态。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1.核心数≥8、线程数≥12、主频≥2.0Ghz</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2.≥16GB DDR4笔记本内存或以上配置；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3.≥512GB或以上SSD固态硬盘。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4.≥2G独显。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（二）OPS结构设计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1.采用按压式卡扣，无需工具就可快速拆卸电脑模块，具有标准 PC 防盗锁孔，确保电脑模块安全防盗。</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2.PC模块可抽拉式插入整机，可实现无单独接线的插拔，。</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3.和整机的连接接口针脚数≤40pin，采用万兆级接口，传输速率≥10Gbps。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4.具有独立非外扩展的视频输出接口：≥1路HDMI 。具有独立非外扩展的电脑USB接口：≥3路USB。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三、传输功能设计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Windows通道支持文件传输应用，支持多人同时将手机文件传输到整机上；当手机端登录账号与整机一致时，接收文件不需要二次确认，当手机端登录账号与整机不一致时，且距离连接成功或上次传输超过3分钟，则接收文件需要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Windows通道支持文件传输应用，可将手机文件传输到整机上，无需借助第三方网页、第三方应用，传输文件格式支持：pptx、pdf、docx、txt、xlsx、enbx、jpg、png、gif、svg、mp4、rmvb、avi、3gp、wmv、flv、mkv、mp3、wav、wma、ogg、zip。</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3.▲整机Windows通道支持文件传输应用，支持通过扫码、wifi直联、超声三种方式与手机进行握手连接，实现文件传输功能。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4.整机Windows通道支持文件传输应用，传输方式支持公网传输、局域网传输、WiFi直连传输，传输速度最大可达100MB每秒。</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5.整机Windows通道支持文件传输应用，接收的文件支持单份删除；接收的文件支持手动全部清空，全部清空需要经过二次确认。</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6.▲整机自带地震预警软件；支持在地震预警页面中获取位置，可以手动进行位置校准；支持在地震预警页面中选择提醒阈值；支持在地震预警界面中开启和关闭地震预警服务；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7.整机无需外接无线网卡，在Android和Windows系统下可实现Wi-Fi无线上网连接、AP无线热点发射和BT蓝牙连接功能。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9.整机内置NFC读卡模块，可配合应用实现刷卡解锁，刷卡登录账号功能。</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10.▲整机支持蓝牙Bluetooth 5.4标准，固件版本号HCI13.0/LMP13.0。</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11.▲整机支持通过扬声器发出频率为18kHz-22kHz超声波信号，智能手机通过麦克风接收后，实现智能手机与整机配对，投屏设备实现一键投屏，用户无需手动输入投屏码或扫码获取投屏码；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传屏接收模块，整机不需要连接任何附加设备，可实现外部电脑、手机等设备的音视频信号实时传输到整机上；当使用外部电脑传屏时，支持触摸回传，在屏幕上部显示传屏工具栏，可以进行触摸回传控制、勿扰模式、暂停投屏功能；开启勿扰模式时，不允许其他人在进行传屏；投屏时可以选择过滤特定应用窗口，如邮件应用等窗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13.整机PC支持主动发现蓝牙外设从而连接（无需整机进入发现模式），支持连接外部蓝牙音箱播放音频。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14.▲整机内置双WiFi6无线网卡（不接受外接），在Android和Windows系统下，可实现Wi-Fi无线上网连接、AP无线热点发射。</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15.整机内置双WiFi6无线网卡（不接受外接），在Android下支持无线设备同时连接数量≥32个，在Windows系统下支持无线设备同时连接≥8个；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16.整机无需外接无线网卡，在Windows系统下接入无线网络，切换到嵌入式Android系统下可直接实现无线上网功能，不需手动重复设置。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17.Wi-Fi及AP热点支持频段2.4GHz/5GHz ，Wi-Fi制式支持IEEE 802.11 a/b/g/n/ac/ax；支持版本Wi-Fi6。</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四、音频设计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1.▲整机内置2.2声道扬声器，位于设备上边框，顶置朝前发声，前朝向10W高音扬声器2个，上朝向20W中低音扬声器2个，额定总功率60W。</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2.整机可选择高级音效设置，支持在左右声道平衡显示范围中进行更改；中低频段显示调节范围125Hz～1KHz，高频段显示调节范围2KHz～16KHz，分贝显示-12dB～12dB调节范围。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3.整机内置音频输入接口，支持低延迟本地扩音，扩音延迟≤35ms。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4.▲整机内置非独立外扩展的8阵列麦克风，拾音角度≥180°，可用于对教室环境音频进行采集，拾音距离≥11m。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5.整机内置扬声器采用缝隙发声技术，喇叭采用槽式开口设计，不大于5.8mm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6.整机扬声器在100%音量下，可做到1米处声压级≥88db，10米处声压级≥73dB</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7.内置摄像头、麦克风无需外接线材连接，无任何可见外接线材及模块化拼接痕迹，未占用整机设备端口。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8.支持标准、听力、观影、自定义和AI空间感知音效四种音效模式调节。</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9.支持标准、听力、观影和AI空间感知音效模式，AI空间感知音效模式可通过内置麦克风采集教室物理环境声音，自动生成符合当前教室物理环境的频段、音量、音效。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10.整机内置独立音频CPU处理器，支持麦克风3A算法（自动增益控制（AGC）、自动抑制噪声（ANC）、自动回声消除（AEC）），提升麦克风拾音效果。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11.整机内置专属的4核音频CPU处理器，最多支持8路麦克风数据处理，采样率支持192K，同时不占用整机系统的CPU能力。</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五、按键设计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2.整机具备至少6个前置按键，可实现开关机、调出中控菜单、音量+/-、护眼、录屏操作。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4.整机设备支持通过前置面板物理按键一键启动AI课堂数据分析及反馈功能，可将屏幕中显示的课件、音频内容与人声同时录制。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 USB 接口具备防撞挡板设计，防撞挡板采用内嵌翻转式转轴。</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5个以上自定义前置按键，“设置”、“音量-”，“音量+”，“录屏”，“护眼”按键，可通过自定义设置实现前置面板功能按键一键启用任一全局小工具（批注、截屏、计时、降半屏、放大镜）、快捷开关（节能模式、纸质护眼模式、经典护眼模式、自动亮度模式）、课堂智能反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六、摄像头设计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1.整机内置摄像头（非外扩），PC 通道下支持通过视频展台软件调用摄像头进行二维码扫码识别。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2.具备摄像头工作指示灯，摄像头运行时，有指示灯提示。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3.整机上边框内置非独立式摄像头，采用一体化集成设计，摄像头数量≥4个；</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4.整机内置至少三个摄像头，像素值均大于800 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5.▲整机上边框内置非独立式广角高清摄像头，视场角≥151度且水平视场角≥135度，支持输出4:3、16:9比例的图片和视频；在清晰度为3840 x 2160分辨率下，支持30帧的视频输出；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6.整机上边框内置非独立式3个智能拼接摄像头，支持清晰度TV lines ≥ 1600 lines；</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7.▲整机上边框内置非独立式3个智能拼接摄像头，视场角≥141度且水平视场角≥139度，可拍摄≥1600万像素的照片，支持输出8192×2048分辨率的照片和视频，支持画面畸变矫正功能 ；</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8.▲整机支持距离摄像头位置≥10米距离的AI识别人脸。</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9.整机上边框内置非独式广角高清摄像头和智能拼接摄像头，均支持3D降噪算法和数字宽动态范围成像WDR技术，支持输出MJPG、H.264视频格式。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10.整机上边框内置非独立的广角高清摄像头，在距离整机1.7米情况下，且拍摄范围可以覆盖摄像头垂直法线左右距离大于等于4米，可以实现人脸识别。</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11.整机摄像头支持人脸识别、清点人数、随机抽人；识别所有学生，显示标记，然后随机抽选，支持同时显示标记不少于60人。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12.整机支持上边框内置非独立摄像头模组，支持同时输出至少3路视频流，同时支持课堂远程巡课、课堂教学数据采集、本地画面预览（拍照或视频录制）。</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13.整机支持通过人脸识别进行登录账号。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14.整机摄像头支持环境色温判断，根据环境调节合适的显示图像效果。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七、触摸系统设计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1.支持Windows 7、Windows 8、Windows 10、Windows 11、Linux、Mac Os、UOS和麒麟系统外置电脑操作系统接入时，无需安装触摸驱动。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2.触摸分辨率32768×32768。</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3.整机触控书写功能集成预测算法，在书写速度≥50cm/s，支持笔迹距离笔的距离小于20mm。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4.整机系统支持书写触控延迟≤15ms。触摸响应时间≤2.5ms。触摸最小识别物≤1.5mm。</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5.整机屏幕触摸有效识别高度不超过1.5mm，即触摸物体距离玻璃外表面高度不超过1.5mm时，触摸屏识别为点击操作。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6.▲整机支持提笔书写，在Windows系统下可实现无需点击任意功能入口，当检测到红外笔笔尖接触屏幕时，自动进入书写模式。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7.支持同一支笔笔头、笔尾书写不同的颜色，且颜色可自定义。</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8.整机触摸支持动态压力感应，支持无任何电子功能的普通书写笔在整机上书写或点压时，整机能感应压力变化，书写或点压过程笔迹呈现不同粗细。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9.整机支持手笔分离，通过提笔即写唤醒批注功能后，可进行手笔分离功能，使用笔正常书写，使用手指可以操作应用，进行点击操作。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10.支持智能板擦功能，系统可根据触控物体的形状自动识别出实物板擦，可擦除电子白板中的内容，无需依赖外部电子设备。</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11.触摸屏具有防遮挡功能，触摸接收器在单点或多点遮挡后仍能正常书写。</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九、主要功能设计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1.外接电脑设备连接整机且触摸信号连通时，外接电脑设备可直接读取整机前置USB接口的移动存储设备数据，连接整机前置USB接口的翻页笔和无线键鼠外接设备可直接使用于外接电脑。</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2.支持智能U盘锁功能，整机可设置触摸及按键锁定，锁定后无法随意自由操作，需要使用时插入USB key可解锁。</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4.外接电脑设备经双头Type-C线连接至整机，可调用整机内置的摄像头、麦克风、扬声器，在外接电脑即可控制整机拍摄教室画面。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5.前置Type-C接口，支持通过不带转换转置的外部线缆，实现外接电脑HDMI信号的接入显示。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6.整机关机状态下，通过长按电源键进入设置界面后，可点击屏幕选择恢复Android系统及Windows操作系统到出厂默认状态，无需额外工具辅助。</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7.整机关机状态下，通过长按电源键进入设置界面后，可点击屏幕选择故障检测、系统还原功能，系统还原可单独还原PC系统，单独还原整机系统。</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8.在整机全信号源通道下，支持十指长按屏幕5秒和遥控器两种方式实现触摸锁定及解锁，触摸锁定时整机无法被触控操作。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9.支持通道自动跳转功能，如整机处于正常使用状态，HDMI信号接入时，能自动识别并切换到对应的HDMI信号源通道，且断开后能回到上一通道。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10.在HDMI、Android以及Windows信号源模式下，整机屏幕支持手势下移实现半屏显示，半屏显示时可通过点击上方屏幕返回全屏。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11.支持半屏模式，将Windows显示画面上半部分下拉到屏幕下半部分显示，此时依然可以正常触控操作Windows系统；点击非Windows显示画面区域（屏幕上半部分），即可退出该模式。</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12.支持通道记忆功能，开机默认回到最近一次关机时的显示通道。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13.支持外接信号输入时自动唤醒功能，整机处于关机通电状态，外接电脑显示信号通过HDMI传输线连接至整机时，整机可智能识别外接电脑设备信号输入并自动开机。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14.整机内置专业硬件自检维护工具（非第三方工具），支持对整机内部板卡及部件模块进行故障检测、系统还原功能。支持云端在线系统固件升级。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15.当整机处于黑暗环境中并无人操作，一分钟后整机将可以自动进入熄屏模式。支持将自定义图片、动画设置为开机画面。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16.支持通过Type-C接口U盘进行文件传输，兼容Type-C接口手机充电。</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17.整机在五分钟内处于无信号接收状态时，能够自动关机。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18.整机具备供电保护模块，能够检测内置电脑是否插好在位，在内置电脑未在位的情况下，内置电脑无法上电工作。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19.触摸屏在照度100k lx（勒克司）环境下仍能正常工作。</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八、嵌入式系统设计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1.嵌入式Android操作系统下，白板支持对已经书写的笔迹和形状和颜色进行更换。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2.在嵌入式系统下使用白板软件时，整机可自行调节屏幕亮度。</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3.嵌入式Android操作系统下，互动白板支持不同背景颜色，同时提供学科背景，如：五线谱、信纸、田字格、英文格、篮球和足球场地平面图。</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无PC状态下，嵌入式系统内置互动白板支持十笔书写及手掌擦除（手掌擦除面积根据手掌与屏幕的接触面大小自动调整），白板书写内容可以PDF、IWB和SVG格式导出。支持10种以上平面图形工具。支持8种以上立体图形工具。</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5.无PC状态下，嵌入式系统内置互动白板支持全局漫游，并能在工具栏中对全局内容进行预览和移动。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6.无PC状态下，嵌入式Android操作系统下可使用白板书写、WPS软件使用和网页浏览。</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7.在嵌入式Android操作系统下，能对TV多媒体USB所读取到的文件进行自动归类，可分类查找文档、板书、图片、音视频，检索后可直接在界面中打开。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九、侧边栏设计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1.整机内置全通道侧边栏快捷菜单，小工具、应用软件、快捷设置、亮度/音量调节、教室物联入口。</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2.整机全通道侧边栏支持展示学校名称、设备班级、场地信息。</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3.整机全通道侧边栏快捷菜单包含如下小工具：批注、降半屏、截屏、放大镜、倒计时、日历、聚光灯、秒表、冻屏、倒数日、答题、节拍器</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4.整机支持在设备上通过摄像头获取教室内图像并自动识别图像内所有人员，并随机抽选1人。</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5.整机支持在设备上通过摄像头获取教室内图像并自动识别图像内所有人员，并自动进行人数统计。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6.整机Windows通道支持通过侧边栏调取软键盘。</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7.整机Windows通道支持对当前运行中的应用进行窗口最大化、窗口最小化、应用强制关闭。</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8.整机支持在设备上，通过侧边栏实现调用windows系统运行、打开文件夹、打开任务管理。</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9.整机处于非内置PC通道下，支持通过侧边栏进入PC通道。</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10.整机全通道侧边栏快捷菜单支持快捷调节音量、亮度，支持自动亮度模式，支持点击静音按钮静音。</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11.整机全通道侧边栏快捷菜单中应用软件可以进行切换，无需在已经开启的应用软件全屏模式下退出当前应用再选择更换。</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12.整机全通道侧边栏支持自定义快捷菜单，支持windows应用固定，可将应用固定后，在侧边栏进行快捷打开。</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13.整机全通道侧边栏快捷菜单中可实时查看物联设备的连接情况，点击设备图标即可调出中控菜单进行管控。</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十、产品售后服务</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1.全国24小时免费400电话保修、二维码扫描保修、区域化驻地技术工程师专线保修。</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2.微信售后报修服务：快速输入相关问题及所在区域进行在线保修，贴心服务人员实时在线提供客服专线报修，更好更快的解决售后故障问题带来的使用不便。</w:t>
            </w:r>
          </w:p>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3.微信问题查询服务：提供八大模块的问题查询及解决方案，现场完成简单故障的快速修复指导。</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无线视频展台</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 可固定在三脚架上，可放置在讲台、课桌上。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摄像头臂上下可在0-90°任意位置弯折悬停、前后可180°旋转、主机和支架可分离机构设计，能俯拍作业，水平拍摄，手持拍摄。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俯拍情况下，拍摄角度可覆盖A3画幅。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主机具备显示屏幕，可实时预览拍摄的范围和画面。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▲支持5G wifi无线传输。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 支持最多四台无线展台画面实时显示，可对比显示画面。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 ▲支持拍摄1300万像素照片，支持3840*2160@20Hz超高清实时视频流传输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 采用PDAF相位对焦技术，自动对焦速度低于300ms，减少对焦过程时间，提高教学效率。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 ▲支持通过双击大屏画面任意位置，即时改变对焦位置，可对立体物体的局部进行精确对焦。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采用type C充电接口，充电额定电压5VDC，充电额定电流2A，自带的可充电电池，充满电可是产品工作至少4小时。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 支持二维码扫描快速加入网络、绑定无线网络。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 展台机身上有四个按键，实现开关机、模式切换、画面旋转、启动功能，可实现一键启动展台画面、画面旋转、拍照、录像等功能；展台软件支持扫一扫、移动、批注、橡皮、撤销、拍照、延时拍照、英文批注、画面调节（旋转、缩放、亮度、情景模式、画面锁定）及对比教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 ▲为保证兼容性及稳定性，视频展台需与交互智能平板为同一品牌厂家。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9.外壳防火等级≥V1。9.为保证兼容性及稳定性，无线麦克风需与一体化有源音箱为同一品牌厂家。</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屏幕黑屏、亮屏，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195"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194"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周边配套设备、辅助材料及安装要求</w:t>
            </w:r>
          </w:p>
        </w:tc>
        <w:tc>
          <w:tcPr>
            <w:tcW w:w="2885" w:type="pct"/>
            <w:vAlign w:val="center"/>
          </w:tcPr>
          <w:p>
            <w:pPr>
              <w:spacing w:line="400" w:lineRule="exact"/>
              <w:rPr>
                <w:rFonts w:asciiTheme="minorEastAsia" w:hAnsiTheme="minorEastAsia" w:eastAsiaTheme="minorEastAsia"/>
                <w:bCs/>
                <w:sz w:val="22"/>
                <w:szCs w:val="22"/>
              </w:rPr>
            </w:pPr>
            <w:r>
              <w:rPr>
                <w:rFonts w:hint="eastAsia" w:asciiTheme="minorEastAsia" w:hAnsiTheme="minorEastAsia" w:eastAsiaTheme="minorEastAsia"/>
                <w:bCs/>
                <w:sz w:val="22"/>
                <w:szCs w:val="22"/>
              </w:rPr>
              <w:t>1、材料：国产优质10米HDMI线缆，国产优质铜线电源线：RVV 3*2.5mm，国产优质音频线：100芯*2股，10米  接头3.5mm，国产优质五孔明装插座等必备配件。国产优质六类非屏蔽网线、 20*15PVC不燃线槽（管）、视频线接头、电源插座等线材设备以及相关的周边设备、音视频线接头及相关配件、材料全部包干并安装、调试、培训直至设备正常使用；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2、安装工艺：安装前要把安装方案的思路、优点、可能存在的问题事先与学校沟通好，形成书面协议，由学校盖章确认后再实施。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3、多媒体设备开机画面居中展示“隆安县教育局2025年装备”。</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8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rPr>
        <w:t>五、课桌椅</w:t>
      </w:r>
    </w:p>
    <w:tbl>
      <w:tblPr>
        <w:tblStyle w:val="25"/>
        <w:tblW w:w="0" w:type="auto"/>
        <w:tblInd w:w="0" w:type="dxa"/>
        <w:tblLayout w:type="autofit"/>
        <w:tblCellMar>
          <w:top w:w="0" w:type="dxa"/>
          <w:left w:w="108" w:type="dxa"/>
          <w:bottom w:w="0" w:type="dxa"/>
          <w:right w:w="108" w:type="dxa"/>
        </w:tblCellMar>
      </w:tblPr>
      <w:tblGrid>
        <w:gridCol w:w="656"/>
        <w:gridCol w:w="440"/>
        <w:gridCol w:w="4922"/>
        <w:gridCol w:w="656"/>
        <w:gridCol w:w="656"/>
        <w:gridCol w:w="1316"/>
        <w:gridCol w:w="1316"/>
      </w:tblGrid>
      <w:tr>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项号</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货物名称</w:t>
            </w:r>
          </w:p>
        </w:tc>
        <w:tc>
          <w:tcPr>
            <w:tcW w:w="0" w:type="auto"/>
            <w:tcBorders>
              <w:top w:val="single" w:color="auto" w:sz="4" w:space="0"/>
              <w:left w:val="single" w:color="auto" w:sz="4" w:space="0"/>
              <w:bottom w:val="single" w:color="auto" w:sz="4" w:space="0"/>
              <w:right w:val="single" w:color="auto" w:sz="4" w:space="0"/>
            </w:tcBorders>
            <w:vAlign w:val="center"/>
          </w:tcPr>
          <w:p>
            <w:pPr>
              <w:widowControl/>
              <w:jc w:val="left"/>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技术参数</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单位</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数量</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单价（元）</w:t>
            </w:r>
          </w:p>
        </w:tc>
        <w:tc>
          <w:tcPr>
            <w:tcW w:w="0" w:type="auto"/>
            <w:tcBorders>
              <w:top w:val="single" w:color="auto" w:sz="4" w:space="0"/>
              <w:left w:val="single" w:color="auto" w:sz="4" w:space="0"/>
              <w:bottom w:val="single" w:color="auto" w:sz="4" w:space="0"/>
              <w:right w:val="single" w:color="auto" w:sz="4" w:space="0"/>
            </w:tcBorders>
            <w:noWrap/>
            <w:vAlign w:val="center"/>
          </w:tcPr>
          <w:p>
            <w:pPr>
              <w:widowControl/>
              <w:jc w:val="center"/>
              <w:textAlignment w:val="center"/>
              <w:rPr>
                <w:rFonts w:ascii="宋体" w:hAnsi="宋体" w:cs="宋体"/>
                <w:color w:val="000000"/>
                <w:kern w:val="0"/>
                <w:sz w:val="22"/>
                <w:szCs w:val="22"/>
                <w:lang w:bidi="ar"/>
              </w:rPr>
            </w:pPr>
            <w:r>
              <w:rPr>
                <w:rFonts w:hint="eastAsia" w:asciiTheme="minorEastAsia" w:hAnsiTheme="minorEastAsia" w:eastAsiaTheme="minorEastAsia"/>
                <w:bCs/>
                <w:sz w:val="22"/>
                <w:szCs w:val="22"/>
              </w:rPr>
              <w:t>合价（元）</w:t>
            </w:r>
          </w:p>
        </w:tc>
      </w:tr>
      <w:tr>
        <w:tblPrEx>
          <w:tblCellMar>
            <w:top w:w="0" w:type="dxa"/>
            <w:left w:w="108" w:type="dxa"/>
            <w:bottom w:w="0" w:type="dxa"/>
            <w:right w:w="108" w:type="dxa"/>
          </w:tblCellMar>
        </w:tblPrEx>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学生课桌</w:t>
            </w:r>
          </w:p>
        </w:tc>
        <w:tc>
          <w:tcPr>
            <w:tcW w:w="0" w:type="auto"/>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1、除本表中特别要求外，产品符合GB/T 3976-2014《学校课桌椅功能尺寸》中的功能尺寸及技术要求。</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▲2、桌面尺寸：（长×宽）620mm×450mm(±10mm)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桌子型号：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（1）中学部分：采用双柱升降课桌；高度790mm（0号）、760mm（1号）、730mm（2号）、700mm（3号）、670mm（4号），允许误差±5mm，可任意升降；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（2）小学部分：采用固定式双柱课桌；高度640 mm（5号）、610 mm（6号）、580mm（7号）、550mm（8号）、520mm（9号），允许偏差±5mm。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▲3、桌斗尺寸：深370mm，长520mm，高115mm（净空），尺寸允许偏差±3mm；桌斗与侧板采用高频焊接，不允许使用铆钉或螺钉连接；桌斗面无冲压孔，避免学生在桌斗取放物品时被割伤。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4、桌斗加强筋间距25mm(±2mm)，深度6mm(±2mm)，距斗边距35mm(±2mm)，外露管口端面须封闭。</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桌斗参考图样：</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俯视图   </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162050" cy="1724660"/>
                  <wp:effectExtent l="0" t="0" r="0" b="889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0"/>
                          <a:stretch>
                            <a:fillRect/>
                          </a:stretch>
                        </pic:blipFill>
                        <pic:spPr>
                          <a:xfrm>
                            <a:off x="0" y="0"/>
                            <a:ext cx="1162050" cy="172466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 xml:space="preserve">  侧视图</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1181100" cy="1848485"/>
                  <wp:effectExtent l="0" t="0" r="0" b="1841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31"/>
                          <a:stretch>
                            <a:fillRect/>
                          </a:stretch>
                        </pic:blipFill>
                        <pic:spPr>
                          <a:xfrm>
                            <a:off x="0" y="0"/>
                            <a:ext cx="1181100" cy="184848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▲5、钢材要求：桌斗与侧片采用符合</w:t>
            </w:r>
            <w:r>
              <w:rPr>
                <w:rFonts w:hint="eastAsia" w:ascii="宋体" w:hAnsi="宋体" w:cs="宋体"/>
                <w:color w:val="000000"/>
                <w:kern w:val="0"/>
                <w:sz w:val="22"/>
                <w:szCs w:val="22"/>
                <w:lang w:val="en-US" w:eastAsia="zh-CN" w:bidi="ar"/>
              </w:rPr>
              <w:t>GB/T 708-2019</w:t>
            </w:r>
            <w:r>
              <w:rPr>
                <w:rFonts w:hint="eastAsia" w:ascii="宋体" w:hAnsi="宋体" w:cs="宋体"/>
                <w:color w:val="000000"/>
                <w:kern w:val="0"/>
                <w:sz w:val="22"/>
                <w:szCs w:val="22"/>
                <w:lang w:bidi="ar"/>
              </w:rPr>
              <w:t xml:space="preserve">标准的冷轧板，课桌两侧可调高度的立板厚度不低于为0.8mm，桌斗板厚不低于0.6mm，课桌脚·立柱采用25mm×50mm椭圆管，管壁厚度不低于1.0mm；椭圆管折弯处饱满，无凹陷；所有零部件应无破损，金属件应无端部未封口的管件，闷盖应不易脱落。 </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▲6、课桌面板厚≥15mm，主体采用胶合板，双面无差别防火板饰面,甲醛释放量达到GB18580-2017的 E1级控制指标，即≤0.124mg/m³。面板四周采用PE注塑成型，注塑边缘与桌面圆润连接，平整光滑；桌面上设置塑料笔槽。</w:t>
            </w:r>
            <w:r>
              <w:rPr>
                <w:rFonts w:hint="eastAsia" w:ascii="宋体" w:hAnsi="宋体" w:cs="宋体"/>
                <w:kern w:val="0"/>
                <w:sz w:val="22"/>
                <w:szCs w:val="22"/>
                <w:lang w:bidi="ar"/>
              </w:rPr>
              <w:br w:type="textWrapping"/>
            </w:r>
            <w:r>
              <w:rPr>
                <w:rFonts w:hint="eastAsia" w:ascii="宋体" w:hAnsi="宋体" w:cs="宋体"/>
                <w:kern w:val="0"/>
                <w:sz w:val="22"/>
                <w:szCs w:val="22"/>
                <w:lang w:bidi="ar"/>
              </w:rPr>
              <w:t>课桌面板参考图样：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76400" cy="1752600"/>
                  <wp:effectExtent l="0" t="0" r="0" b="0"/>
                  <wp:docPr id="16" name="图片 3" descr="4@0JJ$~VOIGAX{GE5}MA}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4@0JJ$~VOIGAX{GE5}MA}18"/>
                          <pic:cNvPicPr>
                            <a:picLocks noChangeAspect="1"/>
                          </pic:cNvPicPr>
                        </pic:nvPicPr>
                        <pic:blipFill>
                          <a:blip r:embed="rId32">
                            <a:grayscl/>
                          </a:blip>
                          <a:stretch>
                            <a:fillRect/>
                          </a:stretch>
                        </pic:blipFill>
                        <pic:spPr>
                          <a:xfrm>
                            <a:off x="0" y="0"/>
                            <a:ext cx="1676400" cy="17526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▲7、课桌脚套采用内嵌式具有良好的硬度和韧度的蓝色脚套；采用超高分子量PE注塑成型，脚套内深不低于35mm，加强筋4圈，底厚不低于5mm，不易脱落。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▲8、桌斗桌脚架固定要用螺栓、平垫片和弹簧垫片坚固，螺帽采用圆头螺帽；侧片采用圆形孔，安装好产品致使螺丝不能任意松垮，确保课桌的安全使用。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52625" cy="1228725"/>
                  <wp:effectExtent l="0" t="0" r="9525" b="9525"/>
                  <wp:docPr id="20" name="图片 4"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T~(J``TJB`4Y)D68$N3XZ31"/>
                          <pic:cNvPicPr>
                            <a:picLocks noChangeAspect="1"/>
                          </pic:cNvPicPr>
                        </pic:nvPicPr>
                        <pic:blipFill>
                          <a:blip r:embed="rId33">
                            <a:grayscl/>
                          </a:blip>
                          <a:srcRect l="4498" t="10185" r="5191" b="14352"/>
                          <a:stretch>
                            <a:fillRect/>
                          </a:stretch>
                        </pic:blipFill>
                        <pic:spPr>
                          <a:xfrm>
                            <a:off x="0" y="0"/>
                            <a:ext cx="1952625"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12、桌斗与桌架颜色为高光灰白色。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▲13、桌子左右两边要求配有挂钩，挂钩挂钩采用直径不小于4mm的冷拉普通钢丝制作，规格不小于55×25×25mm，承重不少于15公斤。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挂钩参考图样：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590675" cy="1600200"/>
                  <wp:effectExtent l="0" t="0" r="9525" b="0"/>
                  <wp:docPr id="17" name="图片 5"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descr="123"/>
                          <pic:cNvPicPr>
                            <a:picLocks noChangeAspect="1"/>
                          </pic:cNvPicPr>
                        </pic:nvPicPr>
                        <pic:blipFill>
                          <a:blip r:embed="rId34"/>
                          <a:stretch>
                            <a:fillRect/>
                          </a:stretch>
                        </pic:blipFill>
                        <pic:spPr>
                          <a:xfrm>
                            <a:off x="0" y="0"/>
                            <a:ext cx="1590675" cy="16002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14、冲压件应无脱层、裂缝。桌斗利用钢板由机器冲压一次成型，端口作卷边处理增加刚性，以防尖利边角对人体的伤害。桌斗底面冲压两条上凸的加强筋以增强桌斗刚性。课桌两侧立板边缘打磨平滑后再喷漆，以防尖毛边刮伤人体。</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▲15、课桌面板与钢架的连接采用抽芯钉连接，桌斗四周的边要≥10mm。抽芯钉的铆头不低于直径10mm，面板与钢架连接的抽芯钉不少于四根；抽芯钉打磨光滑，以防尖毛边刮伤人体。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370330" cy="1323975"/>
                  <wp:effectExtent l="0" t="0" r="1270" b="9525"/>
                  <wp:docPr id="18" name="图片 6"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descr="K8%TE~54XWYUNV6T$J`9A05"/>
                          <pic:cNvPicPr>
                            <a:picLocks noChangeAspect="1"/>
                          </pic:cNvPicPr>
                        </pic:nvPicPr>
                        <pic:blipFill>
                          <a:blip r:embed="rId35"/>
                          <a:stretch>
                            <a:fillRect/>
                          </a:stretch>
                        </pic:blipFill>
                        <pic:spPr>
                          <a:xfrm>
                            <a:off x="0" y="0"/>
                            <a:ext cx="1370330" cy="13239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▲16、课桌所有外露管口端面须封闭。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17、胶合板的质量应符合轻工行业标准QB/T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18、课桌加工所用胶合板含水率应≤15.4%。课桌产品出厂时木材含水率≤15.4%。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19.标识：每张课桌根据其型号及适用身高范围，在桌斗背面安装或粘贴（宽×高）70mm×40mm如下图的铝制标识，安装要求要牢固，不易脱落，标识中加入产品信息二维码。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895600" cy="1857375"/>
                  <wp:effectExtent l="0" t="0" r="0"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36"/>
                          <a:stretch>
                            <a:fillRect/>
                          </a:stretch>
                        </pic:blipFill>
                        <pic:spPr>
                          <a:xfrm>
                            <a:off x="0" y="0"/>
                            <a:ext cx="2895600" cy="1857375"/>
                          </a:xfrm>
                          <a:prstGeom prst="rect">
                            <a:avLst/>
                          </a:prstGeom>
                          <a:noFill/>
                          <a:ln>
                            <a:noFill/>
                          </a:ln>
                        </pic:spPr>
                      </pic:pic>
                    </a:graphicData>
                  </a:graphic>
                </wp:inline>
              </w:drawing>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120</w:t>
            </w:r>
          </w:p>
        </w:tc>
        <w:tc>
          <w:tcPr>
            <w:tcW w:w="0" w:type="auto"/>
            <w:tcBorders>
              <w:top w:val="single" w:color="auto"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168000</w:t>
            </w:r>
          </w:p>
        </w:tc>
      </w:tr>
      <w:tr>
        <w:tblPrEx>
          <w:tblCellMar>
            <w:top w:w="0" w:type="dxa"/>
            <w:left w:w="108" w:type="dxa"/>
            <w:bottom w:w="0" w:type="dxa"/>
            <w:right w:w="108" w:type="dxa"/>
          </w:tblCellMar>
        </w:tblPrEx>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sz w:val="22"/>
                <w:szCs w:val="22"/>
              </w:rPr>
            </w:pPr>
            <w:r>
              <w:rPr>
                <w:rFonts w:hint="eastAsia" w:ascii="宋体" w:hAnsi="宋体" w:cs="宋体"/>
                <w:color w:val="000000"/>
                <w:kern w:val="0"/>
                <w:sz w:val="22"/>
                <w:szCs w:val="22"/>
                <w:lang w:bidi="ar"/>
              </w:rPr>
              <w:t>学生课椅</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kern w:val="0"/>
                <w:sz w:val="22"/>
                <w:szCs w:val="22"/>
                <w:lang w:bidi="ar"/>
              </w:rPr>
            </w:pPr>
            <w:r>
              <w:rPr>
                <w:rFonts w:hint="eastAsia" w:ascii="宋体" w:hAnsi="宋体" w:cs="宋体"/>
                <w:color w:val="000000"/>
                <w:kern w:val="0"/>
                <w:sz w:val="22"/>
                <w:szCs w:val="22"/>
                <w:lang w:bidi="ar"/>
              </w:rPr>
              <w:t xml:space="preserve">▲1、除本表中特别要求外，产品符合GB/T 3976-2014《学校课桌椅功能尺寸》中的功能尺寸及技术要求。 </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▲2、座面高度：</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课椅座面尺寸：（宽×深）380mm×380mm(±5mm)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课椅高度：460mm(0号)、440 mm（1号）、420 mm（2号）、400 mm（3号）、380mm（4号），允许误差±5mm，以上5个型号要求可任意升降。</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以下型号要求固定高度：360mm（5号）、340mm（6号）、320mm（7号）、300mm（8号）、290mm（9号），产品符合GB/T 3976-2014《学校课桌椅功能尺寸》中的功能尺寸及技术要求，允许误差±5mm。</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供货前须主动与学校沟通各型号定制数量，双方签字确认后方可供货。</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▲3、钢材要求：椅脚架采用优质高频焊接25mm×50mm椭圆管，满焊，管壁厚度不低于1.0mm，焊口要牢固、光滑，不生锈；椅脚两侧可调高度的立板采用符合</w:t>
            </w:r>
            <w:r>
              <w:rPr>
                <w:rFonts w:hint="eastAsia" w:ascii="宋体" w:hAnsi="宋体" w:cs="宋体"/>
                <w:color w:val="000000"/>
                <w:kern w:val="0"/>
                <w:sz w:val="22"/>
                <w:szCs w:val="22"/>
                <w:lang w:val="en-US" w:eastAsia="zh-CN" w:bidi="ar"/>
              </w:rPr>
              <w:t>GB/T 708-2019</w:t>
            </w:r>
            <w:r>
              <w:rPr>
                <w:rFonts w:hint="eastAsia" w:ascii="宋体" w:hAnsi="宋体" w:cs="宋体"/>
                <w:color w:val="000000"/>
                <w:kern w:val="0"/>
                <w:sz w:val="22"/>
                <w:szCs w:val="22"/>
                <w:lang w:bidi="ar"/>
              </w:rPr>
              <w:t>标准的冷轧板，厚度≥0.8mm；椅子靠背支架采用优质高频焊接20mm×20mm方管，管壁厚度不小于1.0mm；椭圆管折弯处饱满，无凹陷；坐面板下的横担（对应坐面板深度）长度不小于290mm(±5mm)；所有零部件应无破损，金属件应无端部未封口的管件，闷盖应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课椅靠背架参考图样：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692910" cy="1485900"/>
                  <wp:effectExtent l="0" t="0" r="2540" b="0"/>
                  <wp:docPr id="10" name="图片 8" descr="YYH`4SI9VE7N}WY3J9FWFM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YYH`4SI9VE7N}WY3J9FWFMV"/>
                          <pic:cNvPicPr>
                            <a:picLocks noChangeAspect="1"/>
                          </pic:cNvPicPr>
                        </pic:nvPicPr>
                        <pic:blipFill>
                          <a:blip r:embed="rId37">
                            <a:grayscl/>
                          </a:blip>
                          <a:srcRect b="5983"/>
                          <a:stretch>
                            <a:fillRect/>
                          </a:stretch>
                        </pic:blipFill>
                        <pic:spPr>
                          <a:xfrm>
                            <a:off x="0" y="0"/>
                            <a:ext cx="1692910" cy="14859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▲4、课椅座面板厚≥12mm，主体采用胶合板,双面无差别防火板饰面，甲醛释放量达到GB18580-2017的 E1级控制指标，即≤0.124mg/m³。符合人体工程学的设计。面板四周采用PE注塑成型，注塑边缘与座面圆润连接，平整光滑，无突兀感。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课椅座面板参考图样：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438275" cy="1453515"/>
                  <wp:effectExtent l="0" t="0" r="9525" b="1333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38"/>
                          <a:stretch>
                            <a:fillRect/>
                          </a:stretch>
                        </pic:blipFill>
                        <pic:spPr>
                          <a:xfrm>
                            <a:off x="0" y="0"/>
                            <a:ext cx="1438275" cy="145351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▲5、课椅靠背为弧形，其主体采用胶合板,双面饰面，面板的曲率半径750mm（±10mm），面板厚度≥10mm、宽≥385mm，高≥160mm。靠背面板四周采用PE注塑成型，注塑边缘与靠背面圆润连接，光滑无突兀感。</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课椅靠背板参考图样：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18005" cy="1362075"/>
                  <wp:effectExtent l="0" t="0" r="10795" b="9525"/>
                  <wp:docPr id="11" name="图片 10" descr="KRBA41JK8`C]~~O%O0ED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KRBA41JK8`C]~~O%O0ED1]O"/>
                          <pic:cNvPicPr>
                            <a:picLocks noChangeAspect="1"/>
                          </pic:cNvPicPr>
                        </pic:nvPicPr>
                        <pic:blipFill>
                          <a:blip r:embed="rId39">
                            <a:grayscl/>
                            <a:lum contrast="40000"/>
                          </a:blip>
                          <a:stretch>
                            <a:fillRect/>
                          </a:stretch>
                        </pic:blipFill>
                        <pic:spPr>
                          <a:xfrm>
                            <a:off x="0" y="0"/>
                            <a:ext cx="1818005" cy="136207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▲6、课椅脚套采用内嵌式具有良好的硬度和韧度的蓝色脚套；采用超高分子量PE注塑成型，脚套内深不低于35mm，加强筋4圈，底厚不低于5mm，不易脱落。</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7、课椅脚架固定要用螺栓、平垫片和弹簧垫片坚固，螺帽采用圆头螺帽；课椅两侧立板边缘打磨平滑后再喷漆，以防尖毛边刮伤人体；侧片采用圆形孔，安装好产品致使螺丝不能任意松垮，即能确保课桌椅的安全使用。</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圆头螺帽参考图样：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962150" cy="1228725"/>
                  <wp:effectExtent l="0" t="0" r="0" b="9525"/>
                  <wp:docPr id="21" name="图片 11" descr="T~(J``TJB`4Y)D68$N3XZ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descr="T~(J``TJB`4Y)D68$N3XZ31"/>
                          <pic:cNvPicPr>
                            <a:picLocks noChangeAspect="1"/>
                          </pic:cNvPicPr>
                        </pic:nvPicPr>
                        <pic:blipFill>
                          <a:blip r:embed="rId33">
                            <a:grayscl/>
                          </a:blip>
                          <a:srcRect l="4498" t="10185" r="5191" b="14352"/>
                          <a:stretch>
                            <a:fillRect/>
                          </a:stretch>
                        </pic:blipFill>
                        <pic:spPr>
                          <a:xfrm>
                            <a:off x="0" y="0"/>
                            <a:ext cx="1962150" cy="1228725"/>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▲8、采用环保塑粉。</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9、铁件部分均要经过除油、去锈、酸洗、磷化处理再进行喷塑，然后经过180℃以上高温烘烤。</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10、铁件的焊接均采用二氧化碳气体保护焊进行焊接。所有焊接部位焊点均匀到位，无脱焊、虚焊、焊穿；焊痕平整光滑，无毛刺、锐棱、飞溅、裂纹等缺陷。铁件之间的连接处，具备满焊条件的，均满焊。</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11、椅架颜色为高光灰白色。</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▲12、课椅面板、靠背板与钢架的连接采用抽芯钉连接，抽芯钉的铆头直径不低于约10mm，面板、靠背板与钢架连接的抽芯钉均不少于四根；抽芯钉打磨光滑，以防尖毛边刮伤人体。</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抽芯钉参考图样：</w:t>
            </w:r>
            <w:r>
              <w:rPr>
                <w:rFonts w:hint="eastAsia" w:ascii="宋体" w:hAnsi="宋体" w:cs="宋体"/>
                <w:color w:val="000000"/>
                <w:kern w:val="0"/>
                <w:sz w:val="22"/>
                <w:szCs w:val="22"/>
                <w:lang w:bidi="ar"/>
              </w:rPr>
              <w:br w:type="textWrapping"/>
            </w:r>
            <w:r>
              <w:rPr>
                <w:rFonts w:hint="eastAsia" w:ascii="宋体" w:hAnsi="宋体" w:cs="宋体"/>
              </w:rPr>
              <w:drawing>
                <wp:inline distT="0" distB="0" distL="114300" distR="114300">
                  <wp:extent cx="1866900" cy="1790700"/>
                  <wp:effectExtent l="0" t="0" r="0" b="0"/>
                  <wp:docPr id="19" name="图片 12" descr="K8%TE~54XWYUNV6T$J`9A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K8%TE~54XWYUNV6T$J`9A05"/>
                          <pic:cNvPicPr>
                            <a:picLocks noChangeAspect="1"/>
                          </pic:cNvPicPr>
                        </pic:nvPicPr>
                        <pic:blipFill>
                          <a:blip r:embed="rId40"/>
                          <a:stretch>
                            <a:fillRect/>
                          </a:stretch>
                        </pic:blipFill>
                        <pic:spPr>
                          <a:xfrm>
                            <a:off x="0" y="0"/>
                            <a:ext cx="1866900" cy="1790700"/>
                          </a:xfrm>
                          <a:prstGeom prst="rect">
                            <a:avLst/>
                          </a:prstGeom>
                          <a:noFill/>
                          <a:ln>
                            <a:noFill/>
                          </a:ln>
                        </pic:spPr>
                      </pic:pic>
                    </a:graphicData>
                  </a:graphic>
                </wp:inline>
              </w:drawing>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▲13、课椅所有外露管口端面须封闭。</w:t>
            </w:r>
            <w:r>
              <w:rPr>
                <w:rFonts w:hint="eastAsia" w:ascii="宋体" w:hAnsi="宋体" w:cs="宋体"/>
                <w:color w:val="000000"/>
                <w:kern w:val="0"/>
                <w:sz w:val="22"/>
                <w:szCs w:val="22"/>
                <w:lang w:bidi="ar"/>
              </w:rPr>
              <w:br w:type="textWrapping"/>
            </w:r>
            <w:r>
              <w:rPr>
                <w:rFonts w:hint="eastAsia" w:ascii="宋体" w:hAnsi="宋体" w:cs="宋体"/>
                <w:kern w:val="0"/>
                <w:sz w:val="22"/>
                <w:szCs w:val="22"/>
                <w:lang w:bidi="ar"/>
              </w:rPr>
              <w:t>14、胶合板的质量应符合轻工行业标准QB/T 4071-2021《课桌椅》相应的规定要求，胶合板的胶合强度指标值≥0.70兆帕。不允许使用有边角缺陷、虫蛀、腐朽、霉变、开裂、变形等影响产品结构强度和外观的材料。</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15、课椅加工所用胶合板含水率应≤15.4%。课椅产品出厂时木材含水率≤15.4%。</w:t>
            </w:r>
            <w:r>
              <w:rPr>
                <w:rFonts w:hint="eastAsia" w:ascii="宋体" w:hAnsi="宋体" w:cs="宋体"/>
                <w:color w:val="000000"/>
                <w:kern w:val="0"/>
                <w:sz w:val="22"/>
                <w:szCs w:val="22"/>
                <w:lang w:bidi="ar"/>
              </w:rPr>
              <w:br w:type="textWrapping"/>
            </w:r>
            <w:r>
              <w:rPr>
                <w:rFonts w:hint="eastAsia" w:ascii="宋体" w:hAnsi="宋体" w:cs="宋体"/>
                <w:color w:val="000000"/>
                <w:kern w:val="0"/>
                <w:sz w:val="22"/>
                <w:szCs w:val="22"/>
                <w:lang w:bidi="ar"/>
              </w:rPr>
              <w:t>16.标识：每张课椅根据其型号及适用身高范围，在课椅靠背板背面安装或粘贴（宽×高）70mm×40mm如下图的铝制标识，安装要求要牢固，不易脱落，标识中加入产品信息二维码。</w:t>
            </w:r>
          </w:p>
          <w:p>
            <w:pPr>
              <w:widowControl/>
              <w:jc w:val="left"/>
              <w:textAlignment w:val="center"/>
              <w:rPr>
                <w:rFonts w:ascii="宋体" w:hAnsi="宋体" w:cs="宋体"/>
                <w:color w:val="000000"/>
                <w:kern w:val="0"/>
                <w:sz w:val="22"/>
                <w:szCs w:val="22"/>
                <w:lang w:bidi="ar"/>
              </w:rPr>
            </w:pPr>
            <w:r>
              <w:rPr>
                <w:rFonts w:hint="eastAsia" w:ascii="宋体" w:hAnsi="宋体" w:cs="宋体"/>
              </w:rPr>
              <w:drawing>
                <wp:inline distT="0" distB="0" distL="114300" distR="114300">
                  <wp:extent cx="2609850" cy="1609725"/>
                  <wp:effectExtent l="0" t="0" r="0" b="9525"/>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41"/>
                          <a:stretch>
                            <a:fillRect/>
                          </a:stretch>
                        </pic:blipFill>
                        <pic:spPr>
                          <a:xfrm>
                            <a:off x="0" y="0"/>
                            <a:ext cx="2609850" cy="1609725"/>
                          </a:xfrm>
                          <a:prstGeom prst="rect">
                            <a:avLst/>
                          </a:prstGeom>
                          <a:noFill/>
                          <a:ln>
                            <a:noFill/>
                          </a:ln>
                        </pic:spPr>
                      </pic:pic>
                    </a:graphicData>
                  </a:graphic>
                </wp:inline>
              </w:drawing>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张</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100</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color w:val="000000"/>
                <w:sz w:val="22"/>
                <w:szCs w:val="22"/>
              </w:rPr>
            </w:pPr>
            <w:r>
              <w:rPr>
                <w:rFonts w:ascii="宋体" w:hAnsi="宋体" w:cs="宋体"/>
                <w:color w:val="000000"/>
                <w:kern w:val="0"/>
                <w:sz w:val="22"/>
                <w:szCs w:val="22"/>
                <w:lang w:bidi="ar"/>
              </w:rPr>
              <w:t>140000</w:t>
            </w:r>
          </w:p>
        </w:tc>
      </w:tr>
    </w:tbl>
    <w:p>
      <w:pPr>
        <w:spacing w:line="400" w:lineRule="exact"/>
        <w:rPr>
          <w:rFonts w:ascii="仿宋_GB2312" w:eastAsia="仿宋_GB2312"/>
          <w:bCs/>
          <w:sz w:val="32"/>
          <w:szCs w:val="32"/>
        </w:rPr>
      </w:pPr>
    </w:p>
    <w:p>
      <w:pPr>
        <w:rPr>
          <w:b/>
          <w:bCs/>
          <w:sz w:val="28"/>
          <w:szCs w:val="28"/>
        </w:rPr>
      </w:pPr>
      <w:r>
        <w:rPr>
          <w:rFonts w:hint="eastAsia"/>
          <w:b/>
          <w:bCs/>
          <w:sz w:val="28"/>
          <w:szCs w:val="28"/>
        </w:rPr>
        <w:t>六、380座合班教室设施设备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451"/>
        <w:gridCol w:w="4443"/>
        <w:gridCol w:w="837"/>
        <w:gridCol w:w="837"/>
        <w:gridCol w:w="837"/>
        <w:gridCol w:w="8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序号</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名称</w:t>
            </w:r>
          </w:p>
        </w:tc>
        <w:tc>
          <w:tcPr>
            <w:tcW w:w="223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规格参数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一、大屏显示系统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全彩LED显示屏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1.尺寸：宽5.5m×高3.1m（16:9比例）</w:t>
            </w:r>
            <w:r>
              <w:rPr>
                <w:rFonts w:hint="eastAsia" w:ascii="宋体" w:hAnsi="宋体" w:cs="宋体"/>
                <w:bCs/>
                <w:sz w:val="20"/>
                <w:szCs w:val="20"/>
              </w:rPr>
              <w:br w:type="textWrapping"/>
            </w:r>
            <w:r>
              <w:rPr>
                <w:rFonts w:hint="eastAsia" w:ascii="宋体" w:hAnsi="宋体" w:cs="宋体"/>
                <w:bCs/>
                <w:sz w:val="20"/>
                <w:szCs w:val="20"/>
              </w:rPr>
              <w:t>2.像素间距：P1.8mm</w:t>
            </w:r>
            <w:r>
              <w:rPr>
                <w:rFonts w:hint="eastAsia" w:ascii="宋体" w:hAnsi="宋体" w:cs="宋体"/>
                <w:bCs/>
                <w:sz w:val="20"/>
                <w:szCs w:val="20"/>
              </w:rPr>
              <w:br w:type="textWrapping"/>
            </w:r>
            <w:r>
              <w:rPr>
                <w:rFonts w:hint="eastAsia" w:ascii="宋体" w:hAnsi="宋体" w:cs="宋体"/>
                <w:bCs/>
                <w:sz w:val="20"/>
                <w:szCs w:val="20"/>
              </w:rPr>
              <w:t>3.分辨率：2880×1620像素</w:t>
            </w:r>
            <w:r>
              <w:rPr>
                <w:rFonts w:hint="eastAsia" w:ascii="宋体" w:hAnsi="宋体" w:cs="宋体"/>
                <w:bCs/>
                <w:sz w:val="20"/>
                <w:szCs w:val="20"/>
              </w:rPr>
              <w:br w:type="textWrapping"/>
            </w:r>
            <w:r>
              <w:rPr>
                <w:rFonts w:hint="eastAsia" w:ascii="宋体" w:hAnsi="宋体" w:cs="宋体"/>
                <w:bCs/>
                <w:sz w:val="20"/>
                <w:szCs w:val="20"/>
              </w:rPr>
              <w:t>4.亮度：≥800nit（支持自动亮度调节）</w:t>
            </w:r>
            <w:r>
              <w:rPr>
                <w:rFonts w:hint="eastAsia" w:ascii="宋体" w:hAnsi="宋体" w:cs="宋体"/>
                <w:bCs/>
                <w:sz w:val="20"/>
                <w:szCs w:val="20"/>
              </w:rPr>
              <w:br w:type="textWrapping"/>
            </w:r>
            <w:r>
              <w:rPr>
                <w:rFonts w:hint="eastAsia" w:ascii="宋体" w:hAnsi="宋体" w:cs="宋体"/>
                <w:bCs/>
                <w:sz w:val="20"/>
                <w:szCs w:val="20"/>
              </w:rPr>
              <w:t>5.刷新率：≥3840Hz</w:t>
            </w:r>
            <w:r>
              <w:rPr>
                <w:rFonts w:hint="eastAsia" w:ascii="宋体" w:hAnsi="宋体" w:cs="宋体"/>
                <w:bCs/>
                <w:sz w:val="20"/>
                <w:szCs w:val="20"/>
              </w:rPr>
              <w:br w:type="textWrapping"/>
            </w:r>
            <w:r>
              <w:rPr>
                <w:rFonts w:hint="eastAsia" w:ascii="宋体" w:hAnsi="宋体" w:cs="宋体"/>
                <w:bCs/>
                <w:sz w:val="20"/>
                <w:szCs w:val="20"/>
              </w:rPr>
              <w:t>6.色域：≥110% NTSC</w:t>
            </w:r>
            <w:r>
              <w:rPr>
                <w:rFonts w:hint="eastAsia" w:ascii="宋体" w:hAnsi="宋体" w:cs="宋体"/>
                <w:bCs/>
                <w:sz w:val="20"/>
                <w:szCs w:val="20"/>
              </w:rPr>
              <w:br w:type="textWrapping"/>
            </w:r>
            <w:r>
              <w:rPr>
                <w:rFonts w:hint="eastAsia" w:ascii="宋体" w:hAnsi="宋体" w:cs="宋体"/>
                <w:bCs/>
                <w:sz w:val="20"/>
                <w:szCs w:val="20"/>
              </w:rPr>
              <w:t>7.防护等级：IP65（前维护型）</w:t>
            </w:r>
            <w:r>
              <w:rPr>
                <w:rFonts w:hint="eastAsia" w:ascii="宋体" w:hAnsi="宋体" w:cs="宋体"/>
                <w:bCs/>
                <w:sz w:val="20"/>
                <w:szCs w:val="20"/>
              </w:rPr>
              <w:br w:type="textWrapping"/>
            </w:r>
            <w:r>
              <w:rPr>
                <w:rFonts w:hint="eastAsia" w:ascii="宋体" w:hAnsi="宋体" w:cs="宋体"/>
                <w:bCs/>
                <w:sz w:val="20"/>
                <w:szCs w:val="20"/>
              </w:rPr>
              <w:t>8.寿命：≥100,000小时</w:t>
            </w:r>
            <w:r>
              <w:rPr>
                <w:rFonts w:hint="eastAsia" w:ascii="宋体" w:hAnsi="宋体" w:cs="宋体"/>
                <w:bCs/>
                <w:sz w:val="20"/>
                <w:szCs w:val="20"/>
              </w:rPr>
              <w:br w:type="textWrapping"/>
            </w:r>
            <w:r>
              <w:rPr>
                <w:rFonts w:hint="eastAsia" w:ascii="宋体" w:hAnsi="宋体" w:cs="宋体"/>
                <w:bCs/>
                <w:sz w:val="20"/>
                <w:szCs w:val="20"/>
              </w:rPr>
              <w:t>9.必须三相平衡配电</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视频处理器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1.输入：HDMI 2.0×2，DP 1.4×1，SDI×1，LAN×1</w:t>
            </w:r>
            <w:r>
              <w:rPr>
                <w:rFonts w:hint="eastAsia" w:ascii="宋体" w:hAnsi="宋体" w:cs="宋体"/>
                <w:bCs/>
                <w:sz w:val="20"/>
                <w:szCs w:val="20"/>
              </w:rPr>
              <w:br w:type="textWrapping"/>
            </w:r>
            <w:r>
              <w:rPr>
                <w:rFonts w:hint="eastAsia" w:ascii="宋体" w:hAnsi="宋体" w:cs="宋体"/>
                <w:bCs/>
                <w:sz w:val="20"/>
                <w:szCs w:val="20"/>
              </w:rPr>
              <w:t>2.输出：支持4K@60Hz（3840×2160）</w:t>
            </w:r>
            <w:r>
              <w:rPr>
                <w:rFonts w:hint="eastAsia" w:ascii="宋体" w:hAnsi="宋体" w:cs="宋体"/>
                <w:bCs/>
                <w:sz w:val="20"/>
                <w:szCs w:val="20"/>
              </w:rPr>
              <w:br w:type="textWrapping"/>
            </w:r>
            <w:r>
              <w:rPr>
                <w:rFonts w:hint="eastAsia" w:ascii="宋体" w:hAnsi="宋体" w:cs="宋体"/>
                <w:bCs/>
                <w:sz w:val="20"/>
                <w:szCs w:val="20"/>
              </w:rPr>
              <w:t>3.功能：支持画中画、多画面分割、色彩校准</w:t>
            </w:r>
            <w:r>
              <w:rPr>
                <w:rFonts w:hint="eastAsia" w:ascii="宋体" w:hAnsi="宋体" w:cs="宋体"/>
                <w:bCs/>
                <w:sz w:val="20"/>
                <w:szCs w:val="20"/>
              </w:rPr>
              <w:br w:type="textWrapping"/>
            </w:r>
            <w:r>
              <w:rPr>
                <w:rFonts w:hint="eastAsia" w:ascii="宋体" w:hAnsi="宋体" w:cs="宋体"/>
                <w:bCs/>
                <w:sz w:val="20"/>
                <w:szCs w:val="20"/>
              </w:rPr>
              <w:t>4.控制：支持TCP/IP远程管理</w:t>
            </w:r>
            <w:r>
              <w:rPr>
                <w:rFonts w:hint="eastAsia" w:ascii="宋体" w:hAnsi="宋体" w:cs="宋体"/>
                <w:bCs/>
                <w:sz w:val="20"/>
                <w:szCs w:val="20"/>
              </w:rPr>
              <w:br w:type="textWrapping"/>
            </w:r>
            <w:r>
              <w:rPr>
                <w:rFonts w:hint="eastAsia" w:ascii="宋体" w:hAnsi="宋体" w:cs="宋体"/>
                <w:bCs/>
                <w:sz w:val="20"/>
                <w:szCs w:val="20"/>
              </w:rPr>
              <w:t>5.含系统调试软件专业版永久使用权。</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定制钢结构支架及包边</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1.材质：6063铝合金+钢结构</w:t>
            </w:r>
            <w:r>
              <w:rPr>
                <w:rFonts w:hint="eastAsia" w:ascii="宋体" w:hAnsi="宋体" w:cs="宋体"/>
                <w:bCs/>
                <w:sz w:val="20"/>
                <w:szCs w:val="20"/>
              </w:rPr>
              <w:br w:type="textWrapping"/>
            </w:r>
            <w:r>
              <w:rPr>
                <w:rFonts w:hint="eastAsia" w:ascii="宋体" w:hAnsi="宋体" w:cs="宋体"/>
                <w:bCs/>
                <w:sz w:val="20"/>
                <w:szCs w:val="20"/>
              </w:rPr>
              <w:t>2.承重：≥400kg/m²</w:t>
            </w:r>
            <w:r>
              <w:rPr>
                <w:rFonts w:hint="eastAsia" w:ascii="宋体" w:hAnsi="宋体" w:cs="宋体"/>
                <w:bCs/>
                <w:sz w:val="20"/>
                <w:szCs w:val="20"/>
              </w:rPr>
              <w:br w:type="textWrapping"/>
            </w:r>
            <w:r>
              <w:rPr>
                <w:rFonts w:hint="eastAsia" w:ascii="宋体" w:hAnsi="宋体" w:cs="宋体"/>
                <w:bCs/>
                <w:sz w:val="20"/>
                <w:szCs w:val="20"/>
              </w:rPr>
              <w:t>3.结构：前维护磁吸式</w:t>
            </w:r>
            <w:r>
              <w:rPr>
                <w:rFonts w:hint="eastAsia" w:ascii="宋体" w:hAnsi="宋体" w:cs="宋体"/>
                <w:bCs/>
                <w:sz w:val="20"/>
                <w:szCs w:val="20"/>
              </w:rPr>
              <w:br w:type="textWrapping"/>
            </w:r>
            <w:r>
              <w:rPr>
                <w:rFonts w:hint="eastAsia" w:ascii="宋体" w:hAnsi="宋体" w:cs="宋体"/>
                <w:bCs/>
                <w:sz w:val="20"/>
                <w:szCs w:val="20"/>
              </w:rPr>
              <w:t>4.表面处理：静电喷涂（哑光黑）</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配电柜</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1.功率：10kW（三相五线制）</w:t>
            </w:r>
            <w:r>
              <w:rPr>
                <w:rFonts w:hint="eastAsia" w:ascii="宋体" w:hAnsi="宋体" w:cs="宋体"/>
                <w:bCs/>
                <w:sz w:val="20"/>
                <w:szCs w:val="20"/>
              </w:rPr>
              <w:br w:type="textWrapping"/>
            </w:r>
            <w:r>
              <w:rPr>
                <w:rFonts w:hint="eastAsia" w:ascii="宋体" w:hAnsi="宋体" w:cs="宋体"/>
                <w:bCs/>
                <w:sz w:val="20"/>
                <w:szCs w:val="20"/>
              </w:rPr>
              <w:t>2.功能：时序电源控制、过载保护、雷击保护</w:t>
            </w:r>
            <w:r>
              <w:rPr>
                <w:rFonts w:hint="eastAsia" w:ascii="宋体" w:hAnsi="宋体" w:cs="宋体"/>
                <w:bCs/>
                <w:sz w:val="20"/>
                <w:szCs w:val="20"/>
              </w:rPr>
              <w:br w:type="textWrapping"/>
            </w:r>
            <w:r>
              <w:rPr>
                <w:rFonts w:hint="eastAsia" w:ascii="宋体" w:hAnsi="宋体" w:cs="宋体"/>
                <w:bCs/>
                <w:sz w:val="20"/>
                <w:szCs w:val="20"/>
              </w:rPr>
              <w:t>3.含智能电表（实时监控功耗）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信号线缆套装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1.HDMI光纤线：20m（4K@60Hz）</w:t>
            </w:r>
            <w:r>
              <w:rPr>
                <w:rFonts w:hint="eastAsia" w:ascii="宋体" w:hAnsi="宋体" w:cs="宋体"/>
                <w:bCs/>
                <w:sz w:val="20"/>
                <w:szCs w:val="20"/>
              </w:rPr>
              <w:br w:type="textWrapping"/>
            </w:r>
            <w:r>
              <w:rPr>
                <w:rFonts w:hint="eastAsia" w:ascii="宋体" w:hAnsi="宋体" w:cs="宋体"/>
                <w:bCs/>
                <w:sz w:val="20"/>
                <w:szCs w:val="20"/>
              </w:rPr>
              <w:t>2.六类网线：50m</w:t>
            </w:r>
            <w:r>
              <w:rPr>
                <w:rFonts w:hint="eastAsia" w:ascii="宋体" w:hAnsi="宋体" w:cs="宋体"/>
                <w:bCs/>
                <w:sz w:val="20"/>
                <w:szCs w:val="20"/>
              </w:rPr>
              <w:br w:type="textWrapping"/>
            </w:r>
            <w:r>
              <w:rPr>
                <w:rFonts w:hint="eastAsia" w:ascii="宋体" w:hAnsi="宋体" w:cs="宋体"/>
                <w:bCs/>
                <w:sz w:val="20"/>
                <w:szCs w:val="20"/>
              </w:rPr>
              <w:t>3.电源线：RVV3×4mm²×30m</w:t>
            </w:r>
            <w:r>
              <w:rPr>
                <w:rFonts w:hint="eastAsia" w:ascii="宋体" w:hAnsi="宋体" w:cs="宋体"/>
                <w:bCs/>
                <w:sz w:val="20"/>
                <w:szCs w:val="20"/>
              </w:rPr>
              <w:br w:type="textWrapping"/>
            </w:r>
            <w:r>
              <w:rPr>
                <w:rFonts w:hint="eastAsia" w:ascii="宋体" w:hAnsi="宋体" w:cs="宋体"/>
                <w:bCs/>
                <w:sz w:val="20"/>
                <w:szCs w:val="20"/>
              </w:rPr>
              <w:t>4.含专用接插件（航空插头）</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散热系统</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1.静音轴流风机：DC 24V/120W×4</w:t>
            </w:r>
            <w:r>
              <w:rPr>
                <w:rFonts w:hint="eastAsia" w:ascii="宋体" w:hAnsi="宋体" w:cs="宋体"/>
                <w:bCs/>
                <w:sz w:val="20"/>
                <w:szCs w:val="20"/>
              </w:rPr>
              <w:br w:type="textWrapping"/>
            </w:r>
            <w:r>
              <w:rPr>
                <w:rFonts w:hint="eastAsia" w:ascii="宋体" w:hAnsi="宋体" w:cs="宋体"/>
                <w:bCs/>
                <w:sz w:val="20"/>
                <w:szCs w:val="20"/>
              </w:rPr>
              <w:t>2.温控模块：自动启停（阈值≥40℃）</w:t>
            </w:r>
            <w:r>
              <w:rPr>
                <w:rFonts w:hint="eastAsia" w:ascii="宋体" w:hAnsi="宋体" w:cs="宋体"/>
                <w:bCs/>
                <w:sz w:val="20"/>
                <w:szCs w:val="20"/>
              </w:rPr>
              <w:br w:type="textWrapping"/>
            </w:r>
            <w:r>
              <w:rPr>
                <w:rFonts w:hint="eastAsia" w:ascii="宋体" w:hAnsi="宋体" w:cs="宋体"/>
                <w:bCs/>
                <w:sz w:val="20"/>
                <w:szCs w:val="20"/>
              </w:rPr>
              <w:t>3.风道设计：底部进风，顶部排风</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备用LED模块</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1.规格：320mm×160mm（P1.8）</w:t>
            </w:r>
            <w:r>
              <w:rPr>
                <w:rFonts w:hint="eastAsia" w:ascii="宋体" w:hAnsi="宋体" w:cs="宋体"/>
                <w:bCs/>
                <w:sz w:val="20"/>
                <w:szCs w:val="20"/>
              </w:rPr>
              <w:br w:type="textWrapping"/>
            </w:r>
            <w:r>
              <w:rPr>
                <w:rFonts w:hint="eastAsia" w:ascii="宋体" w:hAnsi="宋体" w:cs="宋体"/>
                <w:bCs/>
                <w:sz w:val="20"/>
                <w:szCs w:val="20"/>
              </w:rPr>
              <w:t>2.数量：占总量3%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会标屏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1.单红LED屏，</w:t>
            </w:r>
            <w:r>
              <w:rPr>
                <w:rFonts w:hint="eastAsia" w:ascii="宋体" w:hAnsi="宋体" w:cs="宋体"/>
                <w:bCs/>
                <w:sz w:val="20"/>
                <w:szCs w:val="20"/>
              </w:rPr>
              <w:br w:type="textWrapping"/>
            </w:r>
            <w:r>
              <w:rPr>
                <w:rFonts w:hint="eastAsia" w:ascii="宋体" w:hAnsi="宋体" w:cs="宋体"/>
                <w:bCs/>
                <w:sz w:val="20"/>
                <w:szCs w:val="20"/>
              </w:rPr>
              <w:t>2.LED封装形式：SMD2121</w:t>
            </w:r>
            <w:r>
              <w:rPr>
                <w:rFonts w:hint="eastAsia" w:ascii="宋体" w:hAnsi="宋体" w:cs="宋体"/>
                <w:bCs/>
                <w:sz w:val="20"/>
                <w:szCs w:val="20"/>
              </w:rPr>
              <w:br w:type="textWrapping"/>
            </w:r>
            <w:r>
              <w:rPr>
                <w:rFonts w:hint="eastAsia" w:ascii="宋体" w:hAnsi="宋体" w:cs="宋体"/>
                <w:bCs/>
                <w:sz w:val="20"/>
                <w:szCs w:val="20"/>
              </w:rPr>
              <w:t>3.物理点间距：4.75mm</w:t>
            </w:r>
            <w:r>
              <w:rPr>
                <w:rFonts w:hint="eastAsia" w:ascii="宋体" w:hAnsi="宋体" w:cs="宋体"/>
                <w:bCs/>
                <w:sz w:val="20"/>
                <w:szCs w:val="20"/>
              </w:rPr>
              <w:br w:type="textWrapping"/>
            </w:r>
            <w:r>
              <w:rPr>
                <w:rFonts w:hint="eastAsia" w:ascii="宋体" w:hAnsi="宋体" w:cs="宋体"/>
                <w:bCs/>
                <w:sz w:val="20"/>
                <w:szCs w:val="20"/>
              </w:rPr>
              <w:t>4.分辨率：44321点/m²</w:t>
            </w:r>
            <w:r>
              <w:rPr>
                <w:rFonts w:hint="eastAsia" w:ascii="宋体" w:hAnsi="宋体" w:cs="宋体"/>
                <w:bCs/>
                <w:sz w:val="20"/>
                <w:szCs w:val="20"/>
              </w:rPr>
              <w:br w:type="textWrapping"/>
            </w:r>
            <w:r>
              <w:rPr>
                <w:rFonts w:hint="eastAsia" w:ascii="宋体" w:hAnsi="宋体" w:cs="宋体"/>
                <w:bCs/>
                <w:sz w:val="20"/>
                <w:szCs w:val="20"/>
              </w:rPr>
              <w:t>5.发光点颜色组合：1R</w:t>
            </w:r>
            <w:r>
              <w:rPr>
                <w:rFonts w:hint="eastAsia" w:ascii="宋体" w:hAnsi="宋体" w:cs="宋体"/>
                <w:bCs/>
                <w:sz w:val="20"/>
                <w:szCs w:val="20"/>
              </w:rPr>
              <w:br w:type="textWrapping"/>
            </w:r>
            <w:r>
              <w:rPr>
                <w:rFonts w:hint="eastAsia" w:ascii="宋体" w:hAnsi="宋体" w:cs="宋体"/>
                <w:bCs/>
                <w:sz w:val="20"/>
                <w:szCs w:val="20"/>
              </w:rPr>
              <w:t>6.单元板分辨率：64*32</w:t>
            </w:r>
            <w:r>
              <w:rPr>
                <w:rFonts w:hint="eastAsia" w:ascii="宋体" w:hAnsi="宋体" w:cs="宋体"/>
                <w:bCs/>
                <w:sz w:val="20"/>
                <w:szCs w:val="20"/>
              </w:rPr>
              <w:br w:type="textWrapping"/>
            </w:r>
            <w:r>
              <w:rPr>
                <w:rFonts w:hint="eastAsia" w:ascii="宋体" w:hAnsi="宋体" w:cs="宋体"/>
                <w:bCs/>
                <w:sz w:val="20"/>
                <w:szCs w:val="20"/>
              </w:rPr>
              <w:t>7.单元板尺寸（mm）：304*152</w:t>
            </w:r>
            <w:r>
              <w:rPr>
                <w:rFonts w:hint="eastAsia" w:ascii="宋体" w:hAnsi="宋体" w:cs="宋体"/>
                <w:bCs/>
                <w:sz w:val="20"/>
                <w:szCs w:val="20"/>
              </w:rPr>
              <w:br w:type="textWrapping"/>
            </w:r>
            <w:r>
              <w:rPr>
                <w:rFonts w:hint="eastAsia" w:ascii="宋体" w:hAnsi="宋体" w:cs="宋体"/>
                <w:bCs/>
                <w:sz w:val="20"/>
                <w:szCs w:val="20"/>
              </w:rPr>
              <w:t>8.工作电压：DC +4.2V~+5V</w:t>
            </w:r>
            <w:r>
              <w:rPr>
                <w:rFonts w:hint="eastAsia" w:ascii="宋体" w:hAnsi="宋体" w:cs="宋体"/>
                <w:bCs/>
                <w:sz w:val="20"/>
                <w:szCs w:val="20"/>
              </w:rPr>
              <w:br w:type="textWrapping"/>
            </w:r>
            <w:r>
              <w:rPr>
                <w:rFonts w:hint="eastAsia" w:ascii="宋体" w:hAnsi="宋体" w:cs="宋体"/>
                <w:bCs/>
                <w:sz w:val="20"/>
                <w:szCs w:val="20"/>
              </w:rPr>
              <w:t>9.至少预留1张同款单元板。</w:t>
            </w:r>
            <w:r>
              <w:rPr>
                <w:rFonts w:hint="eastAsia" w:ascii="宋体" w:hAnsi="宋体" w:cs="宋体"/>
                <w:bCs/>
                <w:sz w:val="20"/>
                <w:szCs w:val="20"/>
              </w:rPr>
              <w:br w:type="textWrapping"/>
            </w:r>
            <w:r>
              <w:rPr>
                <w:rFonts w:hint="eastAsia" w:ascii="宋体" w:hAnsi="宋体" w:cs="宋体"/>
                <w:bCs/>
                <w:sz w:val="20"/>
                <w:szCs w:val="20"/>
              </w:rPr>
              <w:t>安装前须商学校确定安装在大屏上方或后墙。</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平方米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控制服务器</w:t>
            </w:r>
          </w:p>
        </w:tc>
        <w:tc>
          <w:tcPr>
            <w:tcW w:w="2230" w:type="pct"/>
            <w:vAlign w:val="center"/>
          </w:tcPr>
          <w:p>
            <w:pPr>
              <w:spacing w:line="400" w:lineRule="exact"/>
              <w:rPr>
                <w:rFonts w:ascii="宋体" w:hAnsi="宋体" w:cs="宋体"/>
                <w:bCs/>
                <w:sz w:val="20"/>
                <w:szCs w:val="20"/>
              </w:rPr>
            </w:pPr>
            <w:r>
              <w:rPr>
                <w:rFonts w:hint="eastAsia" w:ascii="宋体" w:hAnsi="宋体" w:cs="宋体"/>
                <w:kern w:val="0"/>
                <w:sz w:val="22"/>
                <w:szCs w:val="22"/>
                <w:lang w:bidi="ar"/>
              </w:rPr>
              <w:t>▲</w:t>
            </w:r>
            <w:r>
              <w:rPr>
                <w:rFonts w:hint="eastAsia" w:ascii="宋体" w:hAnsi="宋体" w:cs="宋体"/>
                <w:bCs/>
                <w:sz w:val="20"/>
                <w:szCs w:val="20"/>
              </w:rPr>
              <w:t>1.处理器:主频≥3.0G，缓存≥9M/核心数≥6核)；</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2.内存：≥16G，内存插槽≥2个；</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3.硬盘：≥1TB  SATA （7200转）+256SSD硬盘，带有SMART IV硬盘故障保护技术，提供故障前保修，Driver Lock 硬盘数据保护技术,</w:t>
            </w:r>
            <w:r>
              <w:rPr>
                <w:rFonts w:hint="eastAsia" w:ascii="宋体" w:hAnsi="宋体" w:cs="宋体"/>
                <w:bCs/>
                <w:sz w:val="20"/>
                <w:szCs w:val="20"/>
                <w:lang w:val="en-US" w:eastAsia="zh-CN"/>
              </w:rPr>
              <w:t>供货时</w:t>
            </w:r>
            <w:r>
              <w:rPr>
                <w:rFonts w:hint="eastAsia" w:ascii="宋体" w:hAnsi="宋体" w:cs="宋体"/>
                <w:bCs/>
                <w:sz w:val="20"/>
                <w:szCs w:val="20"/>
              </w:rPr>
              <w:t xml:space="preserve">提供厂家出具的证明文件并加盖公章； </w:t>
            </w:r>
            <w:r>
              <w:rPr>
                <w:rFonts w:hint="eastAsia" w:ascii="宋体" w:hAnsi="宋体" w:cs="宋体"/>
                <w:bCs/>
                <w:sz w:val="20"/>
                <w:szCs w:val="20"/>
              </w:rPr>
              <w:br w:type="textWrapping"/>
            </w:r>
            <w:r>
              <w:rPr>
                <w:rFonts w:hint="eastAsia" w:ascii="宋体" w:hAnsi="宋体" w:cs="宋体"/>
                <w:kern w:val="0"/>
                <w:sz w:val="22"/>
                <w:szCs w:val="22"/>
                <w:lang w:bidi="ar"/>
              </w:rPr>
              <w:t>▲</w:t>
            </w:r>
            <w:r>
              <w:rPr>
                <w:rFonts w:hint="eastAsia" w:ascii="宋体" w:hAnsi="宋体" w:cs="宋体"/>
                <w:bCs/>
                <w:sz w:val="20"/>
                <w:szCs w:val="20"/>
              </w:rPr>
              <w:t>4.显卡：≥2G独立显卡；</w:t>
            </w:r>
            <w:r>
              <w:rPr>
                <w:rFonts w:hint="eastAsia" w:ascii="宋体" w:hAnsi="宋体" w:cs="宋体"/>
                <w:bCs/>
                <w:sz w:val="20"/>
                <w:szCs w:val="20"/>
              </w:rPr>
              <w:br w:type="textWrapping"/>
            </w:r>
            <w:r>
              <w:rPr>
                <w:rFonts w:hint="eastAsia" w:ascii="宋体" w:hAnsi="宋体" w:cs="宋体"/>
                <w:bCs/>
                <w:sz w:val="20"/>
                <w:szCs w:val="20"/>
              </w:rPr>
              <w:t>5.光驱刻录</w:t>
            </w:r>
            <w:r>
              <w:rPr>
                <w:rFonts w:hint="eastAsia" w:ascii="宋体" w:hAnsi="宋体" w:cs="宋体"/>
                <w:bCs/>
                <w:sz w:val="20"/>
                <w:szCs w:val="20"/>
              </w:rPr>
              <w:br w:type="textWrapping"/>
            </w:r>
            <w:r>
              <w:rPr>
                <w:rFonts w:hint="eastAsia" w:ascii="宋体" w:hAnsi="宋体" w:cs="宋体"/>
                <w:bCs/>
                <w:sz w:val="20"/>
                <w:szCs w:val="20"/>
              </w:rPr>
              <w:t>6.声卡：集成声卡，支持多音频流，内置音箱；</w:t>
            </w:r>
            <w:r>
              <w:rPr>
                <w:rFonts w:hint="eastAsia" w:ascii="宋体" w:hAnsi="宋体" w:cs="宋体"/>
                <w:bCs/>
                <w:sz w:val="20"/>
                <w:szCs w:val="20"/>
              </w:rPr>
              <w:br w:type="textWrapping"/>
            </w:r>
            <w:r>
              <w:rPr>
                <w:rFonts w:hint="eastAsia" w:ascii="宋体" w:hAnsi="宋体" w:cs="宋体"/>
                <w:bCs/>
                <w:sz w:val="20"/>
                <w:szCs w:val="20"/>
              </w:rPr>
              <w:t>7．系统：出厂预装正版操作系统；</w:t>
            </w:r>
            <w:r>
              <w:rPr>
                <w:rFonts w:hint="eastAsia" w:ascii="宋体" w:hAnsi="宋体" w:cs="宋体"/>
                <w:bCs/>
                <w:sz w:val="20"/>
                <w:szCs w:val="20"/>
              </w:rPr>
              <w:br w:type="textWrapping"/>
            </w:r>
            <w:r>
              <w:rPr>
                <w:rFonts w:hint="eastAsia" w:ascii="宋体" w:hAnsi="宋体" w:cs="宋体"/>
                <w:bCs/>
                <w:sz w:val="20"/>
                <w:szCs w:val="20"/>
              </w:rPr>
              <w:t>8.机箱提供USB接口≥9个，其中 USB 3.1端口≥7个</w:t>
            </w:r>
            <w:r>
              <w:rPr>
                <w:rFonts w:hint="eastAsia" w:ascii="宋体" w:hAnsi="宋体" w:cs="宋体"/>
                <w:bCs/>
                <w:sz w:val="20"/>
                <w:szCs w:val="20"/>
              </w:rPr>
              <w:br w:type="textWrapping"/>
            </w:r>
            <w:r>
              <w:rPr>
                <w:rFonts w:hint="eastAsia" w:ascii="宋体" w:hAnsi="宋体" w:cs="宋体"/>
                <w:bCs/>
                <w:sz w:val="20"/>
                <w:szCs w:val="20"/>
              </w:rPr>
              <w:t>正面：≥1个耳机接口；≥2个USB 2.0接口；≥2个USB 3.1 Gen2接口；≥1个USB Type-C™ Gen2接口</w:t>
            </w:r>
            <w:r>
              <w:rPr>
                <w:rFonts w:hint="eastAsia" w:ascii="宋体" w:hAnsi="宋体" w:cs="宋体"/>
                <w:bCs/>
                <w:sz w:val="20"/>
                <w:szCs w:val="20"/>
              </w:rPr>
              <w:br w:type="textWrapping"/>
            </w:r>
            <w:r>
              <w:rPr>
                <w:rFonts w:hint="eastAsia" w:ascii="宋体" w:hAnsi="宋体" w:cs="宋体"/>
                <w:bCs/>
                <w:sz w:val="20"/>
                <w:szCs w:val="20"/>
              </w:rPr>
              <w:t>背面：≥1个音频输入接口；≥1个音频输出接口；≥1个千兆网络接口；≥2个DisplayPort™ 1.2接口；≥2个USB 2.0接口；≥2个USB 3.1 Gen1接口；≥2个USB 3.1Gen2接口；≥1个可配置视频接口（可在DisplayPort™ 1.2、HDMI™ 2.0、VGA、带显示输出USB Type-C™ 之间选择）</w:t>
            </w:r>
            <w:r>
              <w:rPr>
                <w:rFonts w:hint="eastAsia" w:ascii="宋体" w:hAnsi="宋体" w:cs="宋体"/>
                <w:bCs/>
                <w:sz w:val="20"/>
                <w:szCs w:val="20"/>
              </w:rPr>
              <w:br w:type="textWrapping"/>
            </w:r>
            <w:r>
              <w:rPr>
                <w:rFonts w:hint="eastAsia" w:ascii="宋体" w:hAnsi="宋体" w:cs="宋体"/>
                <w:bCs/>
                <w:sz w:val="20"/>
                <w:szCs w:val="20"/>
              </w:rPr>
              <w:t>扩展插槽：≥1个M.2 2230（无线网卡）；≥1个PCIeX1; ≥1个PCI；≥ 1个M.2 2230/2280（NVMe硬盘或Optane）；≥1个PCIe x16（按x4接线）；≥1个PCIe x16</w:t>
            </w:r>
            <w:r>
              <w:rPr>
                <w:rFonts w:hint="eastAsia" w:ascii="宋体" w:hAnsi="宋体" w:cs="宋体"/>
                <w:bCs/>
                <w:sz w:val="20"/>
                <w:szCs w:val="20"/>
              </w:rPr>
              <w:br w:type="textWrapping"/>
            </w:r>
            <w:r>
              <w:rPr>
                <w:rFonts w:hint="eastAsia" w:ascii="宋体" w:hAnsi="宋体" w:cs="宋体"/>
                <w:bCs/>
                <w:sz w:val="20"/>
                <w:szCs w:val="20"/>
              </w:rPr>
              <w:t>9. 抗菌键盘、抗菌鼠标；</w:t>
            </w:r>
            <w:r>
              <w:rPr>
                <w:rFonts w:hint="eastAsia" w:ascii="宋体" w:hAnsi="宋体" w:cs="宋体"/>
                <w:bCs/>
                <w:sz w:val="20"/>
                <w:szCs w:val="20"/>
              </w:rPr>
              <w:br w:type="textWrapping"/>
            </w:r>
            <w:r>
              <w:rPr>
                <w:rFonts w:hint="eastAsia" w:ascii="宋体" w:hAnsi="宋体" w:cs="宋体"/>
                <w:bCs/>
                <w:sz w:val="20"/>
                <w:szCs w:val="20"/>
              </w:rPr>
              <w:t>10. 电源：≥180W；</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11.配同品牌≥24寸显示器；</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1.信息技术服务、系统维护服务、人工劳务费设备安装服务及其他等干。</w:t>
            </w:r>
            <w:r>
              <w:rPr>
                <w:rFonts w:hint="eastAsia" w:ascii="宋体" w:hAnsi="宋体" w:cs="宋体"/>
                <w:bCs/>
                <w:sz w:val="20"/>
                <w:szCs w:val="20"/>
              </w:rPr>
              <w:br w:type="textWrapping"/>
            </w:r>
            <w:r>
              <w:rPr>
                <w:rFonts w:hint="eastAsia" w:ascii="宋体" w:hAnsi="宋体" w:cs="宋体"/>
                <w:bCs/>
                <w:sz w:val="20"/>
                <w:szCs w:val="20"/>
              </w:rPr>
              <w:t>2.除锈、校正、焊接、刷漆、设计（遵循《钢结构设计规范》《钢结构工程施工及验收规范》等）、套管、电缆、网线、安装必要工具及材料等，如五金配件、PVC线管（防火标准达到国家标准）等；</w:t>
            </w:r>
            <w:r>
              <w:rPr>
                <w:rFonts w:hint="eastAsia" w:ascii="宋体" w:hAnsi="宋体" w:cs="宋体"/>
                <w:bCs/>
                <w:sz w:val="20"/>
                <w:szCs w:val="20"/>
              </w:rPr>
              <w:br w:type="textWrapping"/>
            </w:r>
            <w:r>
              <w:rPr>
                <w:rFonts w:hint="eastAsia" w:ascii="宋体" w:hAnsi="宋体" w:cs="宋体"/>
                <w:bCs/>
                <w:sz w:val="20"/>
                <w:szCs w:val="20"/>
              </w:rPr>
              <w:t>▲3.由中标供应商到现场实地测量并出具效果图方案由学校确认后实施。</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二、扩声发言系统</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有线鹅颈会议话筒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1、类型：电容式；</w:t>
            </w:r>
            <w:r>
              <w:rPr>
                <w:rFonts w:hint="eastAsia" w:ascii="宋体" w:hAnsi="宋体" w:cs="宋体"/>
                <w:bCs/>
                <w:sz w:val="20"/>
                <w:szCs w:val="20"/>
              </w:rPr>
              <w:br w:type="textWrapping"/>
            </w:r>
            <w:r>
              <w:rPr>
                <w:rFonts w:hint="eastAsia" w:ascii="宋体" w:hAnsi="宋体" w:cs="宋体"/>
                <w:bCs/>
                <w:sz w:val="20"/>
                <w:szCs w:val="20"/>
              </w:rPr>
              <w:t>2、频率响应：60-18KHz；</w:t>
            </w:r>
            <w:r>
              <w:rPr>
                <w:rFonts w:hint="eastAsia" w:ascii="宋体" w:hAnsi="宋体" w:cs="宋体"/>
                <w:bCs/>
                <w:sz w:val="20"/>
                <w:szCs w:val="20"/>
              </w:rPr>
              <w:br w:type="textWrapping"/>
            </w:r>
            <w:r>
              <w:rPr>
                <w:rFonts w:hint="eastAsia" w:ascii="宋体" w:hAnsi="宋体" w:cs="宋体"/>
                <w:bCs/>
                <w:sz w:val="20"/>
                <w:szCs w:val="20"/>
              </w:rPr>
              <w:t>3、指向特性：单一指向性；</w:t>
            </w:r>
            <w:r>
              <w:rPr>
                <w:rFonts w:hint="eastAsia" w:ascii="宋体" w:hAnsi="宋体" w:cs="宋体"/>
                <w:bCs/>
                <w:sz w:val="20"/>
                <w:szCs w:val="20"/>
              </w:rPr>
              <w:br w:type="textWrapping"/>
            </w:r>
            <w:r>
              <w:rPr>
                <w:rFonts w:hint="eastAsia" w:ascii="宋体" w:hAnsi="宋体" w:cs="宋体"/>
                <w:bCs/>
                <w:sz w:val="20"/>
                <w:szCs w:val="20"/>
              </w:rPr>
              <w:t>4、最大承受音压：120dB(at 1KHz≤1%T.H.D)；</w:t>
            </w:r>
            <w:r>
              <w:rPr>
                <w:rFonts w:hint="eastAsia" w:ascii="宋体" w:hAnsi="宋体" w:cs="宋体"/>
                <w:bCs/>
                <w:sz w:val="20"/>
                <w:szCs w:val="20"/>
              </w:rPr>
              <w:br w:type="textWrapping"/>
            </w:r>
            <w:r>
              <w:rPr>
                <w:rFonts w:hint="eastAsia" w:ascii="宋体" w:hAnsi="宋体" w:cs="宋体"/>
                <w:bCs/>
                <w:sz w:val="20"/>
                <w:szCs w:val="20"/>
              </w:rPr>
              <w:t>5、输出阻抗：200Ω±30%；</w:t>
            </w:r>
            <w:r>
              <w:rPr>
                <w:rFonts w:hint="eastAsia" w:ascii="宋体" w:hAnsi="宋体" w:cs="宋体"/>
                <w:bCs/>
                <w:sz w:val="20"/>
                <w:szCs w:val="20"/>
              </w:rPr>
              <w:br w:type="textWrapping"/>
            </w:r>
            <w:r>
              <w:rPr>
                <w:rFonts w:hint="eastAsia" w:ascii="宋体" w:hAnsi="宋体" w:cs="宋体"/>
                <w:bCs/>
                <w:sz w:val="20"/>
                <w:szCs w:val="20"/>
              </w:rPr>
              <w:t>6、灵敏度：-47dB±3dB(0dB=1V/Pa at 1KHz)；</w:t>
            </w:r>
            <w:r>
              <w:rPr>
                <w:rFonts w:hint="eastAsia" w:ascii="宋体" w:hAnsi="宋体" w:cs="宋体"/>
                <w:bCs/>
                <w:sz w:val="20"/>
                <w:szCs w:val="20"/>
              </w:rPr>
              <w:br w:type="textWrapping"/>
            </w:r>
            <w:r>
              <w:rPr>
                <w:rFonts w:hint="eastAsia" w:ascii="宋体" w:hAnsi="宋体" w:cs="宋体"/>
                <w:bCs/>
                <w:sz w:val="20"/>
                <w:szCs w:val="20"/>
              </w:rPr>
              <w:t>7、动态范围：111dB；</w:t>
            </w:r>
            <w:r>
              <w:rPr>
                <w:rFonts w:hint="eastAsia" w:ascii="宋体" w:hAnsi="宋体" w:cs="宋体"/>
                <w:bCs/>
                <w:sz w:val="20"/>
                <w:szCs w:val="20"/>
              </w:rPr>
              <w:br w:type="textWrapping"/>
            </w:r>
            <w:r>
              <w:rPr>
                <w:rFonts w:hint="eastAsia" w:ascii="宋体" w:hAnsi="宋体" w:cs="宋体"/>
                <w:bCs/>
                <w:sz w:val="20"/>
                <w:szCs w:val="20"/>
              </w:rPr>
              <w:t>8、信噪比：66dB；</w:t>
            </w:r>
            <w:r>
              <w:rPr>
                <w:rFonts w:hint="eastAsia" w:ascii="宋体" w:hAnsi="宋体" w:cs="宋体"/>
                <w:bCs/>
                <w:sz w:val="20"/>
                <w:szCs w:val="20"/>
              </w:rPr>
              <w:br w:type="textWrapping"/>
            </w:r>
            <w:r>
              <w:rPr>
                <w:rFonts w:hint="eastAsia" w:ascii="宋体" w:hAnsi="宋体" w:cs="宋体"/>
                <w:bCs/>
                <w:sz w:val="20"/>
                <w:szCs w:val="20"/>
              </w:rPr>
              <w:t>9、供电：3V（电池供电）/48V幻象电源；</w:t>
            </w:r>
            <w:r>
              <w:rPr>
                <w:rFonts w:hint="eastAsia" w:ascii="宋体" w:hAnsi="宋体" w:cs="宋体"/>
                <w:bCs/>
                <w:sz w:val="20"/>
                <w:szCs w:val="20"/>
              </w:rPr>
              <w:br w:type="textWrapping"/>
            </w:r>
            <w:r>
              <w:rPr>
                <w:rFonts w:hint="eastAsia" w:ascii="宋体" w:hAnsi="宋体" w:cs="宋体"/>
                <w:bCs/>
                <w:sz w:val="20"/>
                <w:szCs w:val="20"/>
              </w:rPr>
              <w:t>10、材质及表面处理：连线：4.5M专用电缆，带1个6.3mm及1个卡侬公头；</w:t>
            </w:r>
            <w:r>
              <w:rPr>
                <w:rFonts w:hint="eastAsia" w:ascii="宋体" w:hAnsi="宋体" w:cs="宋体"/>
                <w:bCs/>
                <w:sz w:val="20"/>
                <w:szCs w:val="20"/>
              </w:rPr>
              <w:br w:type="textWrapping"/>
            </w:r>
            <w:r>
              <w:rPr>
                <w:rFonts w:hint="eastAsia" w:ascii="宋体" w:hAnsi="宋体" w:cs="宋体"/>
                <w:bCs/>
                <w:sz w:val="20"/>
                <w:szCs w:val="20"/>
              </w:rPr>
              <w:t>11、咪管长度：420mm；</w:t>
            </w:r>
            <w:r>
              <w:rPr>
                <w:rFonts w:hint="eastAsia" w:ascii="宋体" w:hAnsi="宋体" w:cs="宋体"/>
                <w:bCs/>
                <w:sz w:val="20"/>
                <w:szCs w:val="20"/>
              </w:rPr>
              <w:br w:type="textWrapping"/>
            </w:r>
            <w:r>
              <w:rPr>
                <w:rFonts w:hint="eastAsia" w:ascii="宋体" w:hAnsi="宋体" w:cs="宋体"/>
                <w:bCs/>
                <w:sz w:val="20"/>
                <w:szCs w:val="20"/>
              </w:rPr>
              <w:t>12、产品（底坐）尺寸：110×145×40（单位：mm）；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870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U段1拖2真分集无线话筒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1、振荡方式: 锁相环频率合成(PLL syntheized)；</w:t>
            </w:r>
            <w:r>
              <w:rPr>
                <w:rFonts w:hint="eastAsia" w:ascii="宋体" w:hAnsi="宋体" w:cs="宋体"/>
                <w:bCs/>
                <w:sz w:val="20"/>
                <w:szCs w:val="20"/>
              </w:rPr>
              <w:br w:type="textWrapping"/>
            </w:r>
            <w:r>
              <w:rPr>
                <w:rFonts w:hint="eastAsia" w:ascii="宋体" w:hAnsi="宋体" w:cs="宋体"/>
                <w:bCs/>
                <w:sz w:val="20"/>
                <w:szCs w:val="20"/>
              </w:rPr>
              <w:t>2、频率范围：UHF 500MHz～980MHz；</w:t>
            </w:r>
            <w:r>
              <w:rPr>
                <w:rFonts w:hint="eastAsia" w:ascii="宋体" w:hAnsi="宋体" w:cs="宋体"/>
                <w:bCs/>
                <w:sz w:val="20"/>
                <w:szCs w:val="20"/>
              </w:rPr>
              <w:br w:type="textWrapping"/>
            </w:r>
            <w:r>
              <w:rPr>
                <w:rFonts w:hint="eastAsia" w:ascii="宋体" w:hAnsi="宋体" w:cs="宋体"/>
                <w:bCs/>
                <w:sz w:val="20"/>
                <w:szCs w:val="20"/>
              </w:rPr>
              <w:t>3、频率稳定性：&lt;±10PPM；</w:t>
            </w:r>
            <w:r>
              <w:rPr>
                <w:rFonts w:hint="eastAsia" w:ascii="宋体" w:hAnsi="宋体" w:cs="宋体"/>
                <w:bCs/>
                <w:sz w:val="20"/>
                <w:szCs w:val="20"/>
              </w:rPr>
              <w:br w:type="textWrapping"/>
            </w:r>
            <w:r>
              <w:rPr>
                <w:rFonts w:hint="eastAsia" w:ascii="宋体" w:hAnsi="宋体" w:cs="宋体"/>
                <w:bCs/>
                <w:sz w:val="20"/>
                <w:szCs w:val="20"/>
              </w:rPr>
              <w:t>4、调制方式：FM；</w:t>
            </w:r>
            <w:r>
              <w:rPr>
                <w:rFonts w:hint="eastAsia" w:ascii="宋体" w:hAnsi="宋体" w:cs="宋体"/>
                <w:bCs/>
                <w:sz w:val="20"/>
                <w:szCs w:val="20"/>
              </w:rPr>
              <w:br w:type="textWrapping"/>
            </w:r>
            <w:r>
              <w:rPr>
                <w:rFonts w:hint="eastAsia" w:ascii="宋体" w:hAnsi="宋体" w:cs="宋体"/>
                <w:bCs/>
                <w:sz w:val="20"/>
                <w:szCs w:val="20"/>
              </w:rPr>
              <w:t>5、动态范围：&gt;105dB；</w:t>
            </w:r>
            <w:r>
              <w:rPr>
                <w:rFonts w:hint="eastAsia" w:ascii="宋体" w:hAnsi="宋体" w:cs="宋体"/>
                <w:bCs/>
                <w:sz w:val="20"/>
                <w:szCs w:val="20"/>
              </w:rPr>
              <w:br w:type="textWrapping"/>
            </w:r>
            <w:r>
              <w:rPr>
                <w:rFonts w:hint="eastAsia" w:ascii="宋体" w:hAnsi="宋体" w:cs="宋体"/>
                <w:bCs/>
                <w:sz w:val="20"/>
                <w:szCs w:val="20"/>
              </w:rPr>
              <w:t xml:space="preserve">6、失真度:&lt;0.5%@1KHz；          </w:t>
            </w:r>
            <w:r>
              <w:rPr>
                <w:rFonts w:hint="eastAsia" w:ascii="宋体" w:hAnsi="宋体" w:cs="宋体"/>
                <w:bCs/>
                <w:sz w:val="20"/>
                <w:szCs w:val="20"/>
              </w:rPr>
              <w:br w:type="textWrapping"/>
            </w:r>
            <w:r>
              <w:rPr>
                <w:rFonts w:hint="eastAsia" w:ascii="宋体" w:hAnsi="宋体" w:cs="宋体"/>
                <w:bCs/>
                <w:sz w:val="20"/>
                <w:szCs w:val="20"/>
              </w:rPr>
              <w:t>7、灵敏度：1.2/UV @S/N=12dB；</w:t>
            </w:r>
            <w:r>
              <w:rPr>
                <w:rFonts w:hint="eastAsia" w:ascii="宋体" w:hAnsi="宋体" w:cs="宋体"/>
                <w:bCs/>
                <w:sz w:val="20"/>
                <w:szCs w:val="20"/>
              </w:rPr>
              <w:br w:type="textWrapping"/>
            </w:r>
            <w:r>
              <w:rPr>
                <w:rFonts w:hint="eastAsia" w:ascii="宋体" w:hAnsi="宋体" w:cs="宋体"/>
                <w:bCs/>
                <w:sz w:val="20"/>
                <w:szCs w:val="20"/>
              </w:rPr>
              <w:t>8、电源供应：DC:12V～15V；</w:t>
            </w:r>
            <w:r>
              <w:rPr>
                <w:rFonts w:hint="eastAsia" w:ascii="宋体" w:hAnsi="宋体" w:cs="宋体"/>
                <w:bCs/>
                <w:sz w:val="20"/>
                <w:szCs w:val="20"/>
              </w:rPr>
              <w:br w:type="textWrapping"/>
            </w:r>
            <w:r>
              <w:rPr>
                <w:rFonts w:hint="eastAsia" w:ascii="宋体" w:hAnsi="宋体" w:cs="宋体"/>
                <w:bCs/>
                <w:sz w:val="20"/>
                <w:szCs w:val="20"/>
              </w:rPr>
              <w:t>9、音频输出：平衡输出 0～600mV,不平衡输出 0～300mV；</w:t>
            </w:r>
            <w:r>
              <w:rPr>
                <w:rFonts w:hint="eastAsia" w:ascii="宋体" w:hAnsi="宋体" w:cs="宋体"/>
                <w:bCs/>
                <w:sz w:val="20"/>
                <w:szCs w:val="20"/>
              </w:rPr>
              <w:br w:type="textWrapping"/>
            </w:r>
            <w:r>
              <w:rPr>
                <w:rFonts w:hint="eastAsia" w:ascii="宋体" w:hAnsi="宋体" w:cs="宋体"/>
                <w:bCs/>
                <w:sz w:val="20"/>
                <w:szCs w:val="20"/>
              </w:rPr>
              <w:t>10、消耗功率：8W。</w:t>
            </w:r>
            <w:r>
              <w:rPr>
                <w:rFonts w:hint="eastAsia" w:ascii="宋体" w:hAnsi="宋体" w:cs="宋体"/>
                <w:bCs/>
                <w:sz w:val="20"/>
                <w:szCs w:val="20"/>
              </w:rPr>
              <w:br w:type="textWrapping"/>
            </w:r>
            <w:r>
              <w:rPr>
                <w:rFonts w:hint="eastAsia" w:ascii="宋体" w:hAnsi="宋体" w:cs="宋体"/>
                <w:bCs/>
                <w:sz w:val="20"/>
                <w:szCs w:val="20"/>
              </w:rPr>
              <w:t>发射器参数：</w:t>
            </w:r>
            <w:r>
              <w:rPr>
                <w:rFonts w:hint="eastAsia" w:ascii="宋体" w:hAnsi="宋体" w:cs="宋体"/>
                <w:bCs/>
                <w:sz w:val="20"/>
                <w:szCs w:val="20"/>
              </w:rPr>
              <w:br w:type="textWrapping"/>
            </w:r>
            <w:r>
              <w:rPr>
                <w:rFonts w:hint="eastAsia" w:ascii="宋体" w:hAnsi="宋体" w:cs="宋体"/>
                <w:bCs/>
                <w:sz w:val="20"/>
                <w:szCs w:val="20"/>
              </w:rPr>
              <w:t>1、电源供应：3V（1.5V AA*2）</w:t>
            </w:r>
            <w:r>
              <w:rPr>
                <w:rFonts w:hint="eastAsia" w:ascii="宋体" w:hAnsi="宋体" w:cs="宋体"/>
                <w:bCs/>
                <w:sz w:val="20"/>
                <w:szCs w:val="20"/>
              </w:rPr>
              <w:br w:type="textWrapping"/>
            </w:r>
            <w:r>
              <w:rPr>
                <w:rFonts w:hint="eastAsia" w:ascii="宋体" w:hAnsi="宋体" w:cs="宋体"/>
                <w:bCs/>
                <w:sz w:val="20"/>
                <w:szCs w:val="20"/>
              </w:rPr>
              <w:t>2、话筒耗电量：100mA</w:t>
            </w:r>
            <w:r>
              <w:rPr>
                <w:rFonts w:hint="eastAsia" w:ascii="宋体" w:hAnsi="宋体" w:cs="宋体"/>
                <w:bCs/>
                <w:sz w:val="20"/>
                <w:szCs w:val="20"/>
              </w:rPr>
              <w:br w:type="textWrapping"/>
            </w:r>
            <w:r>
              <w:rPr>
                <w:rFonts w:hint="eastAsia" w:ascii="宋体" w:hAnsi="宋体" w:cs="宋体"/>
                <w:bCs/>
                <w:sz w:val="20"/>
                <w:szCs w:val="20"/>
              </w:rPr>
              <w:t>3、载波频率：UHF 500MHz～980MHz</w:t>
            </w:r>
            <w:r>
              <w:rPr>
                <w:rFonts w:hint="eastAsia" w:ascii="宋体" w:hAnsi="宋体" w:cs="宋体"/>
                <w:bCs/>
                <w:sz w:val="20"/>
                <w:szCs w:val="20"/>
              </w:rPr>
              <w:br w:type="textWrapping"/>
            </w:r>
            <w:r>
              <w:rPr>
                <w:rFonts w:hint="eastAsia" w:ascii="宋体" w:hAnsi="宋体" w:cs="宋体"/>
                <w:bCs/>
                <w:sz w:val="20"/>
                <w:szCs w:val="20"/>
              </w:rPr>
              <w:t>4、发射功率：高功率档 10dBm,低功率档 5dBm;</w:t>
            </w:r>
            <w:r>
              <w:rPr>
                <w:rFonts w:hint="eastAsia" w:ascii="宋体" w:hAnsi="宋体" w:cs="宋体"/>
                <w:bCs/>
                <w:sz w:val="20"/>
                <w:szCs w:val="20"/>
              </w:rPr>
              <w:br w:type="textWrapping"/>
            </w:r>
            <w:r>
              <w:rPr>
                <w:rFonts w:hint="eastAsia" w:ascii="宋体" w:hAnsi="宋体" w:cs="宋体"/>
                <w:bCs/>
                <w:sz w:val="20"/>
                <w:szCs w:val="20"/>
              </w:rPr>
              <w:t>5、最大调制度：±45KHz</w:t>
            </w:r>
            <w:r>
              <w:rPr>
                <w:rFonts w:hint="eastAsia" w:ascii="宋体" w:hAnsi="宋体" w:cs="宋体"/>
                <w:bCs/>
                <w:sz w:val="20"/>
                <w:szCs w:val="20"/>
              </w:rPr>
              <w:br w:type="textWrapping"/>
            </w:r>
            <w:r>
              <w:rPr>
                <w:rFonts w:hint="eastAsia" w:ascii="宋体" w:hAnsi="宋体" w:cs="宋体"/>
                <w:bCs/>
                <w:sz w:val="20"/>
                <w:szCs w:val="20"/>
              </w:rPr>
              <w:t>6、发射功率：10mW；</w:t>
            </w:r>
            <w:r>
              <w:rPr>
                <w:rFonts w:hint="eastAsia" w:ascii="宋体" w:hAnsi="宋体" w:cs="宋体"/>
                <w:bCs/>
                <w:sz w:val="20"/>
                <w:szCs w:val="20"/>
              </w:rPr>
              <w:br w:type="textWrapping"/>
            </w:r>
            <w:r>
              <w:rPr>
                <w:rFonts w:hint="eastAsia" w:ascii="宋体" w:hAnsi="宋体" w:cs="宋体"/>
                <w:bCs/>
                <w:sz w:val="20"/>
                <w:szCs w:val="20"/>
              </w:rPr>
              <w:t>7、类型：动圈式</w:t>
            </w:r>
            <w:r>
              <w:rPr>
                <w:rFonts w:hint="eastAsia" w:ascii="宋体" w:hAnsi="宋体" w:cs="宋体"/>
                <w:bCs/>
                <w:sz w:val="20"/>
                <w:szCs w:val="20"/>
              </w:rPr>
              <w:br w:type="textWrapping"/>
            </w:r>
            <w:r>
              <w:rPr>
                <w:rFonts w:hint="eastAsia" w:ascii="宋体" w:hAnsi="宋体" w:cs="宋体"/>
                <w:bCs/>
                <w:sz w:val="20"/>
                <w:szCs w:val="20"/>
              </w:rPr>
              <w:t>8、极性模式：单一指向性</w:t>
            </w:r>
            <w:r>
              <w:rPr>
                <w:rFonts w:hint="eastAsia" w:ascii="宋体" w:hAnsi="宋体" w:cs="宋体"/>
                <w:bCs/>
                <w:sz w:val="20"/>
                <w:szCs w:val="20"/>
              </w:rPr>
              <w:br w:type="textWrapping"/>
            </w:r>
            <w:r>
              <w:rPr>
                <w:rFonts w:hint="eastAsia" w:ascii="宋体" w:hAnsi="宋体" w:cs="宋体"/>
                <w:bCs/>
                <w:sz w:val="20"/>
                <w:szCs w:val="20"/>
              </w:rPr>
              <w:t>9、频率响应：40Hz～18KHz；</w:t>
            </w:r>
            <w:r>
              <w:rPr>
                <w:rFonts w:hint="eastAsia" w:ascii="宋体" w:hAnsi="宋体" w:cs="宋体"/>
                <w:bCs/>
                <w:sz w:val="20"/>
                <w:szCs w:val="20"/>
              </w:rPr>
              <w:br w:type="textWrapping"/>
            </w:r>
            <w:r>
              <w:rPr>
                <w:rFonts w:hint="eastAsia" w:ascii="宋体" w:hAnsi="宋体" w:cs="宋体"/>
                <w:bCs/>
                <w:sz w:val="20"/>
                <w:szCs w:val="20"/>
              </w:rPr>
              <w:t>10、话筒灵敏度：-43±3dB@1KH；</w:t>
            </w:r>
            <w:r>
              <w:rPr>
                <w:rFonts w:hint="eastAsia" w:ascii="宋体" w:hAnsi="宋体" w:cs="宋体"/>
                <w:bCs/>
                <w:sz w:val="20"/>
                <w:szCs w:val="20"/>
              </w:rPr>
              <w:br w:type="textWrapping"/>
            </w:r>
            <w:r>
              <w:rPr>
                <w:rFonts w:hint="eastAsia" w:ascii="宋体" w:hAnsi="宋体" w:cs="宋体"/>
                <w:bCs/>
                <w:sz w:val="20"/>
                <w:szCs w:val="20"/>
              </w:rPr>
              <w:t>11、4手持4领夹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大合唱麦克风/录音話筒</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1、换能方式 : 电容式；</w:t>
            </w:r>
            <w:r>
              <w:rPr>
                <w:rFonts w:hint="eastAsia" w:ascii="宋体" w:hAnsi="宋体" w:cs="宋体"/>
                <w:bCs/>
                <w:sz w:val="20"/>
                <w:szCs w:val="20"/>
              </w:rPr>
              <w:br w:type="textWrapping"/>
            </w:r>
            <w:r>
              <w:rPr>
                <w:rFonts w:hint="eastAsia" w:ascii="宋体" w:hAnsi="宋体" w:cs="宋体"/>
                <w:bCs/>
                <w:sz w:val="20"/>
                <w:szCs w:val="20"/>
              </w:rPr>
              <w:t>2、频率响应(Hz): 40Hz-18KHz；</w:t>
            </w:r>
            <w:r>
              <w:rPr>
                <w:rFonts w:hint="eastAsia" w:ascii="宋体" w:hAnsi="宋体" w:cs="宋体"/>
                <w:bCs/>
                <w:sz w:val="20"/>
                <w:szCs w:val="20"/>
              </w:rPr>
              <w:br w:type="textWrapping"/>
            </w:r>
            <w:r>
              <w:rPr>
                <w:rFonts w:hint="eastAsia" w:ascii="宋体" w:hAnsi="宋体" w:cs="宋体"/>
                <w:bCs/>
                <w:sz w:val="20"/>
                <w:szCs w:val="20"/>
              </w:rPr>
              <w:t>3、指向性 : 单指向，“口字型”，单面拾音；</w:t>
            </w:r>
            <w:r>
              <w:rPr>
                <w:rFonts w:hint="eastAsia" w:ascii="宋体" w:hAnsi="宋体" w:cs="宋体"/>
                <w:bCs/>
                <w:sz w:val="20"/>
                <w:szCs w:val="20"/>
              </w:rPr>
              <w:br w:type="textWrapping"/>
            </w:r>
            <w:r>
              <w:rPr>
                <w:rFonts w:hint="eastAsia" w:ascii="宋体" w:hAnsi="宋体" w:cs="宋体"/>
                <w:bCs/>
                <w:sz w:val="20"/>
                <w:szCs w:val="20"/>
              </w:rPr>
              <w:t>4、输出阻抗（欧姆） :75Ω；</w:t>
            </w:r>
            <w:r>
              <w:rPr>
                <w:rFonts w:hint="eastAsia" w:ascii="宋体" w:hAnsi="宋体" w:cs="宋体"/>
                <w:bCs/>
                <w:sz w:val="20"/>
                <w:szCs w:val="20"/>
              </w:rPr>
              <w:br w:type="textWrapping"/>
            </w:r>
            <w:r>
              <w:rPr>
                <w:rFonts w:hint="eastAsia" w:ascii="宋体" w:hAnsi="宋体" w:cs="宋体"/>
                <w:bCs/>
                <w:sz w:val="20"/>
                <w:szCs w:val="20"/>
              </w:rPr>
              <w:t>5、灵敏度 : -38dB±2dB；</w:t>
            </w:r>
            <w:r>
              <w:rPr>
                <w:rFonts w:hint="eastAsia" w:ascii="宋体" w:hAnsi="宋体" w:cs="宋体"/>
                <w:bCs/>
                <w:sz w:val="20"/>
                <w:szCs w:val="20"/>
              </w:rPr>
              <w:br w:type="textWrapping"/>
            </w:r>
            <w:r>
              <w:rPr>
                <w:rFonts w:hint="eastAsia" w:ascii="宋体" w:hAnsi="宋体" w:cs="宋体"/>
                <w:bCs/>
                <w:sz w:val="20"/>
                <w:szCs w:val="20"/>
              </w:rPr>
              <w:t>6、讯噪比：77dB 1KHz at 1Pa；</w:t>
            </w:r>
            <w:r>
              <w:rPr>
                <w:rFonts w:hint="eastAsia" w:ascii="宋体" w:hAnsi="宋体" w:cs="宋体"/>
                <w:bCs/>
                <w:sz w:val="20"/>
                <w:szCs w:val="20"/>
              </w:rPr>
              <w:br w:type="textWrapping"/>
            </w:r>
            <w:r>
              <w:rPr>
                <w:rFonts w:hint="eastAsia" w:ascii="宋体" w:hAnsi="宋体" w:cs="宋体"/>
                <w:bCs/>
                <w:sz w:val="20"/>
                <w:szCs w:val="20"/>
              </w:rPr>
              <w:t>7、动态范围：125dB，1KHz at max spl；</w:t>
            </w:r>
            <w:r>
              <w:rPr>
                <w:rFonts w:hint="eastAsia" w:ascii="宋体" w:hAnsi="宋体" w:cs="宋体"/>
                <w:bCs/>
                <w:sz w:val="20"/>
                <w:szCs w:val="20"/>
              </w:rPr>
              <w:br w:type="textWrapping"/>
            </w:r>
            <w:r>
              <w:rPr>
                <w:rFonts w:hint="eastAsia" w:ascii="宋体" w:hAnsi="宋体" w:cs="宋体"/>
                <w:bCs/>
                <w:sz w:val="20"/>
                <w:szCs w:val="20"/>
              </w:rPr>
              <w:t>8、输出：平衡；</w:t>
            </w:r>
            <w:r>
              <w:rPr>
                <w:rFonts w:hint="eastAsia" w:ascii="宋体" w:hAnsi="宋体" w:cs="宋体"/>
                <w:bCs/>
                <w:sz w:val="20"/>
                <w:szCs w:val="20"/>
              </w:rPr>
              <w:br w:type="textWrapping"/>
            </w:r>
            <w:r>
              <w:rPr>
                <w:rFonts w:hint="eastAsia" w:ascii="宋体" w:hAnsi="宋体" w:cs="宋体"/>
                <w:bCs/>
                <w:sz w:val="20"/>
                <w:szCs w:val="20"/>
              </w:rPr>
              <w:t>9、最大承受音压：145dB SPL 1KHz THD1%；</w:t>
            </w:r>
            <w:r>
              <w:rPr>
                <w:rFonts w:hint="eastAsia" w:ascii="宋体" w:hAnsi="宋体" w:cs="宋体"/>
                <w:bCs/>
                <w:sz w:val="20"/>
                <w:szCs w:val="20"/>
              </w:rPr>
              <w:br w:type="textWrapping"/>
            </w:r>
            <w:r>
              <w:rPr>
                <w:rFonts w:hint="eastAsia" w:ascii="宋体" w:hAnsi="宋体" w:cs="宋体"/>
                <w:bCs/>
                <w:sz w:val="20"/>
                <w:szCs w:val="20"/>
              </w:rPr>
              <w:t>10、供电电压 (V): 幻象48V；</w:t>
            </w:r>
            <w:r>
              <w:rPr>
                <w:rFonts w:hint="eastAsia" w:ascii="宋体" w:hAnsi="宋体" w:cs="宋体"/>
                <w:bCs/>
                <w:sz w:val="20"/>
                <w:szCs w:val="20"/>
              </w:rPr>
              <w:br w:type="textWrapping"/>
            </w:r>
            <w:r>
              <w:rPr>
                <w:rFonts w:hint="eastAsia" w:ascii="宋体" w:hAnsi="宋体" w:cs="宋体"/>
                <w:bCs/>
                <w:sz w:val="20"/>
                <w:szCs w:val="20"/>
              </w:rPr>
              <w:t>11、话筒重量：0.33KG；</w:t>
            </w:r>
            <w:r>
              <w:rPr>
                <w:rFonts w:hint="eastAsia" w:ascii="宋体" w:hAnsi="宋体" w:cs="宋体"/>
                <w:bCs/>
                <w:sz w:val="20"/>
                <w:szCs w:val="20"/>
              </w:rPr>
              <w:br w:type="textWrapping"/>
            </w:r>
            <w:r>
              <w:rPr>
                <w:rFonts w:hint="eastAsia" w:ascii="宋体" w:hAnsi="宋体" w:cs="宋体"/>
                <w:bCs/>
                <w:sz w:val="20"/>
                <w:szCs w:val="20"/>
              </w:rPr>
              <w:t>12、规格（宽）mm：直径45，长200；</w:t>
            </w:r>
            <w:r>
              <w:rPr>
                <w:rFonts w:hint="eastAsia" w:ascii="宋体" w:hAnsi="宋体" w:cs="宋体"/>
                <w:bCs/>
                <w:sz w:val="20"/>
                <w:szCs w:val="20"/>
              </w:rPr>
              <w:br w:type="textWrapping"/>
            </w:r>
            <w:r>
              <w:rPr>
                <w:rFonts w:hint="eastAsia" w:ascii="宋体" w:hAnsi="宋体" w:cs="宋体"/>
                <w:bCs/>
                <w:sz w:val="20"/>
                <w:szCs w:val="20"/>
              </w:rPr>
              <w:t xml:space="preserve">13、包装规格：（L×W×H）铝箱400*300*125；  </w:t>
            </w:r>
            <w:r>
              <w:rPr>
                <w:rFonts w:hint="eastAsia" w:ascii="宋体" w:hAnsi="宋体" w:cs="宋体"/>
                <w:bCs/>
                <w:sz w:val="20"/>
                <w:szCs w:val="20"/>
              </w:rPr>
              <w:br w:type="textWrapping"/>
            </w:r>
            <w:r>
              <w:rPr>
                <w:rFonts w:hint="eastAsia" w:ascii="宋体" w:hAnsi="宋体" w:cs="宋体"/>
                <w:bCs/>
                <w:sz w:val="20"/>
                <w:szCs w:val="20"/>
              </w:rPr>
              <w:t>14、标配带防震支架 ，10米连接线；</w:t>
            </w:r>
            <w:r>
              <w:rPr>
                <w:rFonts w:hint="eastAsia" w:ascii="宋体" w:hAnsi="宋体" w:cs="宋体"/>
                <w:bCs/>
                <w:sz w:val="20"/>
                <w:szCs w:val="20"/>
              </w:rPr>
              <w:br w:type="textWrapping"/>
            </w:r>
            <w:r>
              <w:rPr>
                <w:rFonts w:hint="eastAsia" w:ascii="宋体" w:hAnsi="宋体" w:cs="宋体"/>
                <w:bCs/>
                <w:sz w:val="20"/>
                <w:szCs w:val="20"/>
              </w:rPr>
              <w:t>15、输出接头： 3P XLR [M]。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四编组24路调音台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1、二十四路通道输入（20路话筒+4路立体声）+4路辅助返回输入，12路输出（2路主输出+4编组输出+1路MONO输出+4路辅助输出+1路立体声监听输出；</w:t>
            </w:r>
            <w:r>
              <w:rPr>
                <w:rFonts w:hint="eastAsia" w:ascii="宋体" w:hAnsi="宋体" w:cs="宋体"/>
                <w:bCs/>
                <w:sz w:val="20"/>
                <w:szCs w:val="20"/>
              </w:rPr>
              <w:br w:type="textWrapping"/>
            </w:r>
            <w:r>
              <w:rPr>
                <w:rFonts w:hint="eastAsia" w:ascii="宋体" w:hAnsi="宋体" w:cs="宋体"/>
                <w:bCs/>
                <w:sz w:val="20"/>
                <w:szCs w:val="20"/>
              </w:rPr>
              <w:t>2、大动态，低噪声，高保真MIC电路，音质优越，单通道每路输入带独立48V电源开关；</w:t>
            </w:r>
            <w:r>
              <w:rPr>
                <w:rFonts w:hint="eastAsia" w:ascii="宋体" w:hAnsi="宋体" w:cs="宋体"/>
                <w:bCs/>
                <w:sz w:val="20"/>
                <w:szCs w:val="20"/>
              </w:rPr>
              <w:br w:type="textWrapping"/>
            </w:r>
            <w:r>
              <w:rPr>
                <w:rFonts w:hint="eastAsia" w:ascii="宋体" w:hAnsi="宋体" w:cs="宋体"/>
                <w:bCs/>
                <w:sz w:val="20"/>
                <w:szCs w:val="20"/>
              </w:rPr>
              <w:t>3、单通道输入每路具备100Hz低切功能，单通道每路输入带PAD衰减按键（可以衰减信号20dB)；</w:t>
            </w:r>
            <w:r>
              <w:rPr>
                <w:rFonts w:hint="eastAsia" w:ascii="宋体" w:hAnsi="宋体" w:cs="宋体"/>
                <w:bCs/>
                <w:sz w:val="20"/>
                <w:szCs w:val="20"/>
              </w:rPr>
              <w:br w:type="textWrapping"/>
            </w:r>
            <w:r>
              <w:rPr>
                <w:rFonts w:hint="eastAsia" w:ascii="宋体" w:hAnsi="宋体" w:cs="宋体"/>
                <w:bCs/>
                <w:sz w:val="20"/>
                <w:szCs w:val="20"/>
              </w:rPr>
              <w:t>4、单通道每路输入带卡侬和6.35两种输入口，单通道每路带断点功能（即INSERT插入功能），方便单路外接设备；</w:t>
            </w:r>
            <w:r>
              <w:rPr>
                <w:rFonts w:hint="eastAsia" w:ascii="宋体" w:hAnsi="宋体" w:cs="宋体"/>
                <w:bCs/>
                <w:sz w:val="20"/>
                <w:szCs w:val="20"/>
              </w:rPr>
              <w:br w:type="textWrapping"/>
            </w:r>
            <w:r>
              <w:rPr>
                <w:rFonts w:hint="eastAsia" w:ascii="宋体" w:hAnsi="宋体" w:cs="宋体"/>
                <w:bCs/>
                <w:sz w:val="20"/>
                <w:szCs w:val="20"/>
              </w:rPr>
              <w:t>5、单通道输入高中低3段均衡 ，中频可扫频；立体声高低两段均衡；</w:t>
            </w:r>
            <w:r>
              <w:rPr>
                <w:rFonts w:hint="eastAsia" w:ascii="宋体" w:hAnsi="宋体" w:cs="宋体"/>
                <w:bCs/>
                <w:sz w:val="20"/>
                <w:szCs w:val="20"/>
              </w:rPr>
              <w:br w:type="textWrapping"/>
            </w:r>
            <w:r>
              <w:rPr>
                <w:rFonts w:hint="eastAsia" w:ascii="宋体" w:hAnsi="宋体" w:cs="宋体"/>
                <w:bCs/>
                <w:sz w:val="20"/>
                <w:szCs w:val="20"/>
              </w:rPr>
              <w:t>6、四路辅助输出，AUX1和AUX2 为推子前信号，AUX3和AUX4为腿子后信号；AUX4和效果发送旋钮共用；</w:t>
            </w:r>
            <w:r>
              <w:rPr>
                <w:rFonts w:hint="eastAsia" w:ascii="宋体" w:hAnsi="宋体" w:cs="宋体"/>
                <w:bCs/>
                <w:sz w:val="20"/>
                <w:szCs w:val="20"/>
              </w:rPr>
              <w:br w:type="textWrapping"/>
            </w:r>
            <w:r>
              <w:rPr>
                <w:rFonts w:hint="eastAsia" w:ascii="宋体" w:hAnsi="宋体" w:cs="宋体"/>
                <w:bCs/>
                <w:sz w:val="20"/>
                <w:szCs w:val="20"/>
              </w:rPr>
              <w:t>7、每路带左右声像旋钮，每路带静音开关，静音指示灯和专属型透明按键结合，指示更直观；</w:t>
            </w:r>
            <w:r>
              <w:rPr>
                <w:rFonts w:hint="eastAsia" w:ascii="宋体" w:hAnsi="宋体" w:cs="宋体"/>
                <w:bCs/>
                <w:sz w:val="20"/>
                <w:szCs w:val="20"/>
              </w:rPr>
              <w:br w:type="textWrapping"/>
            </w:r>
            <w:r>
              <w:rPr>
                <w:rFonts w:hint="eastAsia" w:ascii="宋体" w:hAnsi="宋体" w:cs="宋体"/>
                <w:bCs/>
                <w:sz w:val="20"/>
                <w:szCs w:val="20"/>
              </w:rPr>
              <w:t>8、输入每路带主输出MAIN开关，编组G1G2开关，编组G3G4开关，选择更方便，可以组合多种模式；</w:t>
            </w:r>
            <w:r>
              <w:rPr>
                <w:rFonts w:hint="eastAsia" w:ascii="宋体" w:hAnsi="宋体" w:cs="宋体"/>
                <w:bCs/>
                <w:sz w:val="20"/>
                <w:szCs w:val="20"/>
              </w:rPr>
              <w:br w:type="textWrapping"/>
            </w:r>
            <w:r>
              <w:rPr>
                <w:rFonts w:hint="eastAsia" w:ascii="宋体" w:hAnsi="宋体" w:cs="宋体"/>
                <w:bCs/>
                <w:sz w:val="20"/>
                <w:szCs w:val="20"/>
              </w:rPr>
              <w:t>9、每路带信号指示灯和峰值指示灯，一个LED两个功能，独特的双色指示灯设计；</w:t>
            </w:r>
            <w:r>
              <w:rPr>
                <w:rFonts w:hint="eastAsia" w:ascii="宋体" w:hAnsi="宋体" w:cs="宋体"/>
                <w:bCs/>
                <w:sz w:val="20"/>
                <w:szCs w:val="20"/>
              </w:rPr>
              <w:br w:type="textWrapping"/>
            </w:r>
            <w:r>
              <w:rPr>
                <w:rFonts w:hint="eastAsia" w:ascii="宋体" w:hAnsi="宋体" w:cs="宋体"/>
                <w:bCs/>
                <w:sz w:val="20"/>
                <w:szCs w:val="20"/>
              </w:rPr>
              <w:t>10、输入通道每路带PFL监听按键，PFL按键透明设计，内置LED指示灯，直观紧凑；</w:t>
            </w:r>
            <w:r>
              <w:rPr>
                <w:rFonts w:hint="eastAsia" w:ascii="宋体" w:hAnsi="宋体" w:cs="宋体"/>
                <w:bCs/>
                <w:sz w:val="20"/>
                <w:szCs w:val="20"/>
              </w:rPr>
              <w:br w:type="textWrapping"/>
            </w:r>
            <w:r>
              <w:rPr>
                <w:rFonts w:hint="eastAsia" w:ascii="宋体" w:hAnsi="宋体" w:cs="宋体"/>
                <w:bCs/>
                <w:sz w:val="20"/>
                <w:szCs w:val="20"/>
              </w:rPr>
              <w:t>11、第一组立体声输入具备6.35和RCA（莲花座）两种接口，并有切换开关，接线和操作更灵活；第二组立体声输入和USB播放模块共用，有切换开关，操作灵活；</w:t>
            </w:r>
            <w:r>
              <w:rPr>
                <w:rFonts w:hint="eastAsia" w:ascii="宋体" w:hAnsi="宋体" w:cs="宋体"/>
                <w:bCs/>
                <w:sz w:val="20"/>
                <w:szCs w:val="20"/>
              </w:rPr>
              <w:br w:type="textWrapping"/>
            </w:r>
            <w:r>
              <w:rPr>
                <w:rFonts w:hint="eastAsia" w:ascii="宋体" w:hAnsi="宋体" w:cs="宋体"/>
                <w:bCs/>
                <w:sz w:val="20"/>
                <w:szCs w:val="20"/>
              </w:rPr>
              <w:t>12、USB播放模块支持WAV等多种音频格式，可以显示歌曲名字和歌词；播放模块具备蓝牙功能和USB录音功能；还可以根据客户的特殊要求定制开放FM功能；</w:t>
            </w:r>
            <w:r>
              <w:rPr>
                <w:rFonts w:hint="eastAsia" w:ascii="宋体" w:hAnsi="宋体" w:cs="宋体"/>
                <w:bCs/>
                <w:sz w:val="20"/>
                <w:szCs w:val="20"/>
              </w:rPr>
              <w:br w:type="textWrapping"/>
            </w:r>
            <w:r>
              <w:rPr>
                <w:rFonts w:hint="eastAsia" w:ascii="宋体" w:hAnsi="宋体" w:cs="宋体"/>
                <w:bCs/>
                <w:sz w:val="20"/>
                <w:szCs w:val="20"/>
              </w:rPr>
              <w:t>13、具备USB声卡功能，可以直接通过USB线与其他设备（如电脑）进行连接，可以实现数字音频信号的输入输出传输，进行录音直播等操作；</w:t>
            </w:r>
            <w:r>
              <w:rPr>
                <w:rFonts w:hint="eastAsia" w:ascii="宋体" w:hAnsi="宋体" w:cs="宋体"/>
                <w:bCs/>
                <w:sz w:val="20"/>
                <w:szCs w:val="20"/>
              </w:rPr>
              <w:br w:type="textWrapping"/>
            </w:r>
            <w:r>
              <w:rPr>
                <w:rFonts w:hint="eastAsia" w:ascii="宋体" w:hAnsi="宋体" w:cs="宋体"/>
                <w:bCs/>
                <w:sz w:val="20"/>
                <w:szCs w:val="20"/>
              </w:rPr>
              <w:t>14、高品质DSP内置效果器，32种效果模式可选，适应不同的场所使用，单独的LCD显示屏，实时显示效果种类，和蓝牙播放模块形成双屏显示，操作简洁；</w:t>
            </w:r>
            <w:r>
              <w:rPr>
                <w:rFonts w:hint="eastAsia" w:ascii="宋体" w:hAnsi="宋体" w:cs="宋体"/>
                <w:bCs/>
                <w:sz w:val="20"/>
                <w:szCs w:val="20"/>
              </w:rPr>
              <w:br w:type="textWrapping"/>
            </w:r>
            <w:r>
              <w:rPr>
                <w:rFonts w:hint="eastAsia" w:ascii="宋体" w:hAnsi="宋体" w:cs="宋体"/>
                <w:bCs/>
                <w:sz w:val="20"/>
                <w:szCs w:val="20"/>
              </w:rPr>
              <w:t>15、四路辅助输出，每路带AFL推子后监听开关，信号监测更方便；</w:t>
            </w:r>
            <w:r>
              <w:rPr>
                <w:rFonts w:hint="eastAsia" w:ascii="宋体" w:hAnsi="宋体" w:cs="宋体"/>
                <w:bCs/>
                <w:sz w:val="20"/>
                <w:szCs w:val="20"/>
              </w:rPr>
              <w:br w:type="textWrapping"/>
            </w:r>
            <w:r>
              <w:rPr>
                <w:rFonts w:hint="eastAsia" w:ascii="宋体" w:hAnsi="宋体" w:cs="宋体"/>
                <w:bCs/>
                <w:sz w:val="20"/>
                <w:szCs w:val="20"/>
              </w:rPr>
              <w:t>16、真正的4编组调台，编组输出为平衡的卡农接口，每路编组带PFL监听开关，透明按键和指示灯结合使用，实时观察编组输出推子前信号；</w:t>
            </w:r>
            <w:r>
              <w:rPr>
                <w:rFonts w:hint="eastAsia" w:ascii="宋体" w:hAnsi="宋体" w:cs="宋体"/>
                <w:bCs/>
                <w:sz w:val="20"/>
                <w:szCs w:val="20"/>
              </w:rPr>
              <w:br w:type="textWrapping"/>
            </w:r>
            <w:r>
              <w:rPr>
                <w:rFonts w:hint="eastAsia" w:ascii="宋体" w:hAnsi="宋体" w:cs="宋体"/>
                <w:bCs/>
                <w:sz w:val="20"/>
                <w:szCs w:val="20"/>
              </w:rPr>
              <w:t>17、每路编组的信号可以独立的加入到主输出左或主输出有，具有独立的选择开关；</w:t>
            </w:r>
            <w:r>
              <w:rPr>
                <w:rFonts w:hint="eastAsia" w:ascii="宋体" w:hAnsi="宋体" w:cs="宋体"/>
                <w:bCs/>
                <w:sz w:val="20"/>
                <w:szCs w:val="20"/>
              </w:rPr>
              <w:br w:type="textWrapping"/>
            </w:r>
            <w:r>
              <w:rPr>
                <w:rFonts w:hint="eastAsia" w:ascii="宋体" w:hAnsi="宋体" w:cs="宋体"/>
                <w:bCs/>
                <w:sz w:val="20"/>
                <w:szCs w:val="20"/>
              </w:rPr>
              <w:t>18、两路主输出，输出为平衡的卡农接口，输出信号由一个双联的100mm推子控制，操作更方便；</w:t>
            </w:r>
            <w:r>
              <w:rPr>
                <w:rFonts w:hint="eastAsia" w:ascii="宋体" w:hAnsi="宋体" w:cs="宋体"/>
                <w:bCs/>
                <w:sz w:val="20"/>
                <w:szCs w:val="20"/>
              </w:rPr>
              <w:br w:type="textWrapping"/>
            </w:r>
            <w:r>
              <w:rPr>
                <w:rFonts w:hint="eastAsia" w:ascii="宋体" w:hAnsi="宋体" w:cs="宋体"/>
                <w:bCs/>
                <w:sz w:val="20"/>
                <w:szCs w:val="20"/>
              </w:rPr>
              <w:t>19、具备RCA(莲花座）的录音输入输出接口，录音输入由选择开关切换信号是否加入到主输出，录音输出信号和主输出同步；</w:t>
            </w:r>
            <w:r>
              <w:rPr>
                <w:rFonts w:hint="eastAsia" w:ascii="宋体" w:hAnsi="宋体" w:cs="宋体"/>
                <w:bCs/>
                <w:sz w:val="20"/>
                <w:szCs w:val="20"/>
              </w:rPr>
              <w:br w:type="textWrapping"/>
            </w:r>
            <w:r>
              <w:rPr>
                <w:rFonts w:hint="eastAsia" w:ascii="宋体" w:hAnsi="宋体" w:cs="宋体"/>
                <w:bCs/>
                <w:sz w:val="20"/>
                <w:szCs w:val="20"/>
              </w:rPr>
              <w:t>20、两组立体声返回输入，返回音量由旋钮控制，第一组返回可以选择加入到编组1，2或主输出，第二组返回可以选择加入到编组3.4或主输出；</w:t>
            </w:r>
            <w:r>
              <w:rPr>
                <w:rFonts w:hint="eastAsia" w:ascii="宋体" w:hAnsi="宋体" w:cs="宋体"/>
                <w:bCs/>
                <w:sz w:val="20"/>
                <w:szCs w:val="20"/>
              </w:rPr>
              <w:br w:type="textWrapping"/>
            </w:r>
            <w:r>
              <w:rPr>
                <w:rFonts w:hint="eastAsia" w:ascii="宋体" w:hAnsi="宋体" w:cs="宋体"/>
                <w:bCs/>
                <w:sz w:val="20"/>
                <w:szCs w:val="20"/>
              </w:rPr>
              <w:t>21、立体声监听输出，可以耳机监听，也可以外接有源音箱监听，监听输出大小由独立的旋钮控制，可以监听PFL,AFL或主输出信号；</w:t>
            </w:r>
            <w:r>
              <w:rPr>
                <w:rFonts w:hint="eastAsia" w:ascii="宋体" w:hAnsi="宋体" w:cs="宋体"/>
                <w:bCs/>
                <w:sz w:val="20"/>
                <w:szCs w:val="20"/>
              </w:rPr>
              <w:br w:type="textWrapping"/>
            </w:r>
            <w:r>
              <w:rPr>
                <w:rFonts w:hint="eastAsia" w:ascii="宋体" w:hAnsi="宋体" w:cs="宋体"/>
                <w:bCs/>
                <w:sz w:val="20"/>
                <w:szCs w:val="20"/>
              </w:rPr>
              <w:t>22、强大的电平指示表，由标准的4组12段LED光柱组成，具备切换开关；即可以显示PFL,AFL 和主输出信号，也可以切换后显示编组1到4的输出信号；</w:t>
            </w:r>
            <w:r>
              <w:rPr>
                <w:rFonts w:hint="eastAsia" w:ascii="宋体" w:hAnsi="宋体" w:cs="宋体"/>
                <w:bCs/>
                <w:sz w:val="20"/>
                <w:szCs w:val="20"/>
              </w:rPr>
              <w:br w:type="textWrapping"/>
            </w:r>
            <w:r>
              <w:rPr>
                <w:rFonts w:hint="eastAsia" w:ascii="宋体" w:hAnsi="宋体" w:cs="宋体"/>
                <w:bCs/>
                <w:sz w:val="20"/>
                <w:szCs w:val="20"/>
              </w:rPr>
              <w:t>23、独特的MONO输入接口，主输出信号左右叠加后输出到MONO平衡接口，并有独立的旋钮控制音量大小，可以方便外接低音功放或其他设备；MONO具备PFL监听开关，方便了解前面的信号大小；</w:t>
            </w:r>
            <w:r>
              <w:rPr>
                <w:rFonts w:hint="eastAsia" w:ascii="宋体" w:hAnsi="宋体" w:cs="宋体"/>
                <w:bCs/>
                <w:sz w:val="20"/>
                <w:szCs w:val="20"/>
              </w:rPr>
              <w:br w:type="textWrapping"/>
            </w:r>
            <w:r>
              <w:rPr>
                <w:rFonts w:hint="eastAsia" w:ascii="宋体" w:hAnsi="宋体" w:cs="宋体"/>
                <w:bCs/>
                <w:sz w:val="20"/>
                <w:szCs w:val="20"/>
              </w:rPr>
              <w:t>24、高品质100mm推杆；输入输出通道的推杆为100mm长行程设计，调节更加精细；内置大功率开关电源，宽电压范围，外接通用型电源线，使用便捷。</w:t>
            </w:r>
            <w:r>
              <w:rPr>
                <w:rFonts w:hint="eastAsia" w:ascii="宋体" w:hAnsi="宋体" w:cs="宋体"/>
                <w:bCs/>
                <w:sz w:val="20"/>
                <w:szCs w:val="20"/>
              </w:rPr>
              <w:br w:type="textWrapping"/>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1、频率响应:20 HZ~20 KHZ(+1，-3 db)；</w:t>
            </w:r>
            <w:r>
              <w:rPr>
                <w:rFonts w:hint="eastAsia" w:ascii="宋体" w:hAnsi="宋体" w:cs="宋体"/>
                <w:bCs/>
                <w:sz w:val="20"/>
                <w:szCs w:val="20"/>
              </w:rPr>
              <w:br w:type="textWrapping"/>
            </w:r>
            <w:r>
              <w:rPr>
                <w:rFonts w:hint="eastAsia" w:ascii="宋体" w:hAnsi="宋体" w:cs="宋体"/>
                <w:bCs/>
                <w:sz w:val="20"/>
                <w:szCs w:val="20"/>
              </w:rPr>
              <w:t>2、总谐波失真:&lt;%1(额定条件：20 HZ-20 KHZ)；</w:t>
            </w:r>
            <w:r>
              <w:rPr>
                <w:rFonts w:hint="eastAsia" w:ascii="宋体" w:hAnsi="宋体" w:cs="宋体"/>
                <w:bCs/>
                <w:sz w:val="20"/>
                <w:szCs w:val="20"/>
              </w:rPr>
              <w:br w:type="textWrapping"/>
            </w:r>
            <w:r>
              <w:rPr>
                <w:rFonts w:hint="eastAsia" w:ascii="宋体" w:hAnsi="宋体" w:cs="宋体"/>
                <w:bCs/>
                <w:sz w:val="20"/>
                <w:szCs w:val="20"/>
              </w:rPr>
              <w:t>3、等效输入噪音:≤-110 dBm；</w:t>
            </w:r>
            <w:r>
              <w:rPr>
                <w:rFonts w:hint="eastAsia" w:ascii="宋体" w:hAnsi="宋体" w:cs="宋体"/>
                <w:bCs/>
                <w:sz w:val="20"/>
                <w:szCs w:val="20"/>
              </w:rPr>
              <w:br w:type="textWrapping"/>
            </w:r>
            <w:r>
              <w:rPr>
                <w:rFonts w:hint="eastAsia" w:ascii="宋体" w:hAnsi="宋体" w:cs="宋体"/>
                <w:bCs/>
                <w:sz w:val="20"/>
                <w:szCs w:val="20"/>
              </w:rPr>
              <w:t xml:space="preserve">4、输入通道均衡特性： </w:t>
            </w:r>
            <w:r>
              <w:rPr>
                <w:rFonts w:hint="eastAsia" w:ascii="宋体" w:hAnsi="宋体" w:cs="宋体"/>
                <w:bCs/>
                <w:sz w:val="20"/>
                <w:szCs w:val="20"/>
              </w:rPr>
              <w:br w:type="textWrapping"/>
            </w:r>
            <w:r>
              <w:rPr>
                <w:rFonts w:hint="eastAsia" w:ascii="宋体" w:hAnsi="宋体" w:cs="宋体"/>
                <w:bCs/>
                <w:sz w:val="20"/>
                <w:szCs w:val="20"/>
              </w:rPr>
              <w:t xml:space="preserve">低频:80 HZ/±15 dB  </w:t>
            </w:r>
            <w:r>
              <w:rPr>
                <w:rFonts w:hint="eastAsia" w:ascii="宋体" w:hAnsi="宋体" w:cs="宋体"/>
                <w:bCs/>
                <w:sz w:val="20"/>
                <w:szCs w:val="20"/>
              </w:rPr>
              <w:br w:type="textWrapping"/>
            </w:r>
            <w:r>
              <w:rPr>
                <w:rFonts w:hint="eastAsia" w:ascii="宋体" w:hAnsi="宋体" w:cs="宋体"/>
                <w:bCs/>
                <w:sz w:val="20"/>
                <w:szCs w:val="20"/>
              </w:rPr>
              <w:t xml:space="preserve">中频:0.25-6.0 Kh/±15 dB  </w:t>
            </w:r>
            <w:r>
              <w:rPr>
                <w:rFonts w:hint="eastAsia" w:ascii="宋体" w:hAnsi="宋体" w:cs="宋体"/>
                <w:bCs/>
                <w:sz w:val="20"/>
                <w:szCs w:val="20"/>
              </w:rPr>
              <w:br w:type="textWrapping"/>
            </w:r>
            <w:r>
              <w:rPr>
                <w:rFonts w:hint="eastAsia" w:ascii="宋体" w:hAnsi="宋体" w:cs="宋体"/>
                <w:bCs/>
                <w:sz w:val="20"/>
                <w:szCs w:val="20"/>
              </w:rPr>
              <w:t>高频:12 KHZ/±15 dB；</w:t>
            </w:r>
            <w:r>
              <w:rPr>
                <w:rFonts w:hint="eastAsia" w:ascii="宋体" w:hAnsi="宋体" w:cs="宋体"/>
                <w:bCs/>
                <w:sz w:val="20"/>
                <w:szCs w:val="20"/>
              </w:rPr>
              <w:br w:type="textWrapping"/>
            </w:r>
            <w:r>
              <w:rPr>
                <w:rFonts w:hint="eastAsia" w:ascii="宋体" w:hAnsi="宋体" w:cs="宋体"/>
                <w:bCs/>
                <w:sz w:val="20"/>
                <w:szCs w:val="20"/>
              </w:rPr>
              <w:t>5、线路输入时的最大增益:≥20 dB；</w:t>
            </w:r>
            <w:r>
              <w:rPr>
                <w:rFonts w:hint="eastAsia" w:ascii="宋体" w:hAnsi="宋体" w:cs="宋体"/>
                <w:bCs/>
                <w:sz w:val="20"/>
                <w:szCs w:val="20"/>
              </w:rPr>
              <w:br w:type="textWrapping"/>
            </w:r>
            <w:r>
              <w:rPr>
                <w:rFonts w:hint="eastAsia" w:ascii="宋体" w:hAnsi="宋体" w:cs="宋体"/>
                <w:bCs/>
                <w:sz w:val="20"/>
                <w:szCs w:val="20"/>
              </w:rPr>
              <w:t>6、传声器输入时的最大增益:≥50 dB；</w:t>
            </w:r>
            <w:r>
              <w:rPr>
                <w:rFonts w:hint="eastAsia" w:ascii="宋体" w:hAnsi="宋体" w:cs="宋体"/>
                <w:bCs/>
                <w:sz w:val="20"/>
                <w:szCs w:val="20"/>
              </w:rPr>
              <w:br w:type="textWrapping"/>
            </w:r>
            <w:r>
              <w:rPr>
                <w:rFonts w:hint="eastAsia" w:ascii="宋体" w:hAnsi="宋体" w:cs="宋体"/>
                <w:bCs/>
                <w:sz w:val="20"/>
                <w:szCs w:val="20"/>
              </w:rPr>
              <w:t>7、输入阻抗：</w:t>
            </w:r>
            <w:r>
              <w:rPr>
                <w:rFonts w:hint="eastAsia" w:ascii="宋体" w:hAnsi="宋体" w:cs="宋体"/>
                <w:bCs/>
                <w:sz w:val="20"/>
                <w:szCs w:val="20"/>
              </w:rPr>
              <w:br w:type="textWrapping"/>
            </w:r>
            <w:r>
              <w:rPr>
                <w:rFonts w:hint="eastAsia" w:ascii="宋体" w:hAnsi="宋体" w:cs="宋体"/>
                <w:bCs/>
                <w:sz w:val="20"/>
                <w:szCs w:val="20"/>
              </w:rPr>
              <w:t xml:space="preserve">话筒输入：≥1.0 KΩ；   </w:t>
            </w:r>
            <w:r>
              <w:rPr>
                <w:rFonts w:hint="eastAsia" w:ascii="宋体" w:hAnsi="宋体" w:cs="宋体"/>
                <w:bCs/>
                <w:sz w:val="20"/>
                <w:szCs w:val="20"/>
              </w:rPr>
              <w:br w:type="textWrapping"/>
            </w:r>
            <w:r>
              <w:rPr>
                <w:rFonts w:hint="eastAsia" w:ascii="宋体" w:hAnsi="宋体" w:cs="宋体"/>
                <w:bCs/>
                <w:sz w:val="20"/>
                <w:szCs w:val="20"/>
              </w:rPr>
              <w:t>录音输入： 47 KΩ；</w:t>
            </w:r>
            <w:r>
              <w:rPr>
                <w:rFonts w:hint="eastAsia" w:ascii="宋体" w:hAnsi="宋体" w:cs="宋体"/>
                <w:bCs/>
                <w:sz w:val="20"/>
                <w:szCs w:val="20"/>
              </w:rPr>
              <w:br w:type="textWrapping"/>
            </w:r>
            <w:r>
              <w:rPr>
                <w:rFonts w:hint="eastAsia" w:ascii="宋体" w:hAnsi="宋体" w:cs="宋体"/>
                <w:bCs/>
                <w:sz w:val="20"/>
                <w:szCs w:val="20"/>
              </w:rPr>
              <w:t xml:space="preserve">线路输出： ≥10 KΩ； </w:t>
            </w:r>
            <w:r>
              <w:rPr>
                <w:rFonts w:hint="eastAsia" w:ascii="宋体" w:hAnsi="宋体" w:cs="宋体"/>
                <w:bCs/>
                <w:sz w:val="20"/>
                <w:szCs w:val="20"/>
              </w:rPr>
              <w:br w:type="textWrapping"/>
            </w:r>
            <w:r>
              <w:rPr>
                <w:rFonts w:hint="eastAsia" w:ascii="宋体" w:hAnsi="宋体" w:cs="宋体"/>
                <w:bCs/>
                <w:sz w:val="20"/>
                <w:szCs w:val="20"/>
              </w:rPr>
              <w:t xml:space="preserve">辅助返回输入:20 KΩ；     </w:t>
            </w:r>
            <w:r>
              <w:rPr>
                <w:rFonts w:hint="eastAsia" w:ascii="宋体" w:hAnsi="宋体" w:cs="宋体"/>
                <w:bCs/>
                <w:sz w:val="20"/>
                <w:szCs w:val="20"/>
              </w:rPr>
              <w:br w:type="textWrapping"/>
            </w:r>
            <w:r>
              <w:rPr>
                <w:rFonts w:hint="eastAsia" w:ascii="宋体" w:hAnsi="宋体" w:cs="宋体"/>
                <w:bCs/>
                <w:sz w:val="20"/>
                <w:szCs w:val="20"/>
              </w:rPr>
              <w:t>8、输出阻抗：</w:t>
            </w:r>
            <w:r>
              <w:rPr>
                <w:rFonts w:hint="eastAsia" w:ascii="宋体" w:hAnsi="宋体" w:cs="宋体"/>
                <w:bCs/>
                <w:sz w:val="20"/>
                <w:szCs w:val="20"/>
              </w:rPr>
              <w:br w:type="textWrapping"/>
            </w:r>
            <w:r>
              <w:rPr>
                <w:rFonts w:hint="eastAsia" w:ascii="宋体" w:hAnsi="宋体" w:cs="宋体"/>
                <w:bCs/>
                <w:sz w:val="20"/>
                <w:szCs w:val="20"/>
              </w:rPr>
              <w:t>左总输出：≤300 Ω；</w:t>
            </w:r>
            <w:r>
              <w:rPr>
                <w:rFonts w:hint="eastAsia" w:ascii="宋体" w:hAnsi="宋体" w:cs="宋体"/>
                <w:bCs/>
                <w:sz w:val="20"/>
                <w:szCs w:val="20"/>
              </w:rPr>
              <w:br w:type="textWrapping"/>
            </w:r>
            <w:r>
              <w:rPr>
                <w:rFonts w:hint="eastAsia" w:ascii="宋体" w:hAnsi="宋体" w:cs="宋体"/>
                <w:bCs/>
                <w:sz w:val="20"/>
                <w:szCs w:val="20"/>
              </w:rPr>
              <w:t>右总输出：≤300 Ω；</w:t>
            </w:r>
            <w:r>
              <w:rPr>
                <w:rFonts w:hint="eastAsia" w:ascii="宋体" w:hAnsi="宋体" w:cs="宋体"/>
                <w:bCs/>
                <w:sz w:val="20"/>
                <w:szCs w:val="20"/>
              </w:rPr>
              <w:br w:type="textWrapping"/>
            </w:r>
            <w:r>
              <w:rPr>
                <w:rFonts w:hint="eastAsia" w:ascii="宋体" w:hAnsi="宋体" w:cs="宋体"/>
                <w:bCs/>
                <w:sz w:val="20"/>
                <w:szCs w:val="20"/>
              </w:rPr>
              <w:t>监听总输出：≤300 Ω；</w:t>
            </w:r>
            <w:r>
              <w:rPr>
                <w:rFonts w:hint="eastAsia" w:ascii="宋体" w:hAnsi="宋体" w:cs="宋体"/>
                <w:bCs/>
                <w:sz w:val="20"/>
                <w:szCs w:val="20"/>
              </w:rPr>
              <w:br w:type="textWrapping"/>
            </w:r>
            <w:r>
              <w:rPr>
                <w:rFonts w:hint="eastAsia" w:ascii="宋体" w:hAnsi="宋体" w:cs="宋体"/>
                <w:bCs/>
                <w:sz w:val="20"/>
                <w:szCs w:val="20"/>
              </w:rPr>
              <w:t>录音输出：≤10 KΩ；</w:t>
            </w:r>
            <w:r>
              <w:rPr>
                <w:rFonts w:hint="eastAsia" w:ascii="宋体" w:hAnsi="宋体" w:cs="宋体"/>
                <w:bCs/>
                <w:sz w:val="20"/>
                <w:szCs w:val="20"/>
              </w:rPr>
              <w:br w:type="textWrapping"/>
            </w:r>
            <w:r>
              <w:rPr>
                <w:rFonts w:hint="eastAsia" w:ascii="宋体" w:hAnsi="宋体" w:cs="宋体"/>
                <w:bCs/>
                <w:sz w:val="20"/>
                <w:szCs w:val="20"/>
              </w:rPr>
              <w:t>效果激励器输出： ≤10 KΩ；</w:t>
            </w:r>
            <w:r>
              <w:rPr>
                <w:rFonts w:hint="eastAsia" w:ascii="宋体" w:hAnsi="宋体" w:cs="宋体"/>
                <w:bCs/>
                <w:sz w:val="20"/>
                <w:szCs w:val="20"/>
              </w:rPr>
              <w:br w:type="textWrapping"/>
            </w:r>
            <w:r>
              <w:rPr>
                <w:rFonts w:hint="eastAsia" w:ascii="宋体" w:hAnsi="宋体" w:cs="宋体"/>
                <w:bCs/>
                <w:sz w:val="20"/>
                <w:szCs w:val="20"/>
              </w:rPr>
              <w:t>9、效果器：</w:t>
            </w:r>
            <w:r>
              <w:rPr>
                <w:rFonts w:hint="eastAsia" w:ascii="宋体" w:hAnsi="宋体" w:cs="宋体"/>
                <w:bCs/>
                <w:sz w:val="20"/>
                <w:szCs w:val="20"/>
              </w:rPr>
              <w:br w:type="textWrapping"/>
            </w:r>
            <w:r>
              <w:rPr>
                <w:rFonts w:hint="eastAsia" w:ascii="宋体" w:hAnsi="宋体" w:cs="宋体"/>
                <w:bCs/>
                <w:sz w:val="20"/>
                <w:szCs w:val="20"/>
              </w:rPr>
              <w:t>转换器:24-BIT SIGMA-DELTA；</w:t>
            </w:r>
            <w:r>
              <w:rPr>
                <w:rFonts w:hint="eastAsia" w:ascii="宋体" w:hAnsi="宋体" w:cs="宋体"/>
                <w:bCs/>
                <w:sz w:val="20"/>
                <w:szCs w:val="20"/>
              </w:rPr>
              <w:br w:type="textWrapping"/>
            </w:r>
            <w:r>
              <w:rPr>
                <w:rFonts w:hint="eastAsia" w:ascii="宋体" w:hAnsi="宋体" w:cs="宋体"/>
                <w:bCs/>
                <w:sz w:val="20"/>
                <w:szCs w:val="20"/>
              </w:rPr>
              <w:t>效果种类32种效果；</w:t>
            </w:r>
            <w:r>
              <w:rPr>
                <w:rFonts w:hint="eastAsia" w:ascii="宋体" w:hAnsi="宋体" w:cs="宋体"/>
                <w:bCs/>
                <w:sz w:val="20"/>
                <w:szCs w:val="20"/>
              </w:rPr>
              <w:br w:type="textWrapping"/>
            </w:r>
            <w:r>
              <w:rPr>
                <w:rFonts w:hint="eastAsia" w:ascii="宋体" w:hAnsi="宋体" w:cs="宋体"/>
                <w:bCs/>
                <w:sz w:val="20"/>
                <w:szCs w:val="20"/>
              </w:rPr>
              <w:t>采样速率:48 KHZ；</w:t>
            </w:r>
            <w:r>
              <w:rPr>
                <w:rFonts w:hint="eastAsia" w:ascii="宋体" w:hAnsi="宋体" w:cs="宋体"/>
                <w:bCs/>
                <w:sz w:val="20"/>
                <w:szCs w:val="20"/>
              </w:rPr>
              <w:br w:type="textWrapping"/>
            </w:r>
            <w:r>
              <w:rPr>
                <w:rFonts w:hint="eastAsia" w:ascii="宋体" w:hAnsi="宋体" w:cs="宋体"/>
                <w:bCs/>
                <w:sz w:val="20"/>
                <w:szCs w:val="20"/>
              </w:rPr>
              <w:t xml:space="preserve">10、整机功率:≤40 W；  </w:t>
            </w:r>
            <w:r>
              <w:rPr>
                <w:rFonts w:hint="eastAsia" w:ascii="宋体" w:hAnsi="宋体" w:cs="宋体"/>
                <w:bCs/>
                <w:sz w:val="20"/>
                <w:szCs w:val="20"/>
              </w:rPr>
              <w:br w:type="textWrapping"/>
            </w:r>
            <w:r>
              <w:rPr>
                <w:rFonts w:hint="eastAsia" w:ascii="宋体" w:hAnsi="宋体" w:cs="宋体"/>
                <w:bCs/>
                <w:sz w:val="20"/>
                <w:szCs w:val="20"/>
              </w:rPr>
              <w:t>11、电源:AC100V-240V宽电压设计， 50/60Hz；</w:t>
            </w:r>
            <w:r>
              <w:rPr>
                <w:rFonts w:hint="eastAsia" w:ascii="宋体" w:hAnsi="宋体" w:cs="宋体"/>
                <w:bCs/>
                <w:sz w:val="20"/>
                <w:szCs w:val="20"/>
              </w:rPr>
              <w:br w:type="textWrapping"/>
            </w:r>
            <w:r>
              <w:rPr>
                <w:rFonts w:hint="eastAsia" w:ascii="宋体" w:hAnsi="宋体" w:cs="宋体"/>
                <w:bCs/>
                <w:sz w:val="20"/>
                <w:szCs w:val="20"/>
              </w:rPr>
              <w:t>12、机壳尺寸：（H*W*D):84.5*40.5*12</w:t>
            </w:r>
            <w:r>
              <w:rPr>
                <w:rFonts w:hint="eastAsia" w:ascii="宋体" w:hAnsi="宋体" w:cs="宋体"/>
                <w:bCs/>
                <w:sz w:val="20"/>
                <w:szCs w:val="20"/>
              </w:rPr>
              <w:br w:type="textWrapping"/>
            </w:r>
            <w:r>
              <w:rPr>
                <w:rFonts w:hint="eastAsia" w:ascii="宋体" w:hAnsi="宋体" w:cs="宋体"/>
                <w:bCs/>
                <w:sz w:val="20"/>
                <w:szCs w:val="20"/>
              </w:rPr>
              <w:t>13、包装尺寸：（H*W*D):92*50.5*20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16*16数字   音频矩阵  处理器   (AEC/ANC）</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1、16路模拟音频输入16路模拟音频输出，支持麦克风输入和线路输入自由切换；                </w:t>
            </w:r>
            <w:r>
              <w:rPr>
                <w:rFonts w:hint="eastAsia" w:ascii="宋体" w:hAnsi="宋体" w:cs="宋体"/>
                <w:bCs/>
                <w:sz w:val="20"/>
                <w:szCs w:val="20"/>
              </w:rPr>
              <w:br w:type="textWrapping"/>
            </w:r>
            <w:r>
              <w:rPr>
                <w:rFonts w:hint="eastAsia" w:ascii="宋体" w:hAnsi="宋体" w:cs="宋体"/>
                <w:bCs/>
                <w:sz w:val="20"/>
                <w:szCs w:val="20"/>
              </w:rPr>
              <w:t xml:space="preserve">2、带AEC回声消除功能和ANC噪声消除功能，适用于互动录播远程会议场合；                                </w:t>
            </w:r>
            <w:r>
              <w:rPr>
                <w:rFonts w:hint="eastAsia" w:ascii="宋体" w:hAnsi="宋体" w:cs="宋体"/>
                <w:bCs/>
                <w:sz w:val="20"/>
                <w:szCs w:val="20"/>
              </w:rPr>
              <w:br w:type="textWrapping"/>
            </w:r>
            <w:r>
              <w:rPr>
                <w:rFonts w:hint="eastAsia" w:ascii="宋体" w:hAnsi="宋体" w:cs="宋体"/>
                <w:bCs/>
                <w:sz w:val="20"/>
                <w:szCs w:val="20"/>
              </w:rPr>
              <w:t>3、每路麦克风输入带9级灵敏度调节；</w:t>
            </w:r>
            <w:r>
              <w:rPr>
                <w:rFonts w:hint="eastAsia" w:ascii="宋体" w:hAnsi="宋体" w:cs="宋体"/>
                <w:bCs/>
                <w:sz w:val="20"/>
                <w:szCs w:val="20"/>
              </w:rPr>
              <w:br w:type="textWrapping"/>
            </w:r>
            <w:r>
              <w:rPr>
                <w:rFonts w:hint="eastAsia" w:ascii="宋体" w:hAnsi="宋体" w:cs="宋体"/>
                <w:bCs/>
                <w:sz w:val="20"/>
                <w:szCs w:val="20"/>
              </w:rPr>
              <w:t>4、每路输入带48V幻相电源开关；</w:t>
            </w:r>
            <w:r>
              <w:rPr>
                <w:rFonts w:hint="eastAsia" w:ascii="宋体" w:hAnsi="宋体" w:cs="宋体"/>
                <w:bCs/>
                <w:sz w:val="20"/>
                <w:szCs w:val="20"/>
              </w:rPr>
              <w:br w:type="textWrapping"/>
            </w:r>
            <w:r>
              <w:rPr>
                <w:rFonts w:hint="eastAsia" w:ascii="宋体" w:hAnsi="宋体" w:cs="宋体"/>
                <w:bCs/>
                <w:sz w:val="20"/>
                <w:szCs w:val="20"/>
              </w:rPr>
              <w:t>5、每路输入带反馈抑制功能开关，两档调节；</w:t>
            </w:r>
            <w:r>
              <w:rPr>
                <w:rFonts w:hint="eastAsia" w:ascii="宋体" w:hAnsi="宋体" w:cs="宋体"/>
                <w:bCs/>
                <w:sz w:val="20"/>
                <w:szCs w:val="20"/>
              </w:rPr>
              <w:br w:type="textWrapping"/>
            </w:r>
            <w:r>
              <w:rPr>
                <w:rFonts w:hint="eastAsia" w:ascii="宋体" w:hAnsi="宋体" w:cs="宋体"/>
                <w:bCs/>
                <w:sz w:val="20"/>
                <w:szCs w:val="20"/>
              </w:rPr>
              <w:t>6、带AUTOMIX自动混音和矩阵混音功能；</w:t>
            </w:r>
            <w:r>
              <w:rPr>
                <w:rFonts w:hint="eastAsia" w:ascii="宋体" w:hAnsi="宋体" w:cs="宋体"/>
                <w:bCs/>
                <w:sz w:val="20"/>
                <w:szCs w:val="20"/>
              </w:rPr>
              <w:br w:type="textWrapping"/>
            </w:r>
            <w:r>
              <w:rPr>
                <w:rFonts w:hint="eastAsia" w:ascii="宋体" w:hAnsi="宋体" w:cs="宋体"/>
                <w:bCs/>
                <w:sz w:val="20"/>
                <w:szCs w:val="20"/>
              </w:rPr>
              <w:t xml:space="preserve">7、输入16段PEQ可调，输出10段PEQ可调；                                                              </w:t>
            </w:r>
            <w:r>
              <w:rPr>
                <w:rFonts w:hint="eastAsia" w:ascii="宋体" w:hAnsi="宋体" w:cs="宋体"/>
                <w:bCs/>
                <w:sz w:val="20"/>
                <w:szCs w:val="20"/>
              </w:rPr>
              <w:br w:type="textWrapping"/>
            </w:r>
            <w:r>
              <w:rPr>
                <w:rFonts w:hint="eastAsia" w:ascii="宋体" w:hAnsi="宋体" w:cs="宋体"/>
                <w:bCs/>
                <w:sz w:val="20"/>
                <w:szCs w:val="20"/>
              </w:rPr>
              <w:t>8、带视像跟踪控制功能，支持绝大多数国内外摄像头控制协议；</w:t>
            </w:r>
            <w:r>
              <w:rPr>
                <w:rFonts w:hint="eastAsia" w:ascii="宋体" w:hAnsi="宋体" w:cs="宋体"/>
                <w:bCs/>
                <w:sz w:val="20"/>
                <w:szCs w:val="20"/>
              </w:rPr>
              <w:br w:type="textWrapping"/>
            </w:r>
            <w:r>
              <w:rPr>
                <w:rFonts w:hint="eastAsia" w:ascii="宋体" w:hAnsi="宋体" w:cs="宋体"/>
                <w:bCs/>
                <w:sz w:val="20"/>
                <w:szCs w:val="20"/>
              </w:rPr>
              <w:t xml:space="preserve">9、USB免驱自动连接软件，另外支持RS232中控控制；                                           </w:t>
            </w:r>
            <w:r>
              <w:rPr>
                <w:rFonts w:hint="eastAsia" w:ascii="宋体" w:hAnsi="宋体" w:cs="宋体"/>
                <w:bCs/>
                <w:sz w:val="20"/>
                <w:szCs w:val="20"/>
              </w:rPr>
              <w:br w:type="textWrapping"/>
            </w:r>
            <w:r>
              <w:rPr>
                <w:rFonts w:hint="eastAsia" w:ascii="宋体" w:hAnsi="宋体" w:cs="宋体"/>
                <w:bCs/>
                <w:sz w:val="20"/>
                <w:szCs w:val="20"/>
              </w:rPr>
              <w:t xml:space="preserve">10、支持手机APP TCON软件网络控制；                                                           </w:t>
            </w:r>
            <w:r>
              <w:rPr>
                <w:rFonts w:hint="eastAsia" w:ascii="宋体" w:hAnsi="宋体" w:cs="宋体"/>
                <w:bCs/>
                <w:sz w:val="20"/>
                <w:szCs w:val="20"/>
              </w:rPr>
              <w:br w:type="textWrapping"/>
            </w:r>
            <w:r>
              <w:rPr>
                <w:rFonts w:hint="eastAsia" w:ascii="宋体" w:hAnsi="宋体" w:cs="宋体"/>
                <w:bCs/>
                <w:sz w:val="20"/>
                <w:szCs w:val="20"/>
              </w:rPr>
              <w:t xml:space="preserve">11、支持触控屏线控控制。                                                                              </w:t>
            </w:r>
            <w:r>
              <w:rPr>
                <w:rFonts w:hint="eastAsia" w:ascii="宋体" w:hAnsi="宋体" w:cs="宋体"/>
                <w:bCs/>
                <w:sz w:val="20"/>
                <w:szCs w:val="20"/>
              </w:rPr>
              <w:br w:type="textWrapping"/>
            </w:r>
            <w:r>
              <w:rPr>
                <w:rFonts w:hint="eastAsia" w:ascii="宋体" w:hAnsi="宋体" w:cs="宋体"/>
                <w:bCs/>
                <w:sz w:val="20"/>
                <w:szCs w:val="20"/>
              </w:rPr>
              <w:t>主要技术参数：</w:t>
            </w:r>
            <w:r>
              <w:rPr>
                <w:rFonts w:hint="eastAsia" w:ascii="宋体" w:hAnsi="宋体" w:cs="宋体"/>
                <w:bCs/>
                <w:sz w:val="20"/>
                <w:szCs w:val="20"/>
              </w:rPr>
              <w:br w:type="textWrapping"/>
            </w:r>
            <w:r>
              <w:rPr>
                <w:rFonts w:hint="eastAsia" w:ascii="宋体" w:hAnsi="宋体" w:cs="宋体"/>
                <w:bCs/>
                <w:sz w:val="20"/>
                <w:szCs w:val="20"/>
              </w:rPr>
              <w:t>1、信号处理：32-bit fixed/floating-point DSP 300MHz芯片；</w:t>
            </w:r>
            <w:r>
              <w:rPr>
                <w:rFonts w:hint="eastAsia" w:ascii="宋体" w:hAnsi="宋体" w:cs="宋体"/>
                <w:bCs/>
                <w:sz w:val="20"/>
                <w:szCs w:val="20"/>
              </w:rPr>
              <w:br w:type="textWrapping"/>
            </w:r>
            <w:r>
              <w:rPr>
                <w:rFonts w:hint="eastAsia" w:ascii="宋体" w:hAnsi="宋体" w:cs="宋体"/>
                <w:bCs/>
                <w:sz w:val="20"/>
                <w:szCs w:val="20"/>
              </w:rPr>
              <w:t>2、音频系统延迟: &lt; 1ms；</w:t>
            </w:r>
            <w:r>
              <w:rPr>
                <w:rFonts w:hint="eastAsia" w:ascii="宋体" w:hAnsi="宋体" w:cs="宋体"/>
                <w:bCs/>
                <w:sz w:val="20"/>
                <w:szCs w:val="20"/>
              </w:rPr>
              <w:br w:type="textWrapping"/>
            </w:r>
            <w:r>
              <w:rPr>
                <w:rFonts w:hint="eastAsia" w:ascii="宋体" w:hAnsi="宋体" w:cs="宋体"/>
                <w:bCs/>
                <w:sz w:val="20"/>
                <w:szCs w:val="20"/>
              </w:rPr>
              <w:t>3、数模转换:24-bit；</w:t>
            </w:r>
            <w:r>
              <w:rPr>
                <w:rFonts w:hint="eastAsia" w:ascii="宋体" w:hAnsi="宋体" w:cs="宋体"/>
                <w:bCs/>
                <w:sz w:val="20"/>
                <w:szCs w:val="20"/>
              </w:rPr>
              <w:br w:type="textWrapping"/>
            </w:r>
            <w:r>
              <w:rPr>
                <w:rFonts w:hint="eastAsia" w:ascii="宋体" w:hAnsi="宋体" w:cs="宋体"/>
                <w:bCs/>
                <w:sz w:val="20"/>
                <w:szCs w:val="20"/>
              </w:rPr>
              <w:t>4、模拟音频输入：16路平衡输入. Mic/line level；</w:t>
            </w:r>
            <w:r>
              <w:rPr>
                <w:rFonts w:hint="eastAsia" w:ascii="宋体" w:hAnsi="宋体" w:cs="宋体"/>
                <w:bCs/>
                <w:sz w:val="20"/>
                <w:szCs w:val="20"/>
              </w:rPr>
              <w:br w:type="textWrapping"/>
            </w:r>
            <w:r>
              <w:rPr>
                <w:rFonts w:hint="eastAsia" w:ascii="宋体" w:hAnsi="宋体" w:cs="宋体"/>
                <w:bCs/>
                <w:sz w:val="20"/>
                <w:szCs w:val="20"/>
              </w:rPr>
              <w:t>5、模拟音频音频接口: 3.81 mm 凤凰插, 12-pin；</w:t>
            </w:r>
            <w:r>
              <w:rPr>
                <w:rFonts w:hint="eastAsia" w:ascii="宋体" w:hAnsi="宋体" w:cs="宋体"/>
                <w:bCs/>
                <w:sz w:val="20"/>
                <w:szCs w:val="20"/>
              </w:rPr>
              <w:br w:type="textWrapping"/>
            </w:r>
            <w:r>
              <w:rPr>
                <w:rFonts w:hint="eastAsia" w:ascii="宋体" w:hAnsi="宋体" w:cs="宋体"/>
                <w:bCs/>
                <w:sz w:val="20"/>
                <w:szCs w:val="20"/>
              </w:rPr>
              <w:t>6、模拟音频输入阻抗: 11.5KΩ；</w:t>
            </w:r>
            <w:r>
              <w:rPr>
                <w:rFonts w:hint="eastAsia" w:ascii="宋体" w:hAnsi="宋体" w:cs="宋体"/>
                <w:bCs/>
                <w:sz w:val="20"/>
                <w:szCs w:val="20"/>
              </w:rPr>
              <w:br w:type="textWrapping"/>
            </w:r>
            <w:r>
              <w:rPr>
                <w:rFonts w:hint="eastAsia" w:ascii="宋体" w:hAnsi="宋体" w:cs="宋体"/>
                <w:bCs/>
                <w:sz w:val="20"/>
                <w:szCs w:val="20"/>
              </w:rPr>
              <w:t>7、模拟音频最大输入电平：12dBu/Line, -7dBu/Mic；</w:t>
            </w:r>
            <w:r>
              <w:rPr>
                <w:rFonts w:hint="eastAsia" w:ascii="宋体" w:hAnsi="宋体" w:cs="宋体"/>
                <w:bCs/>
                <w:sz w:val="20"/>
                <w:szCs w:val="20"/>
              </w:rPr>
              <w:br w:type="textWrapping"/>
            </w:r>
            <w:r>
              <w:rPr>
                <w:rFonts w:hint="eastAsia" w:ascii="宋体" w:hAnsi="宋体" w:cs="宋体"/>
                <w:bCs/>
                <w:sz w:val="20"/>
                <w:szCs w:val="20"/>
              </w:rPr>
              <w:t>8、幻象电源：+48VDC, 6.5mA, 每通道配置；</w:t>
            </w:r>
            <w:r>
              <w:rPr>
                <w:rFonts w:hint="eastAsia" w:ascii="宋体" w:hAnsi="宋体" w:cs="宋体"/>
                <w:bCs/>
                <w:sz w:val="20"/>
                <w:szCs w:val="20"/>
              </w:rPr>
              <w:br w:type="textWrapping"/>
            </w:r>
            <w:r>
              <w:rPr>
                <w:rFonts w:hint="eastAsia" w:ascii="宋体" w:hAnsi="宋体" w:cs="宋体"/>
                <w:bCs/>
                <w:sz w:val="20"/>
                <w:szCs w:val="20"/>
              </w:rPr>
              <w:t xml:space="preserve">9、模拟音频输出通道：8 路平衡输出, line level；                       </w:t>
            </w:r>
            <w:r>
              <w:rPr>
                <w:rFonts w:hint="eastAsia" w:ascii="宋体" w:hAnsi="宋体" w:cs="宋体"/>
                <w:bCs/>
                <w:sz w:val="20"/>
                <w:szCs w:val="20"/>
              </w:rPr>
              <w:br w:type="textWrapping"/>
            </w:r>
            <w:r>
              <w:rPr>
                <w:rFonts w:hint="eastAsia" w:ascii="宋体" w:hAnsi="宋体" w:cs="宋体"/>
                <w:bCs/>
                <w:sz w:val="20"/>
                <w:szCs w:val="20"/>
              </w:rPr>
              <w:t>10、模拟音频输出阻抗：150Ω；</w:t>
            </w:r>
            <w:r>
              <w:rPr>
                <w:rFonts w:hint="eastAsia" w:ascii="宋体" w:hAnsi="宋体" w:cs="宋体"/>
                <w:bCs/>
                <w:sz w:val="20"/>
                <w:szCs w:val="20"/>
              </w:rPr>
              <w:br w:type="textWrapping"/>
            </w:r>
            <w:r>
              <w:rPr>
                <w:rFonts w:hint="eastAsia" w:ascii="宋体" w:hAnsi="宋体" w:cs="宋体"/>
                <w:bCs/>
                <w:sz w:val="20"/>
                <w:szCs w:val="20"/>
              </w:rPr>
              <w:t>11、频响曲线：20Hz-20kHz(+-0.5dB)/Line,20Hz-20kHz(+-1.5dB)/Mic</w:t>
            </w:r>
            <w:r>
              <w:rPr>
                <w:rFonts w:hint="eastAsia" w:ascii="宋体" w:hAnsi="宋体" w:cs="宋体"/>
                <w:bCs/>
                <w:sz w:val="20"/>
                <w:szCs w:val="20"/>
              </w:rPr>
              <w:br w:type="textWrapping"/>
            </w:r>
            <w:r>
              <w:rPr>
                <w:rFonts w:hint="eastAsia" w:ascii="宋体" w:hAnsi="宋体" w:cs="宋体"/>
                <w:bCs/>
                <w:sz w:val="20"/>
                <w:szCs w:val="20"/>
              </w:rPr>
              <w:t>12、THD+N：-90dB(@12dBu,1kHz,A-wt)/Line-86dB(@-7dBu,1kHz,A-wt)/Mic</w:t>
            </w:r>
            <w:r>
              <w:rPr>
                <w:rFonts w:hint="eastAsia" w:ascii="宋体" w:hAnsi="宋体" w:cs="宋体"/>
                <w:bCs/>
                <w:sz w:val="20"/>
                <w:szCs w:val="20"/>
              </w:rPr>
              <w:br w:type="textWrapping"/>
            </w:r>
            <w:r>
              <w:rPr>
                <w:rFonts w:hint="eastAsia" w:ascii="宋体" w:hAnsi="宋体" w:cs="宋体"/>
                <w:bCs/>
                <w:sz w:val="20"/>
                <w:szCs w:val="20"/>
              </w:rPr>
              <w:t>13、信噪比：105dB(@12dBu,1kHz,A-wt)/Line95dB(@-7dBu,1kHz,A-wt)/Mic</w:t>
            </w:r>
            <w:r>
              <w:rPr>
                <w:rFonts w:hint="eastAsia" w:ascii="宋体" w:hAnsi="宋体" w:cs="宋体"/>
                <w:bCs/>
                <w:sz w:val="20"/>
                <w:szCs w:val="20"/>
              </w:rPr>
              <w:br w:type="textWrapping"/>
            </w:r>
            <w:r>
              <w:rPr>
                <w:rFonts w:hint="eastAsia" w:ascii="宋体" w:hAnsi="宋体" w:cs="宋体"/>
                <w:bCs/>
                <w:sz w:val="20"/>
                <w:szCs w:val="20"/>
              </w:rPr>
              <w:t xml:space="preserve">14、USB连接：Micro-B type, 免驱；                      </w:t>
            </w:r>
            <w:r>
              <w:rPr>
                <w:rFonts w:hint="eastAsia" w:ascii="宋体" w:hAnsi="宋体" w:cs="宋体"/>
                <w:bCs/>
                <w:sz w:val="20"/>
                <w:szCs w:val="20"/>
              </w:rPr>
              <w:br w:type="textWrapping"/>
            </w:r>
            <w:r>
              <w:rPr>
                <w:rFonts w:hint="eastAsia" w:ascii="宋体" w:hAnsi="宋体" w:cs="宋体"/>
                <w:bCs/>
                <w:sz w:val="20"/>
                <w:szCs w:val="20"/>
              </w:rPr>
              <w:t>15、RS232连接：Serial port communication串口通信；</w:t>
            </w:r>
            <w:r>
              <w:rPr>
                <w:rFonts w:hint="eastAsia" w:ascii="宋体" w:hAnsi="宋体" w:cs="宋体"/>
                <w:bCs/>
                <w:sz w:val="20"/>
                <w:szCs w:val="20"/>
              </w:rPr>
              <w:br w:type="textWrapping"/>
            </w:r>
            <w:r>
              <w:rPr>
                <w:rFonts w:hint="eastAsia" w:ascii="宋体" w:hAnsi="宋体" w:cs="宋体"/>
                <w:bCs/>
                <w:sz w:val="20"/>
                <w:szCs w:val="20"/>
              </w:rPr>
              <w:t>16、TCP/IP网口连接：RJ-45；</w:t>
            </w:r>
            <w:r>
              <w:rPr>
                <w:rFonts w:hint="eastAsia" w:ascii="宋体" w:hAnsi="宋体" w:cs="宋体"/>
                <w:bCs/>
                <w:sz w:val="20"/>
                <w:szCs w:val="20"/>
              </w:rPr>
              <w:br w:type="textWrapping"/>
            </w:r>
            <w:r>
              <w:rPr>
                <w:rFonts w:hint="eastAsia" w:ascii="宋体" w:hAnsi="宋体" w:cs="宋体"/>
                <w:bCs/>
                <w:sz w:val="20"/>
                <w:szCs w:val="20"/>
              </w:rPr>
              <w:t>17、指示灯显示：Power, Link, +48V,输入输出音频信号；</w:t>
            </w:r>
            <w:r>
              <w:rPr>
                <w:rFonts w:hint="eastAsia" w:ascii="宋体" w:hAnsi="宋体" w:cs="宋体"/>
                <w:bCs/>
                <w:sz w:val="20"/>
                <w:szCs w:val="20"/>
              </w:rPr>
              <w:br w:type="textWrapping"/>
            </w:r>
            <w:r>
              <w:rPr>
                <w:rFonts w:hint="eastAsia" w:ascii="宋体" w:hAnsi="宋体" w:cs="宋体"/>
                <w:bCs/>
                <w:sz w:val="20"/>
                <w:szCs w:val="20"/>
              </w:rPr>
              <w:t>18、供电范围：AC100V---240V  50/60 Hz；</w:t>
            </w:r>
            <w:r>
              <w:rPr>
                <w:rFonts w:hint="eastAsia" w:ascii="宋体" w:hAnsi="宋体" w:cs="宋体"/>
                <w:bCs/>
                <w:sz w:val="20"/>
                <w:szCs w:val="20"/>
              </w:rPr>
              <w:br w:type="textWrapping"/>
            </w:r>
            <w:r>
              <w:rPr>
                <w:rFonts w:hint="eastAsia" w:ascii="宋体" w:hAnsi="宋体" w:cs="宋体"/>
                <w:bCs/>
                <w:sz w:val="20"/>
                <w:szCs w:val="20"/>
              </w:rPr>
              <w:t xml:space="preserve">19、工作温度：-20℃--80℃ ；                  </w:t>
            </w:r>
            <w:r>
              <w:rPr>
                <w:rFonts w:hint="eastAsia" w:ascii="宋体" w:hAnsi="宋体" w:cs="宋体"/>
                <w:bCs/>
                <w:sz w:val="20"/>
                <w:szCs w:val="20"/>
              </w:rPr>
              <w:br w:type="textWrapping"/>
            </w:r>
            <w:r>
              <w:rPr>
                <w:rFonts w:hint="eastAsia" w:ascii="宋体" w:hAnsi="宋体" w:cs="宋体"/>
                <w:bCs/>
                <w:sz w:val="20"/>
                <w:szCs w:val="20"/>
              </w:rPr>
              <w:t>20、机身尺寸：（L×W×H）483*210*44mm；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多功能音频处理器控制软件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主.配合数字音频处理器使用；</w:t>
            </w:r>
            <w:r>
              <w:rPr>
                <w:rFonts w:hint="eastAsia" w:ascii="宋体" w:hAnsi="宋体" w:cs="宋体"/>
                <w:bCs/>
                <w:sz w:val="20"/>
                <w:szCs w:val="20"/>
              </w:rPr>
              <w:br w:type="textWrapping"/>
            </w:r>
            <w:r>
              <w:rPr>
                <w:rFonts w:hint="eastAsia" w:ascii="宋体" w:hAnsi="宋体" w:cs="宋体"/>
                <w:bCs/>
                <w:sz w:val="20"/>
                <w:szCs w:val="20"/>
              </w:rPr>
              <w:t>2.扩展器功能：可设置阈值、比率、启动时间等参数；</w:t>
            </w:r>
            <w:r>
              <w:rPr>
                <w:rFonts w:hint="eastAsia" w:ascii="宋体" w:hAnsi="宋体" w:cs="宋体"/>
                <w:bCs/>
                <w:sz w:val="20"/>
                <w:szCs w:val="20"/>
              </w:rPr>
              <w:br w:type="textWrapping"/>
            </w:r>
            <w:r>
              <w:rPr>
                <w:rFonts w:hint="eastAsia" w:ascii="宋体" w:hAnsi="宋体" w:cs="宋体"/>
                <w:bCs/>
                <w:sz w:val="20"/>
                <w:szCs w:val="20"/>
              </w:rPr>
              <w:t>3.均衡器功能：可设置频率、增益、带宽、直通等参数；</w:t>
            </w:r>
            <w:r>
              <w:rPr>
                <w:rFonts w:hint="eastAsia" w:ascii="宋体" w:hAnsi="宋体" w:cs="宋体"/>
                <w:bCs/>
                <w:sz w:val="20"/>
                <w:szCs w:val="20"/>
              </w:rPr>
              <w:br w:type="textWrapping"/>
            </w:r>
            <w:r>
              <w:rPr>
                <w:rFonts w:hint="eastAsia" w:ascii="宋体" w:hAnsi="宋体" w:cs="宋体"/>
                <w:bCs/>
                <w:sz w:val="20"/>
                <w:szCs w:val="20"/>
              </w:rPr>
              <w:t>4.闪避器功能：可设置阈值、深度、启动时间等参数；</w:t>
            </w:r>
            <w:r>
              <w:rPr>
                <w:rFonts w:hint="eastAsia" w:ascii="宋体" w:hAnsi="宋体" w:cs="宋体"/>
                <w:bCs/>
                <w:sz w:val="20"/>
                <w:szCs w:val="20"/>
              </w:rPr>
              <w:br w:type="textWrapping"/>
            </w:r>
            <w:r>
              <w:rPr>
                <w:rFonts w:hint="eastAsia" w:ascii="宋体" w:hAnsi="宋体" w:cs="宋体"/>
                <w:bCs/>
                <w:sz w:val="20"/>
                <w:szCs w:val="20"/>
              </w:rPr>
              <w:t>5.软件要求简洁、易控。</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纯后级</w:t>
            </w:r>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1000W*2, 4Ω 1500W*2；</w:t>
            </w:r>
            <w:r>
              <w:rPr>
                <w:rFonts w:hint="eastAsia" w:ascii="宋体" w:hAnsi="宋体" w:cs="宋体"/>
                <w:bCs/>
                <w:sz w:val="20"/>
                <w:szCs w:val="20"/>
              </w:rPr>
              <w:br w:type="textWrapping"/>
            </w:r>
            <w:r>
              <w:rPr>
                <w:rFonts w:hint="eastAsia" w:ascii="宋体" w:hAnsi="宋体" w:cs="宋体"/>
                <w:bCs/>
                <w:sz w:val="20"/>
                <w:szCs w:val="20"/>
              </w:rPr>
              <w:t>2、桥接功率:8Ω  2000W；</w:t>
            </w:r>
            <w:r>
              <w:rPr>
                <w:rFonts w:hint="eastAsia" w:ascii="宋体" w:hAnsi="宋体" w:cs="宋体"/>
                <w:bCs/>
                <w:sz w:val="20"/>
                <w:szCs w:val="20"/>
              </w:rPr>
              <w:br w:type="textWrapping"/>
            </w:r>
            <w:r>
              <w:rPr>
                <w:rFonts w:hint="eastAsia" w:ascii="宋体" w:hAnsi="宋体" w:cs="宋体"/>
                <w:bCs/>
                <w:sz w:val="20"/>
                <w:szCs w:val="20"/>
              </w:rPr>
              <w:t>3、总谐波失真（1KHz）:0.02%；</w:t>
            </w:r>
            <w:r>
              <w:rPr>
                <w:rFonts w:hint="eastAsia" w:ascii="宋体" w:hAnsi="宋体" w:cs="宋体"/>
                <w:bCs/>
                <w:sz w:val="20"/>
                <w:szCs w:val="20"/>
              </w:rPr>
              <w:br w:type="textWrapping"/>
            </w:r>
            <w:r>
              <w:rPr>
                <w:rFonts w:hint="eastAsia" w:ascii="宋体" w:hAnsi="宋体" w:cs="宋体"/>
                <w:bCs/>
                <w:sz w:val="20"/>
                <w:szCs w:val="20"/>
              </w:rPr>
              <w:t>4、信噪比（A计权）：100dB；</w:t>
            </w:r>
            <w:r>
              <w:rPr>
                <w:rFonts w:hint="eastAsia" w:ascii="宋体" w:hAnsi="宋体" w:cs="宋体"/>
                <w:bCs/>
                <w:sz w:val="20"/>
                <w:szCs w:val="20"/>
              </w:rPr>
              <w:br w:type="textWrapping"/>
            </w:r>
            <w:r>
              <w:rPr>
                <w:rFonts w:hint="eastAsia" w:ascii="宋体" w:hAnsi="宋体" w:cs="宋体"/>
                <w:bCs/>
                <w:sz w:val="20"/>
                <w:szCs w:val="20"/>
              </w:rPr>
              <w:t xml:space="preserve">5、转换速率：80V/us；                                                                       </w:t>
            </w:r>
            <w:r>
              <w:rPr>
                <w:rFonts w:hint="eastAsia" w:ascii="宋体" w:hAnsi="宋体" w:cs="宋体"/>
                <w:bCs/>
                <w:sz w:val="20"/>
                <w:szCs w:val="20"/>
              </w:rPr>
              <w:br w:type="textWrapping"/>
            </w:r>
            <w:r>
              <w:rPr>
                <w:rFonts w:hint="eastAsia" w:ascii="宋体" w:hAnsi="宋体" w:cs="宋体"/>
                <w:bCs/>
                <w:sz w:val="20"/>
                <w:szCs w:val="20"/>
              </w:rPr>
              <w:t>6、阻尼系数：550：1；</w:t>
            </w:r>
            <w:r>
              <w:rPr>
                <w:rFonts w:hint="eastAsia" w:ascii="宋体" w:hAnsi="宋体" w:cs="宋体"/>
                <w:bCs/>
                <w:sz w:val="20"/>
                <w:szCs w:val="20"/>
              </w:rPr>
              <w:br w:type="textWrapping"/>
            </w:r>
            <w:r>
              <w:rPr>
                <w:rFonts w:hint="eastAsia" w:ascii="宋体" w:hAnsi="宋体" w:cs="宋体"/>
                <w:bCs/>
                <w:sz w:val="20"/>
                <w:szCs w:val="20"/>
              </w:rPr>
              <w:t>7、频率响应：20Hz-20KHz(±2dB)；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12、电源消耗功率：3000W；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两通道         数字功放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 xml:space="preserve">1、体声功率：8Ω 1800W*2,  4Ω 3000W*2,  </w:t>
            </w:r>
            <w:r>
              <w:rPr>
                <w:rFonts w:hint="eastAsia" w:ascii="宋体" w:hAnsi="宋体" w:cs="宋体"/>
                <w:bCs/>
                <w:sz w:val="20"/>
                <w:szCs w:val="20"/>
              </w:rPr>
              <w:br w:type="textWrapping"/>
            </w:r>
            <w:r>
              <w:rPr>
                <w:rFonts w:hint="eastAsia" w:ascii="宋体" w:hAnsi="宋体" w:cs="宋体"/>
                <w:bCs/>
                <w:sz w:val="20"/>
                <w:szCs w:val="20"/>
              </w:rPr>
              <w:t>2、8Ω桥接功率:5500W，</w:t>
            </w:r>
            <w:r>
              <w:rPr>
                <w:rFonts w:hint="eastAsia" w:ascii="宋体" w:hAnsi="宋体" w:cs="宋体"/>
                <w:bCs/>
                <w:sz w:val="20"/>
                <w:szCs w:val="20"/>
              </w:rPr>
              <w:br w:type="textWrapping"/>
            </w:r>
            <w:r>
              <w:rPr>
                <w:rFonts w:hint="eastAsia" w:ascii="宋体" w:hAnsi="宋体" w:cs="宋体"/>
                <w:bCs/>
                <w:sz w:val="20"/>
                <w:szCs w:val="20"/>
              </w:rPr>
              <w:t>3、总谐波失真（1KHz）:‹0.05% ,</w:t>
            </w:r>
            <w:r>
              <w:rPr>
                <w:rFonts w:hint="eastAsia" w:ascii="宋体" w:hAnsi="宋体" w:cs="宋体"/>
                <w:bCs/>
                <w:sz w:val="20"/>
                <w:szCs w:val="20"/>
              </w:rPr>
              <w:br w:type="textWrapping"/>
            </w:r>
            <w:r>
              <w:rPr>
                <w:rFonts w:hint="eastAsia" w:ascii="宋体" w:hAnsi="宋体" w:cs="宋体"/>
                <w:bCs/>
                <w:sz w:val="20"/>
                <w:szCs w:val="20"/>
              </w:rPr>
              <w:t>4、信噪比（A计权）：&gt;106dB,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6、阻尼系数：（400Hz-1KHz）&gt;600，</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w:t>
            </w:r>
            <w:r>
              <w:rPr>
                <w:rFonts w:hint="eastAsia" w:ascii="宋体" w:hAnsi="宋体" w:cs="宋体"/>
                <w:bCs/>
                <w:sz w:val="20"/>
                <w:szCs w:val="20"/>
              </w:rPr>
              <w:br w:type="textWrapping"/>
            </w:r>
            <w:r>
              <w:rPr>
                <w:rFonts w:hint="eastAsia" w:ascii="宋体" w:hAnsi="宋体" w:cs="宋体"/>
                <w:bCs/>
                <w:sz w:val="20"/>
                <w:szCs w:val="20"/>
              </w:rPr>
              <w:t>9、输入阻抗：20K ohm,</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主动式功率因数校正技术（PFC），可在全电压（90-264V）范围内稳定工作，具有两种不同工作模式，STEREEO\BRIDGE，特别是BRIDGE模式，更好的提高了功放的输出功率，各通道独立自有的信号指示灯和独立音量调节旋钮，可供客户自由选择和控制；</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bookmarkStart w:id="38" w:name="OLE_LINK3"/>
            <w:r>
              <w:rPr>
                <w:rFonts w:hint="eastAsia" w:ascii="宋体" w:hAnsi="宋体" w:cs="宋体"/>
                <w:bCs/>
                <w:sz w:val="20"/>
                <w:szCs w:val="20"/>
              </w:rPr>
              <w:t>纯后级</w:t>
            </w:r>
            <w:bookmarkEnd w:id="38"/>
            <w:r>
              <w:rPr>
                <w:rFonts w:hint="eastAsia" w:ascii="宋体" w:hAnsi="宋体" w:cs="宋体"/>
                <w:bCs/>
                <w:sz w:val="20"/>
                <w:szCs w:val="20"/>
              </w:rPr>
              <w:br w:type="textWrapping"/>
            </w:r>
            <w:r>
              <w:rPr>
                <w:rFonts w:hint="eastAsia" w:ascii="宋体" w:hAnsi="宋体" w:cs="宋体"/>
                <w:bCs/>
                <w:sz w:val="20"/>
                <w:szCs w:val="20"/>
              </w:rPr>
              <w:t>功放</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1、立体声功率：8Ω 450W*2, 4Ω 675W*2；</w:t>
            </w:r>
            <w:r>
              <w:rPr>
                <w:rFonts w:hint="eastAsia" w:ascii="宋体" w:hAnsi="宋体" w:cs="宋体"/>
                <w:bCs/>
                <w:sz w:val="20"/>
                <w:szCs w:val="20"/>
              </w:rPr>
              <w:br w:type="textWrapping"/>
            </w:r>
            <w:r>
              <w:rPr>
                <w:rFonts w:hint="eastAsia" w:ascii="宋体" w:hAnsi="宋体" w:cs="宋体"/>
                <w:bCs/>
                <w:sz w:val="20"/>
                <w:szCs w:val="20"/>
              </w:rPr>
              <w:t>2、桥接功率:8Ω 900W；</w:t>
            </w:r>
            <w:r>
              <w:rPr>
                <w:rFonts w:hint="eastAsia" w:ascii="宋体" w:hAnsi="宋体" w:cs="宋体"/>
                <w:bCs/>
                <w:sz w:val="20"/>
                <w:szCs w:val="20"/>
              </w:rPr>
              <w:br w:type="textWrapping"/>
            </w:r>
            <w:r>
              <w:rPr>
                <w:rFonts w:hint="eastAsia" w:ascii="宋体" w:hAnsi="宋体" w:cs="宋体"/>
                <w:bCs/>
                <w:sz w:val="20"/>
                <w:szCs w:val="20"/>
              </w:rPr>
              <w:t>3、总谐波失真（1KHz）:0.06%；</w:t>
            </w:r>
            <w:r>
              <w:rPr>
                <w:rFonts w:hint="eastAsia" w:ascii="宋体" w:hAnsi="宋体" w:cs="宋体"/>
                <w:bCs/>
                <w:sz w:val="20"/>
                <w:szCs w:val="20"/>
              </w:rPr>
              <w:br w:type="textWrapping"/>
            </w:r>
            <w:r>
              <w:rPr>
                <w:rFonts w:hint="eastAsia" w:ascii="宋体" w:hAnsi="宋体" w:cs="宋体"/>
                <w:bCs/>
                <w:sz w:val="20"/>
                <w:szCs w:val="20"/>
              </w:rPr>
              <w:t>4、信噪比（A计权）：102dB；</w:t>
            </w:r>
            <w:r>
              <w:rPr>
                <w:rFonts w:hint="eastAsia" w:ascii="宋体" w:hAnsi="宋体" w:cs="宋体"/>
                <w:bCs/>
                <w:sz w:val="20"/>
                <w:szCs w:val="20"/>
              </w:rPr>
              <w:br w:type="textWrapping"/>
            </w:r>
            <w:r>
              <w:rPr>
                <w:rFonts w:hint="eastAsia" w:ascii="宋体" w:hAnsi="宋体" w:cs="宋体"/>
                <w:bCs/>
                <w:sz w:val="20"/>
                <w:szCs w:val="20"/>
              </w:rPr>
              <w:t>5、转换速率：60V/us；</w:t>
            </w:r>
            <w:r>
              <w:rPr>
                <w:rFonts w:hint="eastAsia" w:ascii="宋体" w:hAnsi="宋体" w:cs="宋体"/>
                <w:bCs/>
                <w:sz w:val="20"/>
                <w:szCs w:val="20"/>
              </w:rPr>
              <w:br w:type="textWrapping"/>
            </w:r>
            <w:r>
              <w:rPr>
                <w:rFonts w:hint="eastAsia" w:ascii="宋体" w:hAnsi="宋体" w:cs="宋体"/>
                <w:bCs/>
                <w:sz w:val="20"/>
                <w:szCs w:val="20"/>
              </w:rPr>
              <w:t>6、阻尼系数：450:1；</w:t>
            </w:r>
            <w:r>
              <w:rPr>
                <w:rFonts w:hint="eastAsia" w:ascii="宋体" w:hAnsi="宋体" w:cs="宋体"/>
                <w:bCs/>
                <w:sz w:val="20"/>
                <w:szCs w:val="20"/>
              </w:rPr>
              <w:br w:type="textWrapping"/>
            </w:r>
            <w:r>
              <w:rPr>
                <w:rFonts w:hint="eastAsia" w:ascii="宋体" w:hAnsi="宋体" w:cs="宋体"/>
                <w:bCs/>
                <w:sz w:val="20"/>
                <w:szCs w:val="20"/>
              </w:rPr>
              <w:t>7、频率响应：20Hz-20KHz(±0.5dB)；</w:t>
            </w:r>
            <w:r>
              <w:rPr>
                <w:rFonts w:hint="eastAsia" w:ascii="宋体" w:hAnsi="宋体" w:cs="宋体"/>
                <w:bCs/>
                <w:sz w:val="20"/>
                <w:szCs w:val="20"/>
              </w:rPr>
              <w:br w:type="textWrapping"/>
            </w:r>
            <w:r>
              <w:rPr>
                <w:rFonts w:hint="eastAsia" w:ascii="宋体" w:hAnsi="宋体" w:cs="宋体"/>
                <w:bCs/>
                <w:sz w:val="20"/>
                <w:szCs w:val="20"/>
              </w:rPr>
              <w:t>8、输入灵敏度：0.775V/1V/1.44V；</w:t>
            </w:r>
            <w:r>
              <w:rPr>
                <w:rFonts w:hint="eastAsia" w:ascii="宋体" w:hAnsi="宋体" w:cs="宋体"/>
                <w:bCs/>
                <w:sz w:val="20"/>
                <w:szCs w:val="20"/>
              </w:rPr>
              <w:br w:type="textWrapping"/>
            </w:r>
            <w:r>
              <w:rPr>
                <w:rFonts w:hint="eastAsia" w:ascii="宋体" w:hAnsi="宋体" w:cs="宋体"/>
                <w:bCs/>
                <w:sz w:val="20"/>
                <w:szCs w:val="20"/>
              </w:rPr>
              <w:t>9、输入阻抗：10K ohms(非平衡）-20K ohms（平衡）；</w:t>
            </w:r>
            <w:r>
              <w:rPr>
                <w:rFonts w:hint="eastAsia" w:ascii="宋体" w:hAnsi="宋体" w:cs="宋体"/>
                <w:bCs/>
                <w:sz w:val="20"/>
                <w:szCs w:val="20"/>
              </w:rPr>
              <w:br w:type="textWrapping"/>
            </w:r>
            <w:r>
              <w:rPr>
                <w:rFonts w:hint="eastAsia" w:ascii="宋体" w:hAnsi="宋体" w:cs="宋体"/>
                <w:bCs/>
                <w:sz w:val="20"/>
                <w:szCs w:val="20"/>
              </w:rPr>
              <w:t>10、面板指示灯:Signal,active,clip/limiting；</w:t>
            </w:r>
            <w:r>
              <w:rPr>
                <w:rFonts w:hint="eastAsia" w:ascii="宋体" w:hAnsi="宋体" w:cs="宋体"/>
                <w:bCs/>
                <w:sz w:val="20"/>
                <w:szCs w:val="20"/>
              </w:rPr>
              <w:br w:type="textWrapping"/>
            </w:r>
            <w:r>
              <w:rPr>
                <w:rFonts w:hint="eastAsia" w:ascii="宋体" w:hAnsi="宋体" w:cs="宋体"/>
                <w:bCs/>
                <w:sz w:val="20"/>
                <w:szCs w:val="20"/>
              </w:rPr>
              <w:t>11、电源：220V,50/60Hz；</w:t>
            </w:r>
            <w:r>
              <w:rPr>
                <w:rFonts w:hint="eastAsia" w:ascii="宋体" w:hAnsi="宋体" w:cs="宋体"/>
                <w:bCs/>
                <w:sz w:val="20"/>
                <w:szCs w:val="20"/>
              </w:rPr>
              <w:br w:type="textWrapping"/>
            </w:r>
            <w:r>
              <w:rPr>
                <w:rFonts w:hint="eastAsia" w:ascii="宋体" w:hAnsi="宋体" w:cs="宋体"/>
                <w:bCs/>
                <w:sz w:val="20"/>
                <w:szCs w:val="20"/>
              </w:rPr>
              <w:t>12、电源消耗功率：1100W；</w:t>
            </w:r>
            <w:r>
              <w:rPr>
                <w:rFonts w:hint="eastAsia" w:ascii="宋体" w:hAnsi="宋体" w:cs="宋体"/>
                <w:bCs/>
                <w:sz w:val="20"/>
                <w:szCs w:val="20"/>
              </w:rPr>
              <w:br w:type="textWrapping"/>
            </w:r>
            <w:r>
              <w:rPr>
                <w:rFonts w:hint="eastAsia" w:ascii="宋体" w:hAnsi="宋体" w:cs="宋体"/>
                <w:bCs/>
                <w:sz w:val="20"/>
                <w:szCs w:val="20"/>
              </w:rPr>
              <w:t xml:space="preserve">▲13、时尚的LCD液晶数字显示屏，可实时显示当前工作状态，可实时显示L\R音量、温度、灵敏度输入电压数值。 （需提供面板截图，否则视为不满足项，提供复印件加盖公章）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5100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▲1、额定功率：400W；</w:t>
            </w:r>
            <w:r>
              <w:rPr>
                <w:rFonts w:hint="eastAsia" w:ascii="宋体" w:hAnsi="宋体" w:cs="宋体"/>
                <w:bCs/>
                <w:sz w:val="20"/>
                <w:szCs w:val="20"/>
              </w:rPr>
              <w:br w:type="textWrapping"/>
            </w:r>
            <w:r>
              <w:rPr>
                <w:rFonts w:hint="eastAsia" w:ascii="宋体" w:hAnsi="宋体" w:cs="宋体"/>
                <w:bCs/>
                <w:sz w:val="20"/>
                <w:szCs w:val="20"/>
              </w:rPr>
              <w:t>2、频响范围：55Hz-20KHz；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4、灵敏度：98dB；</w:t>
            </w:r>
            <w:r>
              <w:rPr>
                <w:rFonts w:hint="eastAsia" w:ascii="宋体" w:hAnsi="宋体" w:cs="宋体"/>
                <w:bCs/>
                <w:sz w:val="20"/>
                <w:szCs w:val="20"/>
              </w:rPr>
              <w:br w:type="textWrapping"/>
            </w:r>
            <w:r>
              <w:rPr>
                <w:rFonts w:hint="eastAsia" w:ascii="宋体" w:hAnsi="宋体" w:cs="宋体"/>
                <w:bCs/>
                <w:sz w:val="20"/>
                <w:szCs w:val="20"/>
              </w:rPr>
              <w:t>5、最大声压级：124dB；</w:t>
            </w:r>
            <w:r>
              <w:rPr>
                <w:rFonts w:hint="eastAsia" w:ascii="宋体" w:hAnsi="宋体" w:cs="宋体"/>
                <w:bCs/>
                <w:sz w:val="20"/>
                <w:szCs w:val="20"/>
              </w:rPr>
              <w:br w:type="textWrapping"/>
            </w:r>
            <w:r>
              <w:rPr>
                <w:rFonts w:hint="eastAsia" w:ascii="宋体" w:hAnsi="宋体" w:cs="宋体"/>
                <w:bCs/>
                <w:sz w:val="20"/>
                <w:szCs w:val="20"/>
              </w:rPr>
              <w:t>6、覆盖角：80°×50°（H×V），分频点：2.5KHz；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rPr>
                <w:rFonts w:ascii="宋体" w:hAnsi="宋体" w:cs="宋体"/>
                <w:bCs/>
                <w:sz w:val="20"/>
                <w:szCs w:val="20"/>
              </w:rPr>
            </w:pPr>
            <w:r>
              <w:rPr>
                <w:rFonts w:hint="eastAsia" w:ascii="宋体" w:hAnsi="宋体" w:cs="宋体"/>
                <w:bCs/>
                <w:sz w:val="20"/>
                <w:szCs w:val="20"/>
              </w:rPr>
              <w:t>1x15″低音单元,75芯音圈， 8Ω， 170磁； 1x44mm高音单元,44芯音圈，1″口径，8Ω；</w:t>
            </w:r>
            <w:r>
              <w:rPr>
                <w:rFonts w:hint="eastAsia" w:ascii="宋体" w:hAnsi="宋体" w:cs="宋体"/>
                <w:bCs/>
                <w:sz w:val="20"/>
                <w:szCs w:val="20"/>
              </w:rPr>
              <w:br w:type="textWrapping"/>
            </w:r>
            <w:r>
              <w:rPr>
                <w:rFonts w:hint="eastAsia" w:ascii="宋体" w:hAnsi="宋体" w:cs="宋体"/>
                <w:bCs/>
                <w:sz w:val="20"/>
                <w:szCs w:val="20"/>
              </w:rPr>
              <w:t>8、号角材质：玻璃钢；</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11、音箱铁网：板材厚2.0mm，多孔钢网内衬防尘棉；</w:t>
            </w:r>
            <w:r>
              <w:rPr>
                <w:rFonts w:hint="eastAsia" w:ascii="宋体" w:hAnsi="宋体" w:cs="宋体"/>
                <w:bCs/>
                <w:sz w:val="20"/>
                <w:szCs w:val="20"/>
              </w:rPr>
              <w:br w:type="textWrapping"/>
            </w:r>
            <w:r>
              <w:rPr>
                <w:rFonts w:hint="eastAsia" w:ascii="宋体" w:hAnsi="宋体" w:cs="宋体"/>
                <w:bCs/>
                <w:sz w:val="20"/>
                <w:szCs w:val="20"/>
              </w:rPr>
              <w:t>12、连接器：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低音炮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1、额定功率：800W；</w:t>
            </w:r>
            <w:r>
              <w:rPr>
                <w:rFonts w:hint="eastAsia" w:ascii="宋体" w:hAnsi="宋体" w:cs="宋体"/>
                <w:bCs/>
                <w:sz w:val="20"/>
                <w:szCs w:val="20"/>
              </w:rPr>
              <w:br w:type="textWrapping"/>
            </w:r>
            <w:r>
              <w:rPr>
                <w:rFonts w:hint="eastAsia" w:ascii="宋体" w:hAnsi="宋体" w:cs="宋体"/>
                <w:bCs/>
                <w:sz w:val="20"/>
                <w:szCs w:val="20"/>
              </w:rPr>
              <w:t>2、最大输入功率：1600W；</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4、频率响应：45Hz-500Hz；</w:t>
            </w:r>
            <w:r>
              <w:rPr>
                <w:rFonts w:hint="eastAsia" w:ascii="宋体" w:hAnsi="宋体" w:cs="宋体"/>
                <w:bCs/>
                <w:sz w:val="20"/>
                <w:szCs w:val="20"/>
              </w:rPr>
              <w:br w:type="textWrapping"/>
            </w:r>
            <w:r>
              <w:rPr>
                <w:rFonts w:hint="eastAsia" w:ascii="宋体" w:hAnsi="宋体" w:cs="宋体"/>
                <w:bCs/>
                <w:sz w:val="20"/>
                <w:szCs w:val="20"/>
              </w:rPr>
              <w:t>5、系统类型:单18寸超低音箱；</w:t>
            </w:r>
            <w:r>
              <w:rPr>
                <w:rFonts w:hint="eastAsia" w:ascii="宋体" w:hAnsi="宋体" w:cs="宋体"/>
                <w:bCs/>
                <w:sz w:val="20"/>
                <w:szCs w:val="20"/>
              </w:rPr>
              <w:br w:type="textWrapping"/>
            </w:r>
            <w:r>
              <w:rPr>
                <w:rFonts w:hint="eastAsia" w:ascii="宋体" w:hAnsi="宋体" w:cs="宋体"/>
                <w:bCs/>
                <w:sz w:val="20"/>
                <w:szCs w:val="20"/>
              </w:rPr>
              <w:t>6、单元：18寸低音×1；</w:t>
            </w:r>
            <w:r>
              <w:rPr>
                <w:rFonts w:hint="eastAsia" w:ascii="宋体" w:hAnsi="宋体" w:cs="宋体"/>
                <w:bCs/>
                <w:sz w:val="20"/>
                <w:szCs w:val="20"/>
              </w:rPr>
              <w:br w:type="textWrapping"/>
            </w:r>
            <w:r>
              <w:rPr>
                <w:rFonts w:hint="eastAsia" w:ascii="宋体" w:hAnsi="宋体" w:cs="宋体"/>
                <w:bCs/>
                <w:sz w:val="20"/>
                <w:szCs w:val="20"/>
              </w:rPr>
              <w:t>7、最大声压级：131dB；</w:t>
            </w:r>
            <w:r>
              <w:rPr>
                <w:rFonts w:hint="eastAsia" w:ascii="宋体" w:hAnsi="宋体" w:cs="宋体"/>
                <w:bCs/>
                <w:sz w:val="20"/>
                <w:szCs w:val="20"/>
              </w:rPr>
              <w:br w:type="textWrapping"/>
            </w:r>
            <w:r>
              <w:rPr>
                <w:rFonts w:hint="eastAsia" w:ascii="宋体" w:hAnsi="宋体" w:cs="宋体"/>
                <w:bCs/>
                <w:sz w:val="20"/>
                <w:szCs w:val="20"/>
              </w:rPr>
              <w:t>8、灵敏度（1W/1m）：99dB /W(lm)；</w:t>
            </w:r>
            <w:r>
              <w:rPr>
                <w:rFonts w:hint="eastAsia" w:ascii="宋体" w:hAnsi="宋体" w:cs="宋体"/>
                <w:bCs/>
                <w:sz w:val="20"/>
                <w:szCs w:val="20"/>
              </w:rPr>
              <w:br w:type="textWrapping"/>
            </w:r>
            <w:r>
              <w:rPr>
                <w:rFonts w:hint="eastAsia" w:ascii="宋体" w:hAnsi="宋体" w:cs="宋体"/>
                <w:bCs/>
                <w:sz w:val="20"/>
                <w:szCs w:val="20"/>
              </w:rPr>
              <w:t>9、连接器： SPEAKON NL4×2 PIN1+/2+POS.  PIN1-/2-NEG（正负4芯安全插头）；</w:t>
            </w:r>
            <w:r>
              <w:rPr>
                <w:rFonts w:hint="eastAsia" w:ascii="宋体" w:hAnsi="宋体" w:cs="宋体"/>
                <w:bCs/>
                <w:sz w:val="20"/>
                <w:szCs w:val="20"/>
              </w:rPr>
              <w:br w:type="textWrapping"/>
            </w:r>
            <w:r>
              <w:rPr>
                <w:rFonts w:hint="eastAsia" w:ascii="宋体" w:hAnsi="宋体" w:cs="宋体"/>
                <w:bCs/>
                <w:sz w:val="20"/>
                <w:szCs w:val="20"/>
              </w:rPr>
              <w:t>10、材质及表面处理：18mm中纤板，黑大点漆；</w:t>
            </w:r>
            <w:r>
              <w:rPr>
                <w:rFonts w:hint="eastAsia" w:ascii="宋体" w:hAnsi="宋体" w:cs="宋体"/>
                <w:bCs/>
                <w:sz w:val="20"/>
                <w:szCs w:val="20"/>
              </w:rPr>
              <w:br w:type="textWrapping"/>
            </w:r>
            <w:r>
              <w:rPr>
                <w:rFonts w:hint="eastAsia" w:ascii="宋体" w:hAnsi="宋体" w:cs="宋体"/>
                <w:bCs/>
                <w:sz w:val="20"/>
                <w:szCs w:val="20"/>
              </w:rPr>
              <w:t>11、颜色：黑色；</w:t>
            </w:r>
            <w:r>
              <w:rPr>
                <w:rFonts w:hint="eastAsia" w:ascii="宋体" w:hAnsi="宋体" w:cs="宋体"/>
                <w:bCs/>
                <w:sz w:val="20"/>
                <w:szCs w:val="20"/>
              </w:rPr>
              <w:br w:type="textWrapping"/>
            </w:r>
            <w:r>
              <w:rPr>
                <w:rFonts w:hint="eastAsia" w:ascii="宋体" w:hAnsi="宋体" w:cs="宋体"/>
                <w:bCs/>
                <w:sz w:val="20"/>
                <w:szCs w:val="20"/>
              </w:rPr>
              <w:t>12、箱体尺寸（只）：560×690×695mm（W×H×D）；</w:t>
            </w:r>
            <w:r>
              <w:rPr>
                <w:rFonts w:hint="eastAsia" w:ascii="宋体" w:hAnsi="宋体" w:cs="宋体"/>
                <w:bCs/>
                <w:sz w:val="20"/>
                <w:szCs w:val="20"/>
              </w:rPr>
              <w:br w:type="textWrapping"/>
            </w:r>
            <w:r>
              <w:rPr>
                <w:rFonts w:hint="eastAsia" w:ascii="宋体" w:hAnsi="宋体" w:cs="宋体"/>
                <w:bCs/>
                <w:sz w:val="20"/>
                <w:szCs w:val="20"/>
              </w:rPr>
              <w:t>14、包装尺寸：630×775×670mm（W×H×D）；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单12寸专业舞台返听音箱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 xml:space="preserve">1、额定功率：250W； </w:t>
            </w:r>
            <w:r>
              <w:rPr>
                <w:rFonts w:hint="eastAsia" w:ascii="宋体" w:hAnsi="宋体" w:cs="宋体"/>
                <w:bCs/>
                <w:sz w:val="20"/>
                <w:szCs w:val="20"/>
              </w:rPr>
              <w:br w:type="textWrapping"/>
            </w:r>
            <w:r>
              <w:rPr>
                <w:rFonts w:hint="eastAsia" w:ascii="宋体" w:hAnsi="宋体" w:cs="宋体"/>
                <w:bCs/>
                <w:sz w:val="20"/>
                <w:szCs w:val="20"/>
              </w:rPr>
              <w:t>2、阻抗：8Ω；</w:t>
            </w:r>
            <w:r>
              <w:rPr>
                <w:rFonts w:hint="eastAsia" w:ascii="宋体" w:hAnsi="宋体" w:cs="宋体"/>
                <w:bCs/>
                <w:sz w:val="20"/>
                <w:szCs w:val="20"/>
              </w:rPr>
              <w:br w:type="textWrapping"/>
            </w:r>
            <w:r>
              <w:rPr>
                <w:rFonts w:hint="eastAsia" w:ascii="宋体" w:hAnsi="宋体" w:cs="宋体"/>
                <w:bCs/>
                <w:sz w:val="20"/>
                <w:szCs w:val="20"/>
              </w:rPr>
              <w:t>3、灵敏度:102dB(1W/1m)；</w:t>
            </w:r>
            <w:r>
              <w:rPr>
                <w:rFonts w:hint="eastAsia" w:ascii="宋体" w:hAnsi="宋体" w:cs="宋体"/>
                <w:bCs/>
                <w:sz w:val="20"/>
                <w:szCs w:val="20"/>
              </w:rPr>
              <w:br w:type="textWrapping"/>
            </w:r>
            <w:r>
              <w:rPr>
                <w:rFonts w:hint="eastAsia" w:ascii="宋体" w:hAnsi="宋体" w:cs="宋体"/>
                <w:bCs/>
                <w:sz w:val="20"/>
                <w:szCs w:val="20"/>
              </w:rPr>
              <w:t>4、频响范围：45Hz-19KHz；</w:t>
            </w:r>
            <w:r>
              <w:rPr>
                <w:rFonts w:hint="eastAsia" w:ascii="宋体" w:hAnsi="宋体" w:cs="宋体"/>
                <w:bCs/>
                <w:sz w:val="20"/>
                <w:szCs w:val="20"/>
              </w:rPr>
              <w:br w:type="textWrapping"/>
            </w:r>
            <w:r>
              <w:rPr>
                <w:rFonts w:hint="eastAsia" w:ascii="宋体" w:hAnsi="宋体" w:cs="宋体"/>
                <w:bCs/>
                <w:sz w:val="20"/>
                <w:szCs w:val="20"/>
              </w:rPr>
              <w:t xml:space="preserve">5、扬声器：12x1 低音，34mmx1 高音；  </w:t>
            </w:r>
            <w:r>
              <w:rPr>
                <w:rFonts w:hint="eastAsia" w:ascii="宋体" w:hAnsi="宋体" w:cs="宋体"/>
                <w:bCs/>
                <w:sz w:val="20"/>
                <w:szCs w:val="20"/>
              </w:rPr>
              <w:br w:type="textWrapping"/>
            </w:r>
            <w:r>
              <w:rPr>
                <w:rFonts w:hint="eastAsia" w:ascii="宋体" w:hAnsi="宋体" w:cs="宋体"/>
                <w:bCs/>
                <w:sz w:val="20"/>
                <w:szCs w:val="20"/>
              </w:rPr>
              <w:t>6、最大声压级：125dB；</w:t>
            </w:r>
            <w:r>
              <w:rPr>
                <w:rFonts w:hint="eastAsia" w:ascii="宋体" w:hAnsi="宋体" w:cs="宋体"/>
                <w:bCs/>
                <w:sz w:val="20"/>
                <w:szCs w:val="20"/>
              </w:rPr>
              <w:br w:type="textWrapping"/>
            </w:r>
            <w:r>
              <w:rPr>
                <w:rFonts w:hint="eastAsia" w:ascii="宋体" w:hAnsi="宋体" w:cs="宋体"/>
                <w:bCs/>
                <w:sz w:val="20"/>
                <w:szCs w:val="20"/>
              </w:rPr>
              <w:t>7、扩散角度：80°× 80°；</w:t>
            </w:r>
            <w:r>
              <w:rPr>
                <w:rFonts w:hint="eastAsia" w:ascii="宋体" w:hAnsi="宋体" w:cs="宋体"/>
                <w:bCs/>
                <w:sz w:val="20"/>
                <w:szCs w:val="20"/>
              </w:rPr>
              <w:br w:type="textWrapping"/>
            </w:r>
            <w:r>
              <w:rPr>
                <w:rFonts w:hint="eastAsia" w:ascii="宋体" w:hAnsi="宋体" w:cs="宋体"/>
                <w:bCs/>
                <w:sz w:val="20"/>
                <w:szCs w:val="20"/>
              </w:rPr>
              <w:t>8、产品尺寸：560×375×600mm（W×H×D)；</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音箱</w:t>
            </w:r>
          </w:p>
        </w:tc>
        <w:tc>
          <w:tcPr>
            <w:tcW w:w="2230" w:type="pct"/>
            <w:vAlign w:val="center"/>
          </w:tcPr>
          <w:p>
            <w:pPr>
              <w:spacing w:line="400" w:lineRule="exact"/>
              <w:jc w:val="left"/>
              <w:rPr>
                <w:rFonts w:ascii="宋体" w:hAnsi="宋体" w:cs="宋体"/>
                <w:bCs/>
                <w:sz w:val="20"/>
                <w:szCs w:val="20"/>
              </w:rPr>
            </w:pPr>
            <w:r>
              <w:rPr>
                <w:rFonts w:hint="eastAsia" w:ascii="宋体" w:hAnsi="宋体" w:cs="宋体"/>
                <w:bCs/>
                <w:sz w:val="20"/>
                <w:szCs w:val="20"/>
              </w:rPr>
              <w:t>▲1、额定功率：200W；</w:t>
            </w:r>
            <w:r>
              <w:rPr>
                <w:rFonts w:hint="eastAsia" w:ascii="宋体" w:hAnsi="宋体" w:cs="宋体"/>
                <w:bCs/>
                <w:sz w:val="20"/>
                <w:szCs w:val="20"/>
              </w:rPr>
              <w:br w:type="textWrapping"/>
            </w:r>
            <w:r>
              <w:rPr>
                <w:rFonts w:hint="eastAsia" w:ascii="宋体" w:hAnsi="宋体" w:cs="宋体"/>
                <w:bCs/>
                <w:sz w:val="20"/>
                <w:szCs w:val="20"/>
              </w:rPr>
              <w:t>2、频响范围：65Hz-20KHz；</w:t>
            </w:r>
            <w:r>
              <w:rPr>
                <w:rFonts w:hint="eastAsia" w:ascii="宋体" w:hAnsi="宋体" w:cs="宋体"/>
                <w:bCs/>
                <w:sz w:val="20"/>
                <w:szCs w:val="20"/>
              </w:rPr>
              <w:br w:type="textWrapping"/>
            </w:r>
            <w:r>
              <w:rPr>
                <w:rFonts w:hint="eastAsia" w:ascii="宋体" w:hAnsi="宋体" w:cs="宋体"/>
                <w:bCs/>
                <w:sz w:val="20"/>
                <w:szCs w:val="20"/>
              </w:rPr>
              <w:t>3、阻抗：8（Ω）；</w:t>
            </w:r>
            <w:r>
              <w:rPr>
                <w:rFonts w:hint="eastAsia" w:ascii="宋体" w:hAnsi="宋体" w:cs="宋体"/>
                <w:bCs/>
                <w:sz w:val="20"/>
                <w:szCs w:val="20"/>
              </w:rPr>
              <w:br w:type="textWrapping"/>
            </w:r>
            <w:r>
              <w:rPr>
                <w:rFonts w:hint="eastAsia" w:ascii="宋体" w:hAnsi="宋体" w:cs="宋体"/>
                <w:bCs/>
                <w:sz w:val="20"/>
                <w:szCs w:val="20"/>
              </w:rPr>
              <w:t>4、灵敏度：96dB；</w:t>
            </w:r>
            <w:r>
              <w:rPr>
                <w:rFonts w:hint="eastAsia" w:ascii="宋体" w:hAnsi="宋体" w:cs="宋体"/>
                <w:bCs/>
                <w:sz w:val="20"/>
                <w:szCs w:val="20"/>
              </w:rPr>
              <w:br w:type="textWrapping"/>
            </w:r>
            <w:r>
              <w:rPr>
                <w:rFonts w:hint="eastAsia" w:ascii="宋体" w:hAnsi="宋体" w:cs="宋体"/>
                <w:bCs/>
                <w:sz w:val="20"/>
                <w:szCs w:val="20"/>
              </w:rPr>
              <w:t>5、最大声压级：119dB；</w:t>
            </w:r>
            <w:r>
              <w:rPr>
                <w:rFonts w:hint="eastAsia" w:ascii="宋体" w:hAnsi="宋体" w:cs="宋体"/>
                <w:bCs/>
                <w:sz w:val="20"/>
                <w:szCs w:val="20"/>
              </w:rPr>
              <w:br w:type="textWrapping"/>
            </w:r>
            <w:r>
              <w:rPr>
                <w:rFonts w:hint="eastAsia" w:ascii="宋体" w:hAnsi="宋体" w:cs="宋体"/>
                <w:bCs/>
                <w:sz w:val="20"/>
                <w:szCs w:val="20"/>
              </w:rPr>
              <w:t>6、覆盖角：80°×60°（H×V），分频点：2.5KHz；</w:t>
            </w:r>
            <w:r>
              <w:rPr>
                <w:rFonts w:hint="eastAsia" w:ascii="宋体" w:hAnsi="宋体" w:cs="宋体"/>
                <w:bCs/>
                <w:sz w:val="20"/>
                <w:szCs w:val="20"/>
              </w:rPr>
              <w:br w:type="textWrapping"/>
            </w:r>
            <w:r>
              <w:rPr>
                <w:rFonts w:hint="eastAsia" w:ascii="宋体" w:hAnsi="宋体" w:cs="宋体"/>
                <w:bCs/>
                <w:sz w:val="20"/>
                <w:szCs w:val="20"/>
              </w:rPr>
              <w:t>7、单元配置：</w:t>
            </w:r>
          </w:p>
          <w:p>
            <w:pPr>
              <w:spacing w:line="400" w:lineRule="exact"/>
              <w:jc w:val="left"/>
              <w:rPr>
                <w:rFonts w:ascii="宋体" w:hAnsi="宋体" w:cs="宋体"/>
                <w:bCs/>
                <w:sz w:val="20"/>
                <w:szCs w:val="20"/>
              </w:rPr>
            </w:pPr>
            <w:r>
              <w:rPr>
                <w:rFonts w:hint="eastAsia" w:ascii="宋体" w:hAnsi="宋体" w:cs="宋体"/>
                <w:bCs/>
                <w:sz w:val="20"/>
                <w:szCs w:val="20"/>
              </w:rPr>
              <w:t>1x10″低音单元   65芯音圈，8Ω，156磁；</w:t>
            </w:r>
          </w:p>
          <w:p>
            <w:pPr>
              <w:spacing w:line="400" w:lineRule="exact"/>
              <w:jc w:val="left"/>
              <w:rPr>
                <w:rFonts w:ascii="宋体" w:hAnsi="宋体" w:cs="宋体"/>
                <w:bCs/>
                <w:sz w:val="20"/>
                <w:szCs w:val="20"/>
              </w:rPr>
            </w:pPr>
            <w:r>
              <w:rPr>
                <w:rFonts w:hint="eastAsia" w:ascii="宋体" w:hAnsi="宋体" w:cs="宋体"/>
                <w:bCs/>
                <w:sz w:val="20"/>
                <w:szCs w:val="20"/>
              </w:rPr>
              <w:t>1x34mm高音单元  34芯音圈，1″口径，8Ω；</w:t>
            </w:r>
            <w:r>
              <w:rPr>
                <w:rFonts w:hint="eastAsia" w:ascii="宋体" w:hAnsi="宋体" w:cs="宋体"/>
                <w:bCs/>
                <w:sz w:val="20"/>
                <w:szCs w:val="20"/>
              </w:rPr>
              <w:br w:type="textWrapping"/>
            </w:r>
            <w:r>
              <w:rPr>
                <w:rFonts w:hint="eastAsia" w:ascii="宋体" w:hAnsi="宋体" w:cs="宋体"/>
                <w:bCs/>
                <w:sz w:val="20"/>
                <w:szCs w:val="20"/>
              </w:rPr>
              <w:t>8、号角材质：ABS，号角可调；</w:t>
            </w:r>
            <w:r>
              <w:rPr>
                <w:rFonts w:hint="eastAsia" w:ascii="宋体" w:hAnsi="宋体" w:cs="宋体"/>
                <w:bCs/>
                <w:sz w:val="20"/>
                <w:szCs w:val="20"/>
              </w:rPr>
              <w:br w:type="textWrapping"/>
            </w:r>
            <w:r>
              <w:rPr>
                <w:rFonts w:hint="eastAsia" w:ascii="宋体" w:hAnsi="宋体" w:cs="宋体"/>
                <w:bCs/>
                <w:sz w:val="20"/>
                <w:szCs w:val="20"/>
              </w:rPr>
              <w:t>9、音箱材质：15mm高密多层桦木板；</w:t>
            </w:r>
            <w:r>
              <w:rPr>
                <w:rFonts w:hint="eastAsia" w:ascii="宋体" w:hAnsi="宋体" w:cs="宋体"/>
                <w:bCs/>
                <w:sz w:val="20"/>
                <w:szCs w:val="20"/>
              </w:rPr>
              <w:br w:type="textWrapping"/>
            </w:r>
            <w:r>
              <w:rPr>
                <w:rFonts w:hint="eastAsia" w:ascii="宋体" w:hAnsi="宋体" w:cs="宋体"/>
                <w:bCs/>
                <w:sz w:val="20"/>
                <w:szCs w:val="20"/>
              </w:rPr>
              <w:t>10、表面处理：水性环保砂粒黑色漆 ；</w:t>
            </w:r>
            <w:r>
              <w:rPr>
                <w:rFonts w:hint="eastAsia" w:ascii="宋体" w:hAnsi="宋体" w:cs="宋体"/>
                <w:bCs/>
                <w:sz w:val="20"/>
                <w:szCs w:val="20"/>
              </w:rPr>
              <w:br w:type="textWrapping"/>
            </w:r>
            <w:r>
              <w:rPr>
                <w:rFonts w:hint="eastAsia" w:ascii="宋体" w:hAnsi="宋体" w:cs="宋体"/>
                <w:bCs/>
                <w:sz w:val="20"/>
                <w:szCs w:val="20"/>
              </w:rPr>
              <w:t>11、音箱铁网：板材厚1.5mm，多孔钢网内衬防尘棉；</w:t>
            </w:r>
            <w:r>
              <w:rPr>
                <w:rFonts w:hint="eastAsia" w:ascii="宋体" w:hAnsi="宋体" w:cs="宋体"/>
                <w:bCs/>
                <w:sz w:val="20"/>
                <w:szCs w:val="20"/>
              </w:rPr>
              <w:br w:type="textWrapping"/>
            </w:r>
            <w:r>
              <w:rPr>
                <w:rFonts w:hint="eastAsia" w:ascii="宋体" w:hAnsi="宋体" w:cs="宋体"/>
                <w:bCs/>
                <w:sz w:val="20"/>
                <w:szCs w:val="20"/>
              </w:rPr>
              <w:t xml:space="preserve">12、连接器： SPEAKON NL4×2 PIN1+/2+POS.  PIN1-/2-NEG（正负4芯安全插头）； </w:t>
            </w:r>
            <w:r>
              <w:rPr>
                <w:rFonts w:hint="eastAsia" w:ascii="宋体" w:hAnsi="宋体" w:cs="宋体"/>
                <w:bCs/>
                <w:sz w:val="20"/>
                <w:szCs w:val="20"/>
              </w:rPr>
              <w:br w:type="textWrapping"/>
            </w:r>
            <w:r>
              <w:rPr>
                <w:rFonts w:hint="eastAsia" w:ascii="宋体" w:hAnsi="宋体" w:cs="宋体"/>
                <w:bCs/>
                <w:sz w:val="20"/>
                <w:szCs w:val="20"/>
              </w:rPr>
              <w:t>13、吊挂方式：底部支撑孔，顶部吊挂、双侧面钢丝绳吊点；</w:t>
            </w:r>
            <w:r>
              <w:rPr>
                <w:rFonts w:hint="eastAsia" w:ascii="宋体" w:hAnsi="宋体" w:cs="宋体"/>
                <w:bCs/>
                <w:sz w:val="20"/>
                <w:szCs w:val="20"/>
              </w:rPr>
              <w:br w:type="textWrapping"/>
            </w:r>
            <w:r>
              <w:rPr>
                <w:rFonts w:hint="eastAsia" w:ascii="宋体" w:hAnsi="宋体" w:cs="宋体"/>
                <w:bCs/>
                <w:sz w:val="20"/>
                <w:szCs w:val="20"/>
              </w:rPr>
              <w:t>14、吊挂硬件：14xM8吊点、底托、M8×35㎜吊环螺栓、万向壁架（1015A）；</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8路电源时序器(带触摸屏)</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▲1、配备3.5寸彩色TFT-LCD可触控显示屏，可实时显示当前电压，日期时间，信道开关状态；（提供设备面板截图</w:t>
            </w:r>
            <w:r>
              <w:rPr>
                <w:rFonts w:hint="eastAsia" w:ascii="宋体" w:hAnsi="宋体" w:cs="宋体"/>
                <w:bCs/>
                <w:sz w:val="20"/>
                <w:szCs w:val="20"/>
                <w:lang w:val="en-US" w:eastAsia="zh-CN"/>
              </w:rPr>
              <w:t>或功能截图</w:t>
            </w:r>
            <w:r>
              <w:rPr>
                <w:rFonts w:hint="eastAsia" w:ascii="宋体" w:hAnsi="宋体" w:cs="宋体"/>
                <w:bCs/>
                <w:sz w:val="20"/>
                <w:szCs w:val="20"/>
              </w:rPr>
              <w:t>，加盖</w:t>
            </w:r>
            <w:r>
              <w:rPr>
                <w:rFonts w:hint="eastAsia" w:ascii="宋体" w:hAnsi="宋体" w:cs="宋体"/>
                <w:bCs/>
                <w:sz w:val="20"/>
                <w:szCs w:val="20"/>
                <w:lang w:val="en-US" w:eastAsia="zh-CN"/>
              </w:rPr>
              <w:t>供应商公章或</w:t>
            </w:r>
            <w:r>
              <w:rPr>
                <w:rFonts w:hint="eastAsia" w:ascii="宋体" w:hAnsi="宋体" w:cs="宋体"/>
                <w:bCs/>
                <w:sz w:val="20"/>
                <w:szCs w:val="20"/>
              </w:rPr>
              <w:t>厂家公章）</w:t>
            </w:r>
            <w:r>
              <w:rPr>
                <w:rFonts w:hint="eastAsia" w:ascii="宋体" w:hAnsi="宋体" w:cs="宋体"/>
                <w:bCs/>
                <w:sz w:val="20"/>
                <w:szCs w:val="20"/>
              </w:rPr>
              <w:br w:type="textWrapping"/>
            </w:r>
            <w:r>
              <w:rPr>
                <w:rFonts w:hint="eastAsia" w:ascii="宋体" w:hAnsi="宋体" w:cs="宋体"/>
                <w:bCs/>
                <w:sz w:val="20"/>
                <w:szCs w:val="20"/>
              </w:rPr>
              <w:t>▲2、8路开关通道输出，每路延时开启和关闭时间可自由设置（范围0~999秒）；</w:t>
            </w:r>
            <w:r>
              <w:rPr>
                <w:rFonts w:hint="eastAsia" w:ascii="宋体" w:hAnsi="宋体" w:cs="宋体"/>
                <w:bCs/>
                <w:sz w:val="20"/>
                <w:szCs w:val="20"/>
              </w:rPr>
              <w:br w:type="textWrapping"/>
            </w:r>
            <w:r>
              <w:rPr>
                <w:rFonts w:hint="eastAsia" w:ascii="宋体" w:hAnsi="宋体" w:cs="宋体"/>
                <w:bCs/>
                <w:sz w:val="20"/>
                <w:szCs w:val="20"/>
              </w:rPr>
              <w:t>3、每通道可以独立设置开启/关闭，方便设备灵活使用；</w:t>
            </w:r>
            <w:r>
              <w:rPr>
                <w:rFonts w:hint="eastAsia" w:ascii="宋体" w:hAnsi="宋体" w:cs="宋体"/>
                <w:bCs/>
                <w:sz w:val="20"/>
                <w:szCs w:val="20"/>
              </w:rPr>
              <w:br w:type="textWrapping"/>
            </w:r>
            <w:r>
              <w:rPr>
                <w:rFonts w:hint="eastAsia" w:ascii="宋体" w:hAnsi="宋体" w:cs="宋体"/>
                <w:bCs/>
                <w:sz w:val="20"/>
                <w:szCs w:val="20"/>
              </w:rPr>
              <w:t>4、每通道独立滤波器消除电磁干扰，为每路提供稳定的电流；</w:t>
            </w:r>
            <w:r>
              <w:rPr>
                <w:rFonts w:hint="eastAsia" w:ascii="宋体" w:hAnsi="宋体" w:cs="宋体"/>
                <w:bCs/>
                <w:sz w:val="20"/>
                <w:szCs w:val="20"/>
              </w:rPr>
              <w:br w:type="textWrapping"/>
            </w:r>
            <w:r>
              <w:rPr>
                <w:rFonts w:hint="eastAsia" w:ascii="宋体" w:hAnsi="宋体" w:cs="宋体"/>
                <w:bCs/>
                <w:sz w:val="20"/>
                <w:szCs w:val="20"/>
              </w:rPr>
              <w:t>▲5、内置时钟芯片，可根据日期时间定时设置自动开启/关闭每一通道；（提供软件界面</w:t>
            </w:r>
            <w:r>
              <w:rPr>
                <w:rFonts w:hint="eastAsia" w:ascii="宋体" w:hAnsi="宋体" w:cs="宋体"/>
                <w:bCs/>
                <w:sz w:val="20"/>
                <w:szCs w:val="20"/>
                <w:lang w:val="en-US" w:eastAsia="zh-CN"/>
              </w:rPr>
              <w:t>截图或功能</w:t>
            </w:r>
            <w:r>
              <w:rPr>
                <w:rFonts w:hint="eastAsia" w:ascii="宋体" w:hAnsi="宋体" w:cs="宋体"/>
                <w:bCs/>
                <w:sz w:val="20"/>
                <w:szCs w:val="20"/>
              </w:rPr>
              <w:t>截图，加盖</w:t>
            </w:r>
            <w:r>
              <w:rPr>
                <w:rFonts w:hint="eastAsia" w:ascii="宋体" w:hAnsi="宋体" w:cs="宋体"/>
                <w:bCs/>
                <w:sz w:val="20"/>
                <w:szCs w:val="20"/>
                <w:lang w:val="en-US" w:eastAsia="zh-CN"/>
              </w:rPr>
              <w:t>供应商公章或</w:t>
            </w:r>
            <w:r>
              <w:rPr>
                <w:rFonts w:hint="eastAsia" w:ascii="宋体" w:hAnsi="宋体" w:cs="宋体"/>
                <w:bCs/>
                <w:sz w:val="20"/>
                <w:szCs w:val="20"/>
              </w:rPr>
              <w:t>厂家公章）</w:t>
            </w:r>
            <w:r>
              <w:rPr>
                <w:rFonts w:hint="eastAsia" w:ascii="宋体" w:hAnsi="宋体" w:cs="宋体"/>
                <w:bCs/>
                <w:sz w:val="20"/>
                <w:szCs w:val="20"/>
              </w:rPr>
              <w:br w:type="textWrapping"/>
            </w:r>
            <w:r>
              <w:rPr>
                <w:rFonts w:hint="eastAsia" w:ascii="宋体" w:hAnsi="宋体" w:cs="宋体"/>
                <w:bCs/>
                <w:sz w:val="20"/>
                <w:szCs w:val="20"/>
              </w:rPr>
              <w:t>▲6、欠压、过压保护，可自定义设置保护值；</w:t>
            </w:r>
            <w:r>
              <w:rPr>
                <w:rFonts w:hint="eastAsia" w:ascii="宋体" w:hAnsi="宋体" w:cs="宋体"/>
                <w:bCs/>
                <w:sz w:val="20"/>
                <w:szCs w:val="20"/>
              </w:rPr>
              <w:br w:type="textWrapping"/>
            </w:r>
            <w:r>
              <w:rPr>
                <w:rFonts w:hint="eastAsia" w:ascii="宋体" w:hAnsi="宋体" w:cs="宋体"/>
                <w:bCs/>
                <w:sz w:val="20"/>
                <w:szCs w:val="20"/>
              </w:rPr>
              <w:t>▲7、配置RS232和RS485接口，支持级联、中央设备控制；</w:t>
            </w:r>
            <w:r>
              <w:rPr>
                <w:rFonts w:hint="eastAsia" w:ascii="宋体" w:hAnsi="宋体" w:cs="宋体"/>
                <w:bCs/>
                <w:sz w:val="20"/>
                <w:szCs w:val="20"/>
              </w:rPr>
              <w:br w:type="textWrapping"/>
            </w:r>
            <w:r>
              <w:rPr>
                <w:rFonts w:hint="eastAsia" w:ascii="宋体" w:hAnsi="宋体" w:cs="宋体"/>
                <w:bCs/>
                <w:sz w:val="20"/>
                <w:szCs w:val="20"/>
              </w:rPr>
              <w:t xml:space="preserve">8、额定输出总电流：40A，单路输出电流：20A。                                                                                       </w:t>
            </w:r>
            <w:r>
              <w:rPr>
                <w:rFonts w:hint="eastAsia" w:ascii="宋体" w:hAnsi="宋体" w:cs="宋体"/>
                <w:bCs/>
                <w:sz w:val="20"/>
                <w:szCs w:val="20"/>
              </w:rPr>
              <w:br w:type="textWrapping"/>
            </w:r>
            <w:r>
              <w:rPr>
                <w:rFonts w:hint="eastAsia" w:ascii="宋体" w:hAnsi="宋体" w:cs="宋体"/>
                <w:bCs/>
                <w:sz w:val="20"/>
                <w:szCs w:val="20"/>
              </w:rPr>
              <w:t>9、输入电源：AC 100~240V 50~60Hz；</w:t>
            </w:r>
            <w:r>
              <w:rPr>
                <w:rFonts w:hint="eastAsia" w:ascii="宋体" w:hAnsi="宋体" w:cs="宋体"/>
                <w:bCs/>
                <w:sz w:val="20"/>
                <w:szCs w:val="20"/>
              </w:rPr>
              <w:br w:type="textWrapping"/>
            </w:r>
            <w:r>
              <w:rPr>
                <w:rFonts w:hint="eastAsia" w:ascii="宋体" w:hAnsi="宋体" w:cs="宋体"/>
                <w:bCs/>
                <w:sz w:val="20"/>
                <w:szCs w:val="20"/>
              </w:rPr>
              <w:t>10、单路额定输出电流：20A；</w:t>
            </w:r>
            <w:r>
              <w:rPr>
                <w:rFonts w:hint="eastAsia" w:ascii="宋体" w:hAnsi="宋体" w:cs="宋体"/>
                <w:bCs/>
                <w:sz w:val="20"/>
                <w:szCs w:val="20"/>
              </w:rPr>
              <w:br w:type="textWrapping"/>
            </w:r>
            <w:r>
              <w:rPr>
                <w:rFonts w:hint="eastAsia" w:ascii="宋体" w:hAnsi="宋体" w:cs="宋体"/>
                <w:bCs/>
                <w:sz w:val="20"/>
                <w:szCs w:val="20"/>
              </w:rPr>
              <w:t>11、额定输出总电流：40A；</w:t>
            </w:r>
            <w:r>
              <w:rPr>
                <w:rFonts w:hint="eastAsia" w:ascii="宋体" w:hAnsi="宋体" w:cs="宋体"/>
                <w:bCs/>
                <w:sz w:val="20"/>
                <w:szCs w:val="20"/>
              </w:rPr>
              <w:br w:type="textWrapping"/>
            </w:r>
            <w:r>
              <w:rPr>
                <w:rFonts w:hint="eastAsia" w:ascii="宋体" w:hAnsi="宋体" w:cs="宋体"/>
                <w:bCs/>
                <w:sz w:val="20"/>
                <w:szCs w:val="20"/>
              </w:rPr>
              <w:t>12、时序控制每步时间音隔：0.1~999s；</w:t>
            </w:r>
            <w:r>
              <w:rPr>
                <w:rFonts w:hint="eastAsia" w:ascii="宋体" w:hAnsi="宋体" w:cs="宋体"/>
                <w:bCs/>
                <w:sz w:val="20"/>
                <w:szCs w:val="20"/>
              </w:rPr>
              <w:br w:type="textWrapping"/>
            </w:r>
            <w:r>
              <w:rPr>
                <w:rFonts w:hint="eastAsia" w:ascii="宋体" w:hAnsi="宋体" w:cs="宋体"/>
                <w:bCs/>
                <w:sz w:val="20"/>
                <w:szCs w:val="20"/>
              </w:rPr>
              <w:t>13、USB界面：DC 5V/500mA；</w:t>
            </w:r>
            <w:r>
              <w:rPr>
                <w:rFonts w:hint="eastAsia" w:ascii="宋体" w:hAnsi="宋体" w:cs="宋体"/>
                <w:bCs/>
                <w:sz w:val="20"/>
                <w:szCs w:val="20"/>
              </w:rPr>
              <w:br w:type="textWrapping"/>
            </w:r>
            <w:r>
              <w:rPr>
                <w:rFonts w:hint="eastAsia" w:ascii="宋体" w:hAnsi="宋体" w:cs="宋体"/>
                <w:bCs/>
                <w:sz w:val="20"/>
                <w:szCs w:val="20"/>
              </w:rPr>
              <w:t>14、电源输出接口：8路智慧控制,1路直通输出；</w:t>
            </w:r>
            <w:r>
              <w:rPr>
                <w:rFonts w:hint="eastAsia" w:ascii="宋体" w:hAnsi="宋体" w:cs="宋体"/>
                <w:bCs/>
                <w:sz w:val="20"/>
                <w:szCs w:val="20"/>
              </w:rPr>
              <w:br w:type="textWrapping"/>
            </w:r>
            <w:r>
              <w:rPr>
                <w:rFonts w:hint="eastAsia" w:ascii="宋体" w:hAnsi="宋体" w:cs="宋体"/>
                <w:bCs/>
                <w:sz w:val="20"/>
                <w:szCs w:val="20"/>
              </w:rPr>
              <w:t>15、供货时须提供符合以上第1、2、5、6、7点技术参数要求的相关证明材料【包括但不限于功能截图或彩页并加盖供应商公章】。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420"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三、舞台灯光设备</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1、一道顶光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 xml:space="preserve">200W LED </w:t>
            </w:r>
            <w:r>
              <w:rPr>
                <w:rFonts w:hint="eastAsia" w:ascii="宋体" w:hAnsi="宋体" w:cs="宋体"/>
                <w:bCs/>
                <w:sz w:val="20"/>
                <w:szCs w:val="20"/>
              </w:rPr>
              <w:br w:type="textWrapping"/>
            </w:r>
            <w:r>
              <w:rPr>
                <w:rFonts w:hint="eastAsia" w:ascii="宋体" w:hAnsi="宋体" w:cs="宋体"/>
                <w:bCs/>
                <w:sz w:val="20"/>
                <w:szCs w:val="20"/>
              </w:rPr>
              <w:t>二合一平板柔光灯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输入电压：AC100~240V，50/60Hz</w:t>
            </w:r>
            <w:r>
              <w:rPr>
                <w:rFonts w:hint="eastAsia" w:ascii="宋体" w:hAnsi="宋体" w:cs="宋体"/>
                <w:bCs/>
                <w:sz w:val="20"/>
                <w:szCs w:val="20"/>
              </w:rPr>
              <w:br w:type="textWrapping"/>
            </w:r>
            <w:r>
              <w:rPr>
                <w:rFonts w:hint="eastAsia" w:ascii="宋体" w:hAnsi="宋体" w:cs="宋体"/>
                <w:bCs/>
                <w:sz w:val="20"/>
                <w:szCs w:val="20"/>
              </w:rPr>
              <w:t>功率：200W</w:t>
            </w:r>
            <w:r>
              <w:rPr>
                <w:rFonts w:hint="eastAsia" w:ascii="宋体" w:hAnsi="宋体" w:cs="宋体"/>
                <w:bCs/>
                <w:sz w:val="20"/>
                <w:szCs w:val="20"/>
              </w:rPr>
              <w:br w:type="textWrapping"/>
            </w:r>
            <w:r>
              <w:rPr>
                <w:rFonts w:hint="eastAsia" w:ascii="宋体" w:hAnsi="宋体" w:cs="宋体"/>
                <w:bCs/>
                <w:sz w:val="20"/>
                <w:szCs w:val="20"/>
              </w:rPr>
              <w:t>光源：432颗0.5W高亮度LED贴片灯珠（暖白，纯白可选）</w:t>
            </w:r>
            <w:r>
              <w:rPr>
                <w:rFonts w:hint="eastAsia" w:ascii="宋体" w:hAnsi="宋体" w:cs="宋体"/>
                <w:bCs/>
                <w:sz w:val="20"/>
                <w:szCs w:val="20"/>
              </w:rPr>
              <w:br w:type="textWrapping"/>
            </w:r>
            <w:r>
              <w:rPr>
                <w:rFonts w:hint="eastAsia" w:ascii="宋体" w:hAnsi="宋体" w:cs="宋体"/>
                <w:bCs/>
                <w:sz w:val="20"/>
                <w:szCs w:val="20"/>
              </w:rPr>
              <w:t>LED寿命：50,000 小时</w:t>
            </w:r>
            <w:r>
              <w:rPr>
                <w:rFonts w:hint="eastAsia" w:ascii="宋体" w:hAnsi="宋体" w:cs="宋体"/>
                <w:bCs/>
                <w:sz w:val="20"/>
                <w:szCs w:val="20"/>
              </w:rPr>
              <w:br w:type="textWrapping"/>
            </w:r>
            <w:r>
              <w:rPr>
                <w:rFonts w:hint="eastAsia" w:ascii="宋体" w:hAnsi="宋体" w:cs="宋体"/>
                <w:bCs/>
                <w:sz w:val="20"/>
                <w:szCs w:val="20"/>
              </w:rPr>
              <w:t>色温：3200K-6500K可选</w:t>
            </w:r>
            <w:r>
              <w:rPr>
                <w:rFonts w:hint="eastAsia" w:ascii="宋体" w:hAnsi="宋体" w:cs="宋体"/>
                <w:bCs/>
                <w:sz w:val="20"/>
                <w:szCs w:val="20"/>
              </w:rPr>
              <w:br w:type="textWrapping"/>
            </w:r>
            <w:r>
              <w:rPr>
                <w:rFonts w:hint="eastAsia" w:ascii="宋体" w:hAnsi="宋体" w:cs="宋体"/>
                <w:bCs/>
                <w:sz w:val="20"/>
                <w:szCs w:val="20"/>
              </w:rPr>
              <w:t>显指：R&gt;90</w:t>
            </w:r>
            <w:r>
              <w:rPr>
                <w:rFonts w:hint="eastAsia" w:ascii="宋体" w:hAnsi="宋体" w:cs="宋体"/>
                <w:bCs/>
                <w:sz w:val="20"/>
                <w:szCs w:val="20"/>
              </w:rPr>
              <w:br w:type="textWrapping"/>
            </w:r>
            <w:r>
              <w:rPr>
                <w:rFonts w:hint="eastAsia" w:ascii="宋体" w:hAnsi="宋体" w:cs="宋体"/>
                <w:bCs/>
                <w:sz w:val="20"/>
                <w:szCs w:val="20"/>
              </w:rPr>
              <w:t>光束角度：60度</w:t>
            </w:r>
            <w:r>
              <w:rPr>
                <w:rFonts w:hint="eastAsia" w:ascii="宋体" w:hAnsi="宋体" w:cs="宋体"/>
                <w:bCs/>
                <w:sz w:val="20"/>
                <w:szCs w:val="20"/>
              </w:rPr>
              <w:br w:type="textWrapping"/>
            </w:r>
            <w:r>
              <w:rPr>
                <w:rFonts w:hint="eastAsia" w:ascii="宋体" w:hAnsi="宋体" w:cs="宋体"/>
                <w:bCs/>
                <w:sz w:val="20"/>
                <w:szCs w:val="20"/>
              </w:rPr>
              <w:t>效果：调光0~100%</w:t>
            </w:r>
            <w:r>
              <w:rPr>
                <w:rFonts w:hint="eastAsia" w:ascii="宋体" w:hAnsi="宋体" w:cs="宋体"/>
                <w:bCs/>
                <w:sz w:val="20"/>
                <w:szCs w:val="20"/>
              </w:rPr>
              <w:br w:type="textWrapping"/>
            </w:r>
            <w:r>
              <w:rPr>
                <w:rFonts w:hint="eastAsia" w:ascii="宋体" w:hAnsi="宋体" w:cs="宋体"/>
                <w:bCs/>
                <w:sz w:val="20"/>
                <w:szCs w:val="20"/>
              </w:rPr>
              <w:t>通道：2CH</w:t>
            </w:r>
            <w:r>
              <w:rPr>
                <w:rFonts w:hint="eastAsia" w:ascii="宋体" w:hAnsi="宋体" w:cs="宋体"/>
                <w:bCs/>
                <w:sz w:val="20"/>
                <w:szCs w:val="20"/>
              </w:rPr>
              <w:br w:type="textWrapping"/>
            </w:r>
            <w:r>
              <w:rPr>
                <w:rFonts w:hint="eastAsia" w:ascii="宋体" w:hAnsi="宋体" w:cs="宋体"/>
                <w:bCs/>
                <w:sz w:val="20"/>
                <w:szCs w:val="20"/>
              </w:rPr>
              <w:t>协议：DMX512</w:t>
            </w:r>
            <w:r>
              <w:rPr>
                <w:rFonts w:hint="eastAsia" w:ascii="宋体" w:hAnsi="宋体" w:cs="宋体"/>
                <w:bCs/>
                <w:sz w:val="20"/>
                <w:szCs w:val="20"/>
              </w:rPr>
              <w:br w:type="textWrapping"/>
            </w:r>
            <w:r>
              <w:rPr>
                <w:rFonts w:hint="eastAsia" w:ascii="宋体" w:hAnsi="宋体" w:cs="宋体"/>
                <w:bCs/>
                <w:sz w:val="20"/>
                <w:szCs w:val="20"/>
              </w:rPr>
              <w:t>控制模式：DMX512控制</w:t>
            </w:r>
            <w:r>
              <w:rPr>
                <w:rFonts w:hint="eastAsia" w:ascii="宋体" w:hAnsi="宋体" w:cs="宋体"/>
                <w:bCs/>
                <w:sz w:val="20"/>
                <w:szCs w:val="20"/>
              </w:rPr>
              <w:br w:type="textWrapping"/>
            </w:r>
            <w:r>
              <w:rPr>
                <w:rFonts w:hint="eastAsia" w:ascii="宋体" w:hAnsi="宋体" w:cs="宋体"/>
                <w:bCs/>
                <w:sz w:val="20"/>
                <w:szCs w:val="20"/>
              </w:rPr>
              <w:t xml:space="preserve">保护等级：IP20       </w:t>
            </w:r>
            <w:r>
              <w:rPr>
                <w:rFonts w:hint="eastAsia" w:ascii="宋体" w:hAnsi="宋体" w:cs="宋体"/>
                <w:bCs/>
                <w:sz w:val="20"/>
                <w:szCs w:val="20"/>
              </w:rPr>
              <w:br w:type="textWrapping"/>
            </w:r>
            <w:r>
              <w:rPr>
                <w:rFonts w:hint="eastAsia" w:ascii="宋体" w:hAnsi="宋体" w:cs="宋体"/>
                <w:bCs/>
                <w:sz w:val="20"/>
                <w:szCs w:val="20"/>
              </w:rPr>
              <w:t>外壳材料：铝合金</w:t>
            </w:r>
            <w:r>
              <w:rPr>
                <w:rFonts w:hint="eastAsia" w:ascii="宋体" w:hAnsi="宋体" w:cs="宋体"/>
                <w:bCs/>
                <w:sz w:val="20"/>
                <w:szCs w:val="20"/>
              </w:rPr>
              <w:br w:type="textWrapping"/>
            </w:r>
            <w:r>
              <w:rPr>
                <w:rFonts w:hint="eastAsia" w:ascii="宋体" w:hAnsi="宋体" w:cs="宋体"/>
                <w:bCs/>
                <w:sz w:val="20"/>
                <w:szCs w:val="20"/>
              </w:rPr>
              <w:t>全铸铝机箱散热，无风机</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2、面光</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200W调焦COB面光灯</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电压：AC 90V-240V电压：AC 90V-240V</w:t>
            </w:r>
            <w:r>
              <w:rPr>
                <w:rFonts w:hint="eastAsia" w:ascii="宋体" w:hAnsi="宋体" w:cs="宋体"/>
                <w:bCs/>
                <w:sz w:val="20"/>
                <w:szCs w:val="20"/>
              </w:rPr>
              <w:br w:type="textWrapping"/>
            </w:r>
            <w:r>
              <w:rPr>
                <w:rFonts w:hint="eastAsia" w:ascii="宋体" w:hAnsi="宋体" w:cs="宋体"/>
                <w:bCs/>
                <w:sz w:val="20"/>
                <w:szCs w:val="20"/>
              </w:rPr>
              <w:t>频率：50Hz-60Hz </w:t>
            </w:r>
            <w:r>
              <w:rPr>
                <w:rFonts w:hint="eastAsia" w:ascii="宋体" w:hAnsi="宋体" w:cs="宋体"/>
                <w:bCs/>
                <w:sz w:val="20"/>
                <w:szCs w:val="20"/>
              </w:rPr>
              <w:br w:type="textWrapping"/>
            </w:r>
            <w:r>
              <w:rPr>
                <w:rFonts w:hint="eastAsia" w:ascii="宋体" w:hAnsi="宋体" w:cs="宋体"/>
                <w:bCs/>
                <w:sz w:val="20"/>
                <w:szCs w:val="20"/>
              </w:rPr>
              <w:t>总功率：250W</w:t>
            </w:r>
            <w:r>
              <w:rPr>
                <w:rFonts w:hint="eastAsia" w:ascii="宋体" w:hAnsi="宋体" w:cs="宋体"/>
                <w:bCs/>
                <w:sz w:val="20"/>
                <w:szCs w:val="20"/>
              </w:rPr>
              <w:br w:type="textWrapping"/>
            </w:r>
            <w:r>
              <w:rPr>
                <w:rFonts w:hint="eastAsia" w:ascii="宋体" w:hAnsi="宋体" w:cs="宋体"/>
                <w:bCs/>
                <w:sz w:val="20"/>
                <w:szCs w:val="20"/>
              </w:rPr>
              <w:t>光源：200WLED灯珠</w:t>
            </w:r>
            <w:r>
              <w:rPr>
                <w:rFonts w:hint="eastAsia" w:ascii="宋体" w:hAnsi="宋体" w:cs="宋体"/>
                <w:bCs/>
                <w:sz w:val="20"/>
                <w:szCs w:val="20"/>
              </w:rPr>
              <w:br w:type="textWrapping"/>
            </w:r>
            <w:r>
              <w:rPr>
                <w:rFonts w:hint="eastAsia" w:ascii="宋体" w:hAnsi="宋体" w:cs="宋体"/>
                <w:bCs/>
                <w:sz w:val="20"/>
                <w:szCs w:val="20"/>
              </w:rPr>
              <w:t>色温：3200K-6500K</w:t>
            </w:r>
            <w:r>
              <w:rPr>
                <w:rFonts w:hint="eastAsia" w:ascii="宋体" w:hAnsi="宋体" w:cs="宋体"/>
                <w:bCs/>
                <w:sz w:val="20"/>
                <w:szCs w:val="20"/>
              </w:rPr>
              <w:br w:type="textWrapping"/>
            </w:r>
            <w:r>
              <w:rPr>
                <w:rFonts w:hint="eastAsia" w:ascii="宋体" w:hAnsi="宋体" w:cs="宋体"/>
                <w:bCs/>
                <w:sz w:val="20"/>
                <w:szCs w:val="20"/>
              </w:rPr>
              <w:t>光源寿命：50000-100000　小时</w:t>
            </w:r>
            <w:r>
              <w:rPr>
                <w:rFonts w:hint="eastAsia" w:ascii="宋体" w:hAnsi="宋体" w:cs="宋体"/>
                <w:bCs/>
                <w:sz w:val="20"/>
                <w:szCs w:val="20"/>
              </w:rPr>
              <w:br w:type="textWrapping"/>
            </w:r>
            <w:r>
              <w:rPr>
                <w:rFonts w:hint="eastAsia" w:ascii="宋体" w:hAnsi="宋体" w:cs="宋体"/>
                <w:bCs/>
                <w:sz w:val="20"/>
                <w:szCs w:val="20"/>
              </w:rPr>
              <w:t>电子调焦  变焦 放大 缩小功能</w:t>
            </w:r>
            <w:r>
              <w:rPr>
                <w:rFonts w:hint="eastAsia" w:ascii="宋体" w:hAnsi="宋体" w:cs="宋体"/>
                <w:bCs/>
                <w:sz w:val="20"/>
                <w:szCs w:val="20"/>
              </w:rPr>
              <w:br w:type="textWrapping"/>
            </w:r>
            <w:r>
              <w:rPr>
                <w:rFonts w:hint="eastAsia" w:ascii="宋体" w:hAnsi="宋体" w:cs="宋体"/>
                <w:bCs/>
                <w:sz w:val="20"/>
                <w:szCs w:val="20"/>
              </w:rPr>
              <w:t>频闪：1-10次/每秒</w:t>
            </w:r>
            <w:r>
              <w:rPr>
                <w:rFonts w:hint="eastAsia" w:ascii="宋体" w:hAnsi="宋体" w:cs="宋体"/>
                <w:bCs/>
                <w:sz w:val="20"/>
                <w:szCs w:val="20"/>
              </w:rPr>
              <w:br w:type="textWrapping"/>
            </w:r>
            <w:r>
              <w:rPr>
                <w:rFonts w:hint="eastAsia" w:ascii="宋体" w:hAnsi="宋体" w:cs="宋体"/>
                <w:bCs/>
                <w:sz w:val="20"/>
                <w:szCs w:val="20"/>
              </w:rPr>
              <w:t>透镜角度：60°</w:t>
            </w:r>
            <w:r>
              <w:rPr>
                <w:rFonts w:hint="eastAsia" w:ascii="宋体" w:hAnsi="宋体" w:cs="宋体"/>
                <w:bCs/>
                <w:sz w:val="20"/>
                <w:szCs w:val="20"/>
              </w:rPr>
              <w:br w:type="textWrapping"/>
            </w:r>
            <w:r>
              <w:rPr>
                <w:rFonts w:hint="eastAsia" w:ascii="宋体" w:hAnsi="宋体" w:cs="宋体"/>
                <w:bCs/>
                <w:sz w:val="20"/>
                <w:szCs w:val="20"/>
              </w:rPr>
              <w:t>控式模式：DMX512，自走、主从</w:t>
            </w:r>
            <w:r>
              <w:rPr>
                <w:rFonts w:hint="eastAsia" w:ascii="宋体" w:hAnsi="宋体" w:cs="宋体"/>
                <w:bCs/>
                <w:sz w:val="20"/>
                <w:szCs w:val="20"/>
              </w:rPr>
              <w:br w:type="textWrapping"/>
            </w:r>
            <w:r>
              <w:rPr>
                <w:rFonts w:hint="eastAsia" w:ascii="宋体" w:hAnsi="宋体" w:cs="宋体"/>
                <w:bCs/>
                <w:sz w:val="20"/>
                <w:szCs w:val="20"/>
              </w:rPr>
              <w:t>通道：4CH</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3、电源、控制设备、舞台周边</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12路4KW</w:t>
            </w:r>
            <w:r>
              <w:rPr>
                <w:rFonts w:hint="eastAsia" w:ascii="宋体" w:hAnsi="宋体" w:cs="宋体"/>
                <w:bCs/>
                <w:sz w:val="20"/>
                <w:szCs w:val="20"/>
              </w:rPr>
              <w:br w:type="textWrapping"/>
            </w:r>
            <w:r>
              <w:rPr>
                <w:rFonts w:hint="eastAsia" w:ascii="宋体" w:hAnsi="宋体" w:cs="宋体"/>
                <w:bCs/>
                <w:sz w:val="20"/>
                <w:szCs w:val="20"/>
              </w:rPr>
              <w:t>直通箱</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供电：三相五线制AC380V±10％，频率50Hz±5％.</w:t>
            </w:r>
            <w:r>
              <w:rPr>
                <w:rFonts w:hint="eastAsia" w:ascii="宋体" w:hAnsi="宋体" w:cs="宋体"/>
                <w:bCs/>
                <w:sz w:val="20"/>
                <w:szCs w:val="20"/>
              </w:rPr>
              <w:br w:type="textWrapping"/>
            </w:r>
            <w:r>
              <w:rPr>
                <w:rFonts w:hint="eastAsia" w:ascii="宋体" w:hAnsi="宋体" w:cs="宋体"/>
                <w:bCs/>
                <w:sz w:val="20"/>
                <w:szCs w:val="20"/>
              </w:rPr>
              <w:t>额定功率：12路×4KW; 可适用于任何负载.</w:t>
            </w:r>
            <w:r>
              <w:rPr>
                <w:rFonts w:hint="eastAsia" w:ascii="宋体" w:hAnsi="宋体" w:cs="宋体"/>
                <w:bCs/>
                <w:sz w:val="20"/>
                <w:szCs w:val="20"/>
              </w:rPr>
              <w:br w:type="textWrapping"/>
            </w:r>
            <w:r>
              <w:rPr>
                <w:rFonts w:hint="eastAsia" w:ascii="宋体" w:hAnsi="宋体" w:cs="宋体"/>
                <w:bCs/>
                <w:sz w:val="20"/>
                <w:szCs w:val="20"/>
              </w:rPr>
              <w:t>过载与短路双重保护高分断空气开关.</w:t>
            </w:r>
            <w:r>
              <w:rPr>
                <w:rFonts w:hint="eastAsia" w:ascii="宋体" w:hAnsi="宋体" w:cs="宋体"/>
                <w:bCs/>
                <w:sz w:val="20"/>
                <w:szCs w:val="20"/>
              </w:rPr>
              <w:br w:type="textWrapping"/>
            </w:r>
            <w:r>
              <w:rPr>
                <w:rFonts w:hint="eastAsia" w:ascii="宋体" w:hAnsi="宋体" w:cs="宋体"/>
                <w:bCs/>
                <w:sz w:val="20"/>
                <w:szCs w:val="20"/>
              </w:rPr>
              <w:t xml:space="preserve">A.B.C三相工作指示灯. 设两脚和三脚万能                       </w:t>
            </w:r>
            <w:r>
              <w:rPr>
                <w:rFonts w:hint="eastAsia" w:ascii="宋体" w:hAnsi="宋体" w:cs="宋体"/>
                <w:bCs/>
                <w:sz w:val="20"/>
                <w:szCs w:val="20"/>
              </w:rPr>
              <w:br w:type="textWrapping"/>
            </w:r>
            <w:r>
              <w:rPr>
                <w:rFonts w:hint="eastAsia" w:ascii="宋体" w:hAnsi="宋体" w:cs="宋体"/>
                <w:bCs/>
                <w:sz w:val="20"/>
                <w:szCs w:val="20"/>
              </w:rPr>
              <w:t>备用插座方便使用</w:t>
            </w:r>
            <w:r>
              <w:rPr>
                <w:rFonts w:hint="eastAsia" w:ascii="宋体" w:hAnsi="宋体" w:cs="宋体"/>
                <w:bCs/>
                <w:sz w:val="20"/>
                <w:szCs w:val="20"/>
              </w:rPr>
              <w:br w:type="textWrapping"/>
            </w:r>
            <w:r>
              <w:rPr>
                <w:rFonts w:hint="eastAsia" w:ascii="宋体" w:hAnsi="宋体" w:cs="宋体"/>
                <w:bCs/>
                <w:sz w:val="20"/>
                <w:szCs w:val="20"/>
              </w:rPr>
              <w:t xml:space="preserve">外形尺寸(mm):L515×W485×H133. </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灯光控台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DMX512/1990标准，最大1024个DMX控制通道，两路光电隔离信号输出。</w:t>
            </w:r>
            <w:r>
              <w:rPr>
                <w:rFonts w:hint="eastAsia" w:ascii="宋体" w:hAnsi="宋体" w:cs="宋体"/>
                <w:bCs/>
                <w:sz w:val="20"/>
                <w:szCs w:val="20"/>
              </w:rPr>
              <w:br w:type="textWrapping"/>
            </w:r>
            <w:r>
              <w:rPr>
                <w:rFonts w:hint="eastAsia" w:ascii="宋体" w:hAnsi="宋体" w:cs="宋体"/>
                <w:bCs/>
                <w:sz w:val="20"/>
                <w:szCs w:val="20"/>
              </w:rPr>
              <w:t>1、最大控制120台电脑灯或120路调光。</w:t>
            </w:r>
            <w:r>
              <w:rPr>
                <w:rFonts w:hint="eastAsia" w:ascii="宋体" w:hAnsi="宋体" w:cs="宋体"/>
                <w:bCs/>
                <w:sz w:val="20"/>
                <w:szCs w:val="20"/>
              </w:rPr>
              <w:br w:type="textWrapping"/>
            </w:r>
            <w:r>
              <w:rPr>
                <w:rFonts w:hint="eastAsia" w:ascii="宋体" w:hAnsi="宋体" w:cs="宋体"/>
                <w:bCs/>
                <w:sz w:val="20"/>
                <w:szCs w:val="20"/>
              </w:rPr>
              <w:t>2、使用珍珠灯库（R20格式灯库），且控台上可自行编写灯库。</w:t>
            </w:r>
            <w:r>
              <w:rPr>
                <w:rFonts w:hint="eastAsia" w:ascii="宋体" w:hAnsi="宋体" w:cs="宋体"/>
                <w:bCs/>
                <w:sz w:val="20"/>
                <w:szCs w:val="20"/>
              </w:rPr>
              <w:br w:type="textWrapping"/>
            </w:r>
            <w:r>
              <w:rPr>
                <w:rFonts w:hint="eastAsia" w:ascii="宋体" w:hAnsi="宋体" w:cs="宋体"/>
                <w:bCs/>
                <w:sz w:val="20"/>
                <w:szCs w:val="20"/>
              </w:rPr>
              <w:t>3、带背光的LCD显示屏，首创的中英文显示可切换界面。面板中英文可选。</w:t>
            </w:r>
            <w:r>
              <w:rPr>
                <w:rFonts w:hint="eastAsia" w:ascii="宋体" w:hAnsi="宋体" w:cs="宋体"/>
                <w:bCs/>
                <w:sz w:val="20"/>
                <w:szCs w:val="20"/>
              </w:rPr>
              <w:br w:type="textWrapping"/>
            </w:r>
            <w:r>
              <w:rPr>
                <w:rFonts w:hint="eastAsia" w:ascii="宋体" w:hAnsi="宋体" w:cs="宋体"/>
                <w:bCs/>
                <w:sz w:val="20"/>
                <w:szCs w:val="20"/>
              </w:rPr>
              <w:t>4、内置图形轨迹发生器，有227个内置图形，方便用户对电脑灯进行图形轨迹控制，如画圆、螺旋、彩虹、追逐等多种效果。</w:t>
            </w:r>
            <w:r>
              <w:rPr>
                <w:rFonts w:hint="eastAsia" w:ascii="宋体" w:hAnsi="宋体" w:cs="宋体"/>
                <w:bCs/>
                <w:sz w:val="20"/>
                <w:szCs w:val="20"/>
              </w:rPr>
              <w:br w:type="textWrapping"/>
            </w:r>
            <w:r>
              <w:rPr>
                <w:rFonts w:hint="eastAsia" w:ascii="宋体" w:hAnsi="宋体" w:cs="宋体"/>
                <w:bCs/>
                <w:sz w:val="20"/>
                <w:szCs w:val="20"/>
              </w:rPr>
              <w:t>5、图形参数（如：振幅、速度、间隔、波浪、方向）均可独立设置，更方便快捷的做出想要的造型和场景。</w:t>
            </w:r>
            <w:r>
              <w:rPr>
                <w:rFonts w:hint="eastAsia" w:ascii="宋体" w:hAnsi="宋体" w:cs="宋体"/>
                <w:bCs/>
                <w:sz w:val="20"/>
                <w:szCs w:val="20"/>
              </w:rPr>
              <w:br w:type="textWrapping"/>
            </w:r>
            <w:r>
              <w:rPr>
                <w:rFonts w:hint="eastAsia" w:ascii="宋体" w:hAnsi="宋体" w:cs="宋体"/>
                <w:bCs/>
                <w:sz w:val="20"/>
                <w:szCs w:val="20"/>
              </w:rPr>
              <w:t>6、每个场景可保存图形数量5个；同时可运行图形数量10个。</w:t>
            </w:r>
            <w:r>
              <w:rPr>
                <w:rFonts w:hint="eastAsia" w:ascii="宋体" w:hAnsi="宋体" w:cs="宋体"/>
                <w:bCs/>
                <w:sz w:val="20"/>
                <w:szCs w:val="20"/>
              </w:rPr>
              <w:br w:type="textWrapping"/>
            </w:r>
            <w:r>
              <w:rPr>
                <w:rFonts w:hint="eastAsia" w:ascii="宋体" w:hAnsi="宋体" w:cs="宋体"/>
                <w:bCs/>
                <w:sz w:val="20"/>
                <w:szCs w:val="20"/>
              </w:rPr>
              <w:t>7、有节目录制功能，最多可储存100个节目，灯光秀演示一劳永逸。</w:t>
            </w:r>
            <w:r>
              <w:rPr>
                <w:rFonts w:hint="eastAsia" w:ascii="宋体" w:hAnsi="宋体" w:cs="宋体"/>
                <w:bCs/>
                <w:sz w:val="20"/>
                <w:szCs w:val="20"/>
              </w:rPr>
              <w:br w:type="textWrapping"/>
            </w:r>
            <w:r>
              <w:rPr>
                <w:rFonts w:hint="eastAsia" w:ascii="宋体" w:hAnsi="宋体" w:cs="宋体"/>
                <w:bCs/>
                <w:sz w:val="20"/>
                <w:szCs w:val="20"/>
              </w:rPr>
              <w:t>8、有内置时间码和外置MIDI触发功能,让您轻松实现一键声光同步的炫丽灯光秀。</w:t>
            </w:r>
            <w:r>
              <w:rPr>
                <w:rFonts w:hint="eastAsia" w:ascii="宋体" w:hAnsi="宋体" w:cs="宋体"/>
                <w:bCs/>
                <w:sz w:val="20"/>
                <w:szCs w:val="20"/>
              </w:rPr>
              <w:br w:type="textWrapping"/>
            </w:r>
            <w:r>
              <w:rPr>
                <w:rFonts w:hint="eastAsia" w:ascii="宋体" w:hAnsi="宋体" w:cs="宋体"/>
                <w:bCs/>
                <w:sz w:val="20"/>
                <w:szCs w:val="20"/>
              </w:rPr>
              <w:t>9、场景能够实现交叠功能，图形有宽度参数，能够更快速的编程。</w:t>
            </w:r>
            <w:r>
              <w:rPr>
                <w:rFonts w:hint="eastAsia" w:ascii="宋体" w:hAnsi="宋体" w:cs="宋体"/>
                <w:bCs/>
                <w:sz w:val="20"/>
                <w:szCs w:val="20"/>
              </w:rPr>
              <w:br w:type="textWrapping"/>
            </w:r>
            <w:r>
              <w:rPr>
                <w:rFonts w:hint="eastAsia" w:ascii="宋体" w:hAnsi="宋体" w:cs="宋体"/>
                <w:bCs/>
                <w:sz w:val="20"/>
                <w:szCs w:val="20"/>
              </w:rPr>
              <w:t>10、具有高级编组功能。</w:t>
            </w:r>
            <w:r>
              <w:rPr>
                <w:rFonts w:hint="eastAsia" w:ascii="宋体" w:hAnsi="宋体" w:cs="宋体"/>
                <w:bCs/>
                <w:sz w:val="20"/>
                <w:szCs w:val="20"/>
              </w:rPr>
              <w:br w:type="textWrapping"/>
            </w:r>
            <w:r>
              <w:rPr>
                <w:rFonts w:hint="eastAsia" w:ascii="宋体" w:hAnsi="宋体" w:cs="宋体"/>
                <w:bCs/>
                <w:sz w:val="20"/>
                <w:szCs w:val="20"/>
              </w:rPr>
              <w:t>11可储存100个素材，素材共享或者独立素材均可随心设置。</w:t>
            </w:r>
            <w:r>
              <w:rPr>
                <w:rFonts w:hint="eastAsia" w:ascii="宋体" w:hAnsi="宋体" w:cs="宋体"/>
                <w:bCs/>
                <w:sz w:val="20"/>
                <w:szCs w:val="20"/>
              </w:rPr>
              <w:br w:type="textWrapping"/>
            </w:r>
            <w:r>
              <w:rPr>
                <w:rFonts w:hint="eastAsia" w:ascii="宋体" w:hAnsi="宋体" w:cs="宋体"/>
                <w:bCs/>
                <w:sz w:val="20"/>
                <w:szCs w:val="20"/>
              </w:rPr>
              <w:t>12、素材储存模式有四种，素材储存和调用灵活便捷。</w:t>
            </w:r>
            <w:r>
              <w:rPr>
                <w:rFonts w:hint="eastAsia" w:ascii="宋体" w:hAnsi="宋体" w:cs="宋体"/>
                <w:bCs/>
                <w:sz w:val="20"/>
                <w:szCs w:val="20"/>
              </w:rPr>
              <w:br w:type="textWrapping"/>
            </w:r>
            <w:r>
              <w:rPr>
                <w:rFonts w:hint="eastAsia" w:ascii="宋体" w:hAnsi="宋体" w:cs="宋体"/>
                <w:bCs/>
                <w:sz w:val="20"/>
                <w:szCs w:val="20"/>
              </w:rPr>
              <w:t>13、可储存120个重演场景，用于储存多步场景和单步场景。每个多步场景最多可储存600个单步。</w:t>
            </w:r>
            <w:r>
              <w:rPr>
                <w:rFonts w:hint="eastAsia" w:ascii="宋体" w:hAnsi="宋体" w:cs="宋体"/>
                <w:bCs/>
                <w:sz w:val="20"/>
                <w:szCs w:val="20"/>
              </w:rPr>
              <w:br w:type="textWrapping"/>
            </w:r>
            <w:r>
              <w:rPr>
                <w:rFonts w:hint="eastAsia" w:ascii="宋体" w:hAnsi="宋体" w:cs="宋体"/>
                <w:bCs/>
                <w:sz w:val="20"/>
                <w:szCs w:val="20"/>
              </w:rPr>
              <w:t>14、可同时输出和运行12个重演场景。</w:t>
            </w:r>
            <w:r>
              <w:rPr>
                <w:rFonts w:hint="eastAsia" w:ascii="宋体" w:hAnsi="宋体" w:cs="宋体"/>
                <w:bCs/>
                <w:sz w:val="20"/>
                <w:szCs w:val="20"/>
              </w:rPr>
              <w:br w:type="textWrapping"/>
            </w:r>
            <w:r>
              <w:rPr>
                <w:rFonts w:hint="eastAsia" w:ascii="宋体" w:hAnsi="宋体" w:cs="宋体"/>
                <w:bCs/>
                <w:sz w:val="20"/>
                <w:szCs w:val="20"/>
              </w:rPr>
              <w:t>15、带12根集控推杆。按键点控和推杆集控兼容。</w:t>
            </w:r>
            <w:r>
              <w:rPr>
                <w:rFonts w:hint="eastAsia" w:ascii="宋体" w:hAnsi="宋体" w:cs="宋体"/>
                <w:bCs/>
                <w:sz w:val="20"/>
                <w:szCs w:val="20"/>
              </w:rPr>
              <w:br w:type="textWrapping"/>
            </w:r>
            <w:r>
              <w:rPr>
                <w:rFonts w:hint="eastAsia" w:ascii="宋体" w:hAnsi="宋体" w:cs="宋体"/>
                <w:bCs/>
                <w:sz w:val="20"/>
                <w:szCs w:val="20"/>
              </w:rPr>
              <w:t>16、支持重新配节地址码、垂直水平交换、通道输出反向等功能。</w:t>
            </w:r>
            <w:r>
              <w:rPr>
                <w:rFonts w:hint="eastAsia" w:ascii="宋体" w:hAnsi="宋体" w:cs="宋体"/>
                <w:bCs/>
                <w:sz w:val="20"/>
                <w:szCs w:val="20"/>
              </w:rPr>
              <w:br w:type="textWrapping"/>
            </w:r>
            <w:r>
              <w:rPr>
                <w:rFonts w:hint="eastAsia" w:ascii="宋体" w:hAnsi="宋体" w:cs="宋体"/>
                <w:bCs/>
                <w:sz w:val="20"/>
                <w:szCs w:val="20"/>
              </w:rPr>
              <w:t>17、关机或者突发断电等情况数据可记忆保持。</w:t>
            </w:r>
            <w:r>
              <w:rPr>
                <w:rFonts w:hint="eastAsia" w:ascii="宋体" w:hAnsi="宋体" w:cs="宋体"/>
                <w:bCs/>
                <w:sz w:val="20"/>
                <w:szCs w:val="20"/>
              </w:rPr>
              <w:br w:type="textWrapping"/>
            </w:r>
            <w:r>
              <w:rPr>
                <w:rFonts w:hint="eastAsia" w:ascii="宋体" w:hAnsi="宋体" w:cs="宋体"/>
                <w:bCs/>
                <w:sz w:val="20"/>
                <w:szCs w:val="20"/>
              </w:rPr>
              <w:t>18、U盘可备份控台数据，并支持重新导入到控台使用，同型号控台数据可共享。</w:t>
            </w:r>
            <w:r>
              <w:rPr>
                <w:rFonts w:hint="eastAsia" w:ascii="宋体" w:hAnsi="宋体" w:cs="宋体"/>
                <w:bCs/>
                <w:sz w:val="20"/>
                <w:szCs w:val="20"/>
              </w:rPr>
              <w:br w:type="textWrapping"/>
            </w:r>
            <w:r>
              <w:rPr>
                <w:rFonts w:hint="eastAsia" w:ascii="宋体" w:hAnsi="宋体" w:cs="宋体"/>
                <w:bCs/>
                <w:sz w:val="20"/>
                <w:szCs w:val="20"/>
              </w:rPr>
              <w:t>19、支持远程软件升级，随时随地增加新的功能。</w:t>
            </w:r>
            <w:r>
              <w:rPr>
                <w:rFonts w:hint="eastAsia" w:ascii="宋体" w:hAnsi="宋体" w:cs="宋体"/>
                <w:bCs/>
                <w:sz w:val="20"/>
                <w:szCs w:val="20"/>
              </w:rPr>
              <w:br w:type="textWrapping"/>
            </w:r>
            <w:r>
              <w:rPr>
                <w:rFonts w:hint="eastAsia" w:ascii="宋体" w:hAnsi="宋体" w:cs="宋体"/>
                <w:bCs/>
                <w:sz w:val="20"/>
                <w:szCs w:val="20"/>
              </w:rPr>
              <w:t>20、具有预编程功能，离线事先编程，省事省心。</w:t>
            </w:r>
            <w:r>
              <w:rPr>
                <w:rFonts w:hint="eastAsia" w:ascii="宋体" w:hAnsi="宋体" w:cs="宋体"/>
                <w:bCs/>
                <w:sz w:val="20"/>
                <w:szCs w:val="20"/>
              </w:rPr>
              <w:br w:type="textWrapping"/>
            </w:r>
            <w:r>
              <w:rPr>
                <w:rFonts w:hint="eastAsia" w:ascii="宋体" w:hAnsi="宋体" w:cs="宋体"/>
                <w:bCs/>
                <w:sz w:val="20"/>
                <w:szCs w:val="20"/>
              </w:rPr>
              <w:t>21、预置推杆可控制电脑灯的属性，属性控制更方便快捷。</w:t>
            </w:r>
            <w:r>
              <w:rPr>
                <w:rFonts w:hint="eastAsia" w:ascii="宋体" w:hAnsi="宋体" w:cs="宋体"/>
                <w:bCs/>
                <w:sz w:val="20"/>
                <w:szCs w:val="20"/>
              </w:rPr>
              <w:br w:type="textWrapping"/>
            </w:r>
            <w:r>
              <w:rPr>
                <w:rFonts w:hint="eastAsia" w:ascii="宋体" w:hAnsi="宋体" w:cs="宋体"/>
                <w:bCs/>
                <w:sz w:val="20"/>
                <w:szCs w:val="20"/>
              </w:rPr>
              <w:t>22、支持立即黑场、场景互锁。</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信号放大器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供电电源：AC90-240120V 50/60Hz  19" 1U</w:t>
            </w:r>
            <w:r>
              <w:rPr>
                <w:rFonts w:hint="eastAsia" w:ascii="宋体" w:hAnsi="宋体" w:cs="宋体"/>
                <w:bCs/>
                <w:sz w:val="20"/>
                <w:szCs w:val="20"/>
              </w:rPr>
              <w:br w:type="textWrapping"/>
            </w:r>
            <w:r>
              <w:rPr>
                <w:rFonts w:hint="eastAsia" w:ascii="宋体" w:hAnsi="宋体" w:cs="宋体"/>
                <w:bCs/>
                <w:sz w:val="20"/>
                <w:szCs w:val="20"/>
              </w:rPr>
              <w:t>产品特性：1组DMX信号变8组；</w:t>
            </w:r>
            <w:r>
              <w:rPr>
                <w:rFonts w:hint="eastAsia" w:ascii="宋体" w:hAnsi="宋体" w:cs="宋体"/>
                <w:bCs/>
                <w:sz w:val="20"/>
                <w:szCs w:val="20"/>
              </w:rPr>
              <w:br w:type="textWrapping"/>
            </w:r>
            <w:r>
              <w:rPr>
                <w:rFonts w:hint="eastAsia" w:ascii="宋体" w:hAnsi="宋体" w:cs="宋体"/>
                <w:bCs/>
                <w:sz w:val="20"/>
                <w:szCs w:val="20"/>
              </w:rPr>
              <w:t>8路独立放大驱动输出</w:t>
            </w:r>
            <w:r>
              <w:rPr>
                <w:rFonts w:hint="eastAsia" w:ascii="宋体" w:hAnsi="宋体" w:cs="宋体"/>
                <w:bCs/>
                <w:sz w:val="20"/>
                <w:szCs w:val="20"/>
              </w:rPr>
              <w:br w:type="textWrapping"/>
            </w:r>
            <w:r>
              <w:rPr>
                <w:rFonts w:hint="eastAsia" w:ascii="宋体" w:hAnsi="宋体" w:cs="宋体"/>
                <w:bCs/>
                <w:sz w:val="20"/>
                <w:szCs w:val="20"/>
              </w:rPr>
              <w:t>信号放大整形功能，延长信号传输距离。</w:t>
            </w:r>
            <w:r>
              <w:rPr>
                <w:rFonts w:hint="eastAsia" w:ascii="宋体" w:hAnsi="宋体" w:cs="宋体"/>
                <w:bCs/>
                <w:sz w:val="20"/>
                <w:szCs w:val="20"/>
              </w:rPr>
              <w:br w:type="textWrapping"/>
            </w:r>
            <w:r>
              <w:rPr>
                <w:rFonts w:hint="eastAsia" w:ascii="宋体" w:hAnsi="宋体" w:cs="宋体"/>
                <w:bCs/>
                <w:sz w:val="20"/>
                <w:szCs w:val="20"/>
              </w:rPr>
              <w:t>增强数据总线接入设备数量的能力 保护灯光控制台 DMX512输出接口</w:t>
            </w:r>
            <w:r>
              <w:rPr>
                <w:rFonts w:hint="eastAsia" w:ascii="宋体" w:hAnsi="宋体" w:cs="宋体"/>
                <w:bCs/>
                <w:sz w:val="20"/>
                <w:szCs w:val="20"/>
              </w:rPr>
              <w:br w:type="textWrapping"/>
            </w:r>
            <w:r>
              <w:rPr>
                <w:rFonts w:hint="eastAsia" w:ascii="宋体" w:hAnsi="宋体" w:cs="宋体"/>
                <w:bCs/>
                <w:sz w:val="20"/>
                <w:szCs w:val="20"/>
              </w:rPr>
              <w:t>故障现场隔离，提高数字式灯光控制系统的安全运行可靠性</w:t>
            </w:r>
            <w:r>
              <w:rPr>
                <w:rFonts w:hint="eastAsia" w:ascii="宋体" w:hAnsi="宋体" w:cs="宋体"/>
                <w:bCs/>
                <w:sz w:val="20"/>
                <w:szCs w:val="20"/>
              </w:rPr>
              <w:br w:type="textWrapping"/>
            </w:r>
            <w:r>
              <w:rPr>
                <w:rFonts w:hint="eastAsia" w:ascii="宋体" w:hAnsi="宋体" w:cs="宋体"/>
                <w:bCs/>
                <w:sz w:val="20"/>
                <w:szCs w:val="20"/>
              </w:rPr>
              <w:t>尺寸：530×190×110mm</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4、安装辅材</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灯 钩</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压铸铝灯钩，可承重100公斤</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个</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安全绳</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舞台专用安全绳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DMX信号线</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RVVP2x0.3mm²、128 网、无氧铜</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米</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XLR卡农头</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卡农公母一对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15</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电焊不锈钢支架</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不锈钢灯光挂架</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辅材及人工</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所有弱电改造所需PVC阻燃线管、电工底盒、自攻钉、胶塞，水晶头，卡农头及设备安装所需耗材配件，数量、种类、规格以现场实际情况为准。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740" w:type="pct"/>
            <w:gridSpan w:val="4"/>
            <w:noWrap/>
            <w:vAlign w:val="center"/>
          </w:tcPr>
          <w:p>
            <w:pPr>
              <w:spacing w:line="400" w:lineRule="exact"/>
              <w:rPr>
                <w:rFonts w:ascii="宋体" w:hAnsi="宋体" w:cs="宋体"/>
                <w:bCs/>
                <w:sz w:val="20"/>
                <w:szCs w:val="20"/>
              </w:rPr>
            </w:pPr>
            <w:r>
              <w:rPr>
                <w:rFonts w:hint="eastAsia" w:ascii="宋体" w:hAnsi="宋体" w:cs="宋体"/>
                <w:bCs/>
                <w:sz w:val="20"/>
                <w:szCs w:val="20"/>
              </w:rPr>
              <w:t>四、座椅及主席台</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报告厅座椅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规格：550W*670D*1000H（中心距570mm）</w:t>
            </w:r>
            <w:r>
              <w:rPr>
                <w:rFonts w:hint="eastAsia" w:ascii="宋体" w:hAnsi="宋体" w:cs="宋体"/>
                <w:bCs/>
                <w:sz w:val="20"/>
                <w:szCs w:val="20"/>
              </w:rPr>
              <w:br w:type="textWrapping"/>
            </w:r>
            <w:r>
              <w:rPr>
                <w:rFonts w:hint="eastAsia" w:ascii="宋体" w:hAnsi="宋体" w:cs="宋体"/>
                <w:bCs/>
                <w:sz w:val="20"/>
                <w:szCs w:val="20"/>
              </w:rPr>
              <w:t>1、座椅根据人体形态工程学原理设计制造，背垫和座垫之弧形完全符合人体生理曲线，外形美观，大方，座高和座深合理，坐感舒适，座垫可自动回位。</w:t>
            </w:r>
            <w:r>
              <w:rPr>
                <w:rFonts w:hint="eastAsia" w:ascii="宋体" w:hAnsi="宋体" w:cs="宋体"/>
                <w:bCs/>
                <w:sz w:val="20"/>
                <w:szCs w:val="20"/>
              </w:rPr>
              <w:br w:type="textWrapping"/>
            </w:r>
            <w:r>
              <w:rPr>
                <w:rFonts w:hint="eastAsia" w:ascii="宋体" w:hAnsi="宋体" w:cs="宋体"/>
                <w:bCs/>
                <w:sz w:val="20"/>
                <w:szCs w:val="20"/>
              </w:rPr>
              <w:t>2、座椅中心距570±5mm、座高450±10mm、座包打开到背后最长740±10mm、椅高1040~1080mm,扶手脚高625±5mm、地面到扶手面高度645±5mm。</w:t>
            </w:r>
            <w:r>
              <w:rPr>
                <w:rFonts w:hint="eastAsia" w:ascii="宋体" w:hAnsi="宋体" w:cs="宋体"/>
                <w:bCs/>
                <w:sz w:val="20"/>
                <w:szCs w:val="20"/>
              </w:rPr>
              <w:br w:type="textWrapping"/>
            </w:r>
            <w:r>
              <w:rPr>
                <w:rFonts w:hint="eastAsia" w:ascii="宋体" w:hAnsi="宋体" w:cs="宋体"/>
                <w:bCs/>
                <w:sz w:val="20"/>
                <w:szCs w:val="20"/>
              </w:rPr>
              <w:t>3、为保证座椅的力学性能及有害物质限量，座椅样板必须进行实用性测试，其中座面、椅背面静载荷分别为：2000N、760N、10次无松动；椅座、椅背耐用性分别：950N、20万次、300N、20万次；扶手静载侧面900N、向下1000N，10次无松动，座面来回翻折耐久性试验必须达到30万次，甲醛释放量≤0.120mg/㎡h。</w:t>
            </w:r>
            <w:r>
              <w:rPr>
                <w:rFonts w:hint="eastAsia" w:ascii="宋体" w:hAnsi="宋体" w:cs="宋体"/>
                <w:bCs/>
                <w:sz w:val="20"/>
                <w:szCs w:val="20"/>
              </w:rPr>
              <w:br w:type="textWrapping"/>
            </w:r>
            <w:r>
              <w:rPr>
                <w:rFonts w:hint="eastAsia" w:ascii="宋体" w:hAnsi="宋体" w:cs="宋体"/>
                <w:bCs/>
                <w:sz w:val="20"/>
                <w:szCs w:val="20"/>
              </w:rPr>
              <w:t>4、座椅外板采用优质高密度多层板经高频热压机一次成“瓦”型座、背外板，再经修边、打磨和多层油漆低面等多道工序，面采用优质PU环保聚酯油漆饰面，油漆吸附力强、耐腐蚀、易清洗等，符合GB 18580-2017《室内装饰装修材料-人造板及其制品中甲醛释放限量》的甲醛释放量E1≤0.124mg/m³标准；椅背板尺寸650*515*15mm（长宽±5mm）；椅座板：495*430*15mm（长宽±5mm）。</w:t>
            </w:r>
            <w:r>
              <w:rPr>
                <w:rFonts w:hint="eastAsia" w:ascii="宋体" w:hAnsi="宋体" w:cs="宋体"/>
                <w:bCs/>
                <w:sz w:val="20"/>
                <w:szCs w:val="20"/>
              </w:rPr>
              <w:br w:type="textWrapping"/>
            </w:r>
            <w:r>
              <w:rPr>
                <w:rFonts w:hint="eastAsia" w:ascii="宋体" w:hAnsi="宋体" w:cs="宋体"/>
                <w:bCs/>
                <w:sz w:val="20"/>
                <w:szCs w:val="20"/>
              </w:rPr>
              <w:t>5、座、背海绵采用高密度聚酯定型海绵原料，经模具冷固发泡一体成型，座、背海绵与瓦型座背外板相呼应，座椅整体安装成型后呈现一个“弯刀月亮”型。座海绵厚140mm、背海绵外观呈“U”形最厚点110mm，海绵原料的物理指标达到并超过</w:t>
            </w:r>
            <w:r>
              <w:rPr>
                <w:rFonts w:hint="eastAsia" w:ascii="宋体" w:hAnsi="宋体" w:cs="宋体"/>
                <w:bCs/>
                <w:sz w:val="20"/>
                <w:szCs w:val="20"/>
                <w:lang w:val="en-US" w:eastAsia="zh-CN"/>
              </w:rPr>
              <w:t>GB/T 10802-2023</w:t>
            </w:r>
            <w:r>
              <w:rPr>
                <w:rFonts w:hint="eastAsia" w:ascii="宋体" w:hAnsi="宋体" w:cs="宋体"/>
                <w:bCs/>
                <w:sz w:val="20"/>
                <w:szCs w:val="20"/>
              </w:rPr>
              <w:t>、GB/T10807-2006标准。</w:t>
            </w:r>
            <w:r>
              <w:rPr>
                <w:rFonts w:hint="eastAsia" w:ascii="宋体" w:hAnsi="宋体" w:cs="宋体"/>
                <w:bCs/>
                <w:sz w:val="20"/>
                <w:szCs w:val="20"/>
              </w:rPr>
              <w:br w:type="textWrapping"/>
            </w:r>
            <w:r>
              <w:rPr>
                <w:rFonts w:hint="eastAsia" w:ascii="宋体" w:hAnsi="宋体" w:cs="宋体"/>
                <w:bCs/>
                <w:sz w:val="20"/>
                <w:szCs w:val="20"/>
              </w:rPr>
              <w:t>a.拉伸强度:﹥150kpa</w:t>
            </w:r>
            <w:r>
              <w:rPr>
                <w:rFonts w:hint="eastAsia" w:ascii="宋体" w:hAnsi="宋体" w:cs="宋体"/>
                <w:bCs/>
                <w:sz w:val="20"/>
                <w:szCs w:val="20"/>
              </w:rPr>
              <w:br w:type="textWrapping"/>
            </w:r>
            <w:r>
              <w:rPr>
                <w:rFonts w:hint="eastAsia" w:ascii="宋体" w:hAnsi="宋体" w:cs="宋体"/>
                <w:bCs/>
                <w:sz w:val="20"/>
                <w:szCs w:val="20"/>
              </w:rPr>
              <w:t>b.伸长率：﹥160%</w:t>
            </w:r>
            <w:r>
              <w:rPr>
                <w:rFonts w:hint="eastAsia" w:ascii="宋体" w:hAnsi="宋体" w:cs="宋体"/>
                <w:bCs/>
                <w:sz w:val="20"/>
                <w:szCs w:val="20"/>
              </w:rPr>
              <w:br w:type="textWrapping"/>
            </w:r>
            <w:r>
              <w:rPr>
                <w:rFonts w:hint="eastAsia" w:ascii="宋体" w:hAnsi="宋体" w:cs="宋体"/>
                <w:bCs/>
                <w:sz w:val="20"/>
                <w:szCs w:val="20"/>
              </w:rPr>
              <w:t>c.撕裂强度：﹥2.0N/cm</w:t>
            </w:r>
            <w:r>
              <w:rPr>
                <w:rFonts w:hint="eastAsia" w:ascii="宋体" w:hAnsi="宋体" w:cs="宋体"/>
                <w:bCs/>
                <w:sz w:val="20"/>
                <w:szCs w:val="20"/>
              </w:rPr>
              <w:br w:type="textWrapping"/>
            </w:r>
            <w:r>
              <w:rPr>
                <w:rFonts w:hint="eastAsia" w:ascii="宋体" w:hAnsi="宋体" w:cs="宋体"/>
                <w:bCs/>
                <w:sz w:val="20"/>
                <w:szCs w:val="20"/>
              </w:rPr>
              <w:t>d.干热老化后拉伸强度：﹥120 kpa</w:t>
            </w:r>
            <w:r>
              <w:rPr>
                <w:rFonts w:hint="eastAsia" w:ascii="宋体" w:hAnsi="宋体" w:cs="宋体"/>
                <w:bCs/>
                <w:sz w:val="20"/>
                <w:szCs w:val="20"/>
              </w:rPr>
              <w:br w:type="textWrapping"/>
            </w:r>
            <w:r>
              <w:rPr>
                <w:rFonts w:hint="eastAsia" w:ascii="宋体" w:hAnsi="宋体" w:cs="宋体"/>
                <w:bCs/>
                <w:sz w:val="20"/>
                <w:szCs w:val="20"/>
              </w:rPr>
              <w:t>e.干热老化后拉伸强度变化率：±30%</w:t>
            </w:r>
            <w:r>
              <w:rPr>
                <w:rFonts w:hint="eastAsia" w:ascii="宋体" w:hAnsi="宋体" w:cs="宋体"/>
                <w:bCs/>
                <w:sz w:val="20"/>
                <w:szCs w:val="20"/>
              </w:rPr>
              <w:br w:type="textWrapping"/>
            </w:r>
            <w:r>
              <w:rPr>
                <w:rFonts w:hint="eastAsia" w:ascii="宋体" w:hAnsi="宋体" w:cs="宋体"/>
                <w:bCs/>
                <w:sz w:val="20"/>
                <w:szCs w:val="20"/>
              </w:rPr>
              <w:t>f.湿热老化后拉伸强度：﹥130 kpa</w:t>
            </w:r>
            <w:r>
              <w:rPr>
                <w:rFonts w:hint="eastAsia" w:ascii="宋体" w:hAnsi="宋体" w:cs="宋体"/>
                <w:bCs/>
                <w:sz w:val="20"/>
                <w:szCs w:val="20"/>
              </w:rPr>
              <w:br w:type="textWrapping"/>
            </w:r>
            <w:r>
              <w:rPr>
                <w:rFonts w:hint="eastAsia" w:ascii="宋体" w:hAnsi="宋体" w:cs="宋体"/>
                <w:bCs/>
                <w:sz w:val="20"/>
                <w:szCs w:val="20"/>
              </w:rPr>
              <w:t>g.湿热老化后拉伸强度变化率：±30%</w:t>
            </w:r>
            <w:r>
              <w:rPr>
                <w:rFonts w:hint="eastAsia" w:ascii="宋体" w:hAnsi="宋体" w:cs="宋体"/>
                <w:bCs/>
                <w:sz w:val="20"/>
                <w:szCs w:val="20"/>
              </w:rPr>
              <w:br w:type="textWrapping"/>
            </w:r>
            <w:r>
              <w:rPr>
                <w:rFonts w:hint="eastAsia" w:ascii="宋体" w:hAnsi="宋体" w:cs="宋体"/>
                <w:bCs/>
                <w:sz w:val="20"/>
                <w:szCs w:val="20"/>
              </w:rPr>
              <w:t>h.40%压陷硬度：﹥200N</w:t>
            </w:r>
            <w:r>
              <w:rPr>
                <w:rFonts w:hint="eastAsia" w:ascii="宋体" w:hAnsi="宋体" w:cs="宋体"/>
                <w:bCs/>
                <w:sz w:val="20"/>
                <w:szCs w:val="20"/>
              </w:rPr>
              <w:br w:type="textWrapping"/>
            </w:r>
            <w:r>
              <w:rPr>
                <w:rFonts w:hint="eastAsia" w:ascii="宋体" w:hAnsi="宋体" w:cs="宋体"/>
                <w:bCs/>
                <w:sz w:val="20"/>
                <w:szCs w:val="20"/>
              </w:rPr>
              <w:t>i.密度：﹥50kg/㎥.</w:t>
            </w:r>
            <w:r>
              <w:rPr>
                <w:rFonts w:hint="eastAsia" w:ascii="宋体" w:hAnsi="宋体" w:cs="宋体"/>
                <w:bCs/>
                <w:sz w:val="20"/>
                <w:szCs w:val="20"/>
              </w:rPr>
              <w:br w:type="textWrapping"/>
            </w:r>
            <w:r>
              <w:rPr>
                <w:rFonts w:hint="eastAsia" w:ascii="宋体" w:hAnsi="宋体" w:cs="宋体"/>
                <w:bCs/>
                <w:sz w:val="20"/>
                <w:szCs w:val="20"/>
              </w:rPr>
              <w:t>j.回弹性能≥60%</w:t>
            </w:r>
            <w:r>
              <w:rPr>
                <w:rFonts w:hint="eastAsia" w:ascii="宋体" w:hAnsi="宋体" w:cs="宋体"/>
                <w:bCs/>
                <w:sz w:val="20"/>
                <w:szCs w:val="20"/>
              </w:rPr>
              <w:br w:type="textWrapping"/>
            </w:r>
            <w:r>
              <w:rPr>
                <w:rFonts w:hint="eastAsia" w:ascii="宋体" w:hAnsi="宋体" w:cs="宋体"/>
                <w:bCs/>
                <w:sz w:val="20"/>
                <w:szCs w:val="20"/>
              </w:rPr>
              <w:t>6、面料为优质品牌耐磨毛麻纺织面料,,要求耐磨性高,渗透力强,吸声效果好、软硬适中、使用长时间无气球、褪色等。面料的相关指标达到并超过</w:t>
            </w:r>
            <w:r>
              <w:rPr>
                <w:rFonts w:hint="eastAsia" w:ascii="宋体" w:hAnsi="宋体" w:cs="宋体"/>
                <w:bCs/>
                <w:sz w:val="20"/>
                <w:szCs w:val="20"/>
                <w:lang w:eastAsia="zh-CN"/>
              </w:rPr>
              <w:t>HJ 2547-2016</w:t>
            </w:r>
            <w:r>
              <w:rPr>
                <w:rFonts w:hint="eastAsia" w:ascii="宋体" w:hAnsi="宋体" w:cs="宋体"/>
                <w:bCs/>
                <w:sz w:val="20"/>
                <w:szCs w:val="20"/>
              </w:rPr>
              <w:t>、</w:t>
            </w:r>
            <w:r>
              <w:rPr>
                <w:rFonts w:hint="eastAsia" w:ascii="宋体" w:hAnsi="宋体" w:cs="宋体"/>
                <w:bCs/>
                <w:sz w:val="20"/>
                <w:szCs w:val="20"/>
                <w:lang w:val="en-US" w:eastAsia="zh-CN"/>
              </w:rPr>
              <w:t>HJ 2546-2016</w:t>
            </w:r>
            <w:r>
              <w:rPr>
                <w:rFonts w:hint="eastAsia" w:ascii="宋体" w:hAnsi="宋体" w:cs="宋体"/>
                <w:bCs/>
                <w:sz w:val="20"/>
                <w:szCs w:val="20"/>
              </w:rPr>
              <w:t>、GB/T19976-2005、GB/T21196.2-2007、GB/T25077-2010、QB/T2602-2013标准要求：</w:t>
            </w:r>
            <w:r>
              <w:rPr>
                <w:rFonts w:hint="eastAsia" w:ascii="宋体" w:hAnsi="宋体" w:cs="宋体"/>
                <w:bCs/>
                <w:sz w:val="20"/>
                <w:szCs w:val="20"/>
              </w:rPr>
              <w:br w:type="textWrapping"/>
            </w:r>
            <w:r>
              <w:rPr>
                <w:rFonts w:hint="eastAsia" w:ascii="宋体" w:hAnsi="宋体" w:cs="宋体"/>
                <w:bCs/>
                <w:sz w:val="20"/>
                <w:szCs w:val="20"/>
              </w:rPr>
              <w:t>a.色彩:(定制前由学校选择)</w:t>
            </w:r>
            <w:r>
              <w:rPr>
                <w:rFonts w:hint="eastAsia" w:ascii="宋体" w:hAnsi="宋体" w:cs="宋体"/>
                <w:bCs/>
                <w:sz w:val="20"/>
                <w:szCs w:val="20"/>
              </w:rPr>
              <w:br w:type="textWrapping"/>
            </w:r>
            <w:r>
              <w:rPr>
                <w:rFonts w:hint="eastAsia" w:ascii="宋体" w:hAnsi="宋体" w:cs="宋体"/>
                <w:bCs/>
                <w:sz w:val="20"/>
                <w:szCs w:val="20"/>
              </w:rPr>
              <w:t>b.色牢度:4-5级及以上</w:t>
            </w:r>
            <w:r>
              <w:rPr>
                <w:rFonts w:hint="eastAsia" w:ascii="宋体" w:hAnsi="宋体" w:cs="宋体"/>
                <w:bCs/>
                <w:sz w:val="20"/>
                <w:szCs w:val="20"/>
              </w:rPr>
              <w:br w:type="textWrapping"/>
            </w:r>
            <w:r>
              <w:rPr>
                <w:rFonts w:hint="eastAsia" w:ascii="宋体" w:hAnsi="宋体" w:cs="宋体"/>
                <w:bCs/>
                <w:sz w:val="20"/>
                <w:szCs w:val="20"/>
              </w:rPr>
              <w:t>c.起球性：2000次、4-5级</w:t>
            </w:r>
            <w:r>
              <w:rPr>
                <w:rFonts w:hint="eastAsia" w:ascii="宋体" w:hAnsi="宋体" w:cs="宋体"/>
                <w:bCs/>
                <w:sz w:val="20"/>
                <w:szCs w:val="20"/>
              </w:rPr>
              <w:br w:type="textWrapping"/>
            </w:r>
            <w:r>
              <w:rPr>
                <w:rFonts w:hint="eastAsia" w:ascii="宋体" w:hAnsi="宋体" w:cs="宋体"/>
                <w:bCs/>
                <w:sz w:val="20"/>
                <w:szCs w:val="20"/>
              </w:rPr>
              <w:t>d.PH值 4.0-7.5</w:t>
            </w:r>
            <w:r>
              <w:rPr>
                <w:rFonts w:hint="eastAsia" w:ascii="宋体" w:hAnsi="宋体" w:cs="宋体"/>
                <w:bCs/>
                <w:sz w:val="20"/>
                <w:szCs w:val="20"/>
              </w:rPr>
              <w:br w:type="textWrapping"/>
            </w:r>
            <w:r>
              <w:rPr>
                <w:rFonts w:hint="eastAsia" w:ascii="宋体" w:hAnsi="宋体" w:cs="宋体"/>
                <w:bCs/>
                <w:sz w:val="20"/>
                <w:szCs w:val="20"/>
              </w:rPr>
              <w:t>e.环保:甲醛含量﹤20mg/kg</w:t>
            </w:r>
            <w:r>
              <w:rPr>
                <w:rFonts w:hint="eastAsia" w:ascii="宋体" w:hAnsi="宋体" w:cs="宋体"/>
                <w:bCs/>
                <w:sz w:val="20"/>
                <w:szCs w:val="20"/>
              </w:rPr>
              <w:br w:type="textWrapping"/>
            </w:r>
            <w:r>
              <w:rPr>
                <w:rFonts w:hint="eastAsia" w:ascii="宋体" w:hAnsi="宋体" w:cs="宋体"/>
                <w:bCs/>
                <w:sz w:val="20"/>
                <w:szCs w:val="20"/>
              </w:rPr>
              <w:t>f.弹子顶破强力＞1500N</w:t>
            </w:r>
            <w:r>
              <w:rPr>
                <w:rFonts w:hint="eastAsia" w:ascii="宋体" w:hAnsi="宋体" w:cs="宋体"/>
                <w:bCs/>
                <w:sz w:val="20"/>
                <w:szCs w:val="20"/>
              </w:rPr>
              <w:br w:type="textWrapping"/>
            </w:r>
            <w:r>
              <w:rPr>
                <w:rFonts w:hint="eastAsia" w:ascii="宋体" w:hAnsi="宋体" w:cs="宋体"/>
                <w:bCs/>
                <w:sz w:val="20"/>
                <w:szCs w:val="20"/>
              </w:rPr>
              <w:t>g.耐磨性:平磨＞50000次</w:t>
            </w:r>
            <w:r>
              <w:rPr>
                <w:rFonts w:hint="eastAsia" w:ascii="宋体" w:hAnsi="宋体" w:cs="宋体"/>
                <w:bCs/>
                <w:sz w:val="20"/>
                <w:szCs w:val="20"/>
              </w:rPr>
              <w:br w:type="textWrapping"/>
            </w:r>
            <w:r>
              <w:rPr>
                <w:rFonts w:hint="eastAsia" w:ascii="宋体" w:hAnsi="宋体" w:cs="宋体"/>
                <w:bCs/>
                <w:sz w:val="20"/>
                <w:szCs w:val="20"/>
              </w:rPr>
              <w:t>h.比流阻Rs=44Pa•s/m，流阻率r=44000Pa•s/㎡</w:t>
            </w:r>
            <w:r>
              <w:rPr>
                <w:rFonts w:hint="eastAsia" w:ascii="宋体" w:hAnsi="宋体" w:cs="宋体"/>
                <w:bCs/>
                <w:sz w:val="20"/>
                <w:szCs w:val="20"/>
              </w:rPr>
              <w:br w:type="textWrapping"/>
            </w:r>
            <w:r>
              <w:rPr>
                <w:rFonts w:hint="eastAsia" w:ascii="宋体" w:hAnsi="宋体" w:cs="宋体"/>
                <w:bCs/>
                <w:sz w:val="20"/>
                <w:szCs w:val="20"/>
              </w:rPr>
              <w:t>i.透湿性＞2500g/（㎡.d）</w:t>
            </w:r>
            <w:r>
              <w:rPr>
                <w:rFonts w:hint="eastAsia" w:ascii="宋体" w:hAnsi="宋体" w:cs="宋体"/>
                <w:bCs/>
                <w:sz w:val="20"/>
                <w:szCs w:val="20"/>
              </w:rPr>
              <w:br w:type="textWrapping"/>
            </w:r>
            <w:r>
              <w:rPr>
                <w:rFonts w:hint="eastAsia" w:ascii="宋体" w:hAnsi="宋体" w:cs="宋体"/>
                <w:bCs/>
                <w:sz w:val="20"/>
                <w:szCs w:val="20"/>
              </w:rPr>
              <w:t>7、书写板利用独特的扶手脚外侧旋转式90°结构，扶手面、写字板选用进口橡木+ABS材质材质合成，写字板托盘选用优质铝合金一次压铸成型，具有单向转动、拉出、展开时用一个很小动作即可一气合成，安全撤离快速、使用方便、无噪音等。书写板规格：235*200*10mm（长宽±5mm），扶手面盖340*50*20mm.外喷聚酯环保漆。</w:t>
            </w:r>
            <w:r>
              <w:rPr>
                <w:rFonts w:hint="eastAsia" w:ascii="宋体" w:hAnsi="宋体" w:cs="宋体"/>
                <w:bCs/>
                <w:sz w:val="20"/>
                <w:szCs w:val="20"/>
              </w:rPr>
              <w:br w:type="textWrapping"/>
            </w:r>
            <w:r>
              <w:rPr>
                <w:rFonts w:hint="eastAsia" w:ascii="宋体" w:hAnsi="宋体" w:cs="宋体"/>
                <w:bCs/>
                <w:sz w:val="20"/>
                <w:szCs w:val="20"/>
              </w:rPr>
              <w:t>8、椅椅脚架选用优质环保铝合金材质经模具一次性成型，表面经打磨抛光、电泳、抛光处理，椅脚架长420±5mmmm、宽70±2mm、高度630±5mm、宽70±2mm、脚板长390±2mm、壁厚最薄≥4.0mm整个椅脚架由一个内锐角三角形组成分别长120mm、510mm、550mm；</w:t>
            </w:r>
            <w:r>
              <w:rPr>
                <w:rFonts w:hint="eastAsia" w:ascii="宋体" w:hAnsi="宋体" w:cs="宋体"/>
                <w:bCs/>
                <w:sz w:val="20"/>
                <w:szCs w:val="20"/>
              </w:rPr>
              <w:br w:type="textWrapping"/>
            </w:r>
            <w:r>
              <w:rPr>
                <w:rFonts w:hint="eastAsia" w:ascii="宋体" w:hAnsi="宋体" w:cs="宋体"/>
                <w:bCs/>
                <w:sz w:val="20"/>
                <w:szCs w:val="20"/>
              </w:rPr>
              <w:t>9、扶手脚架侧板装饰面采用“子母”链接扣式，材料选用优质环保聚丙烯经注塑模具一次成型其长度505*115mm+扪布。</w:t>
            </w:r>
            <w:r>
              <w:rPr>
                <w:rFonts w:hint="eastAsia" w:ascii="宋体" w:hAnsi="宋体" w:cs="宋体"/>
                <w:bCs/>
                <w:sz w:val="20"/>
                <w:szCs w:val="20"/>
              </w:rPr>
              <w:br w:type="textWrapping"/>
            </w:r>
            <w:r>
              <w:rPr>
                <w:rFonts w:hint="eastAsia" w:ascii="宋体" w:hAnsi="宋体" w:cs="宋体"/>
                <w:bCs/>
                <w:sz w:val="20"/>
                <w:szCs w:val="20"/>
              </w:rPr>
              <w:t>椅座弃用市场传统木框钉架工艺启用新型铁框工艺（座外板与座海绵组装采用正侧、后侧隐藏型固定，即座外板正面无任何螺丝）：选用优质钢板厚度不低于1.5mm经模具冲压焊接成型，内置高密度夹板打底。</w:t>
            </w:r>
            <w:r>
              <w:rPr>
                <w:rFonts w:hint="eastAsia" w:ascii="宋体" w:hAnsi="宋体" w:cs="宋体"/>
                <w:bCs/>
                <w:sz w:val="20"/>
                <w:szCs w:val="20"/>
              </w:rPr>
              <w:br w:type="textWrapping"/>
            </w:r>
            <w:r>
              <w:rPr>
                <w:rFonts w:hint="eastAsia" w:ascii="宋体" w:hAnsi="宋体" w:cs="宋体"/>
                <w:bCs/>
                <w:sz w:val="20"/>
                <w:szCs w:val="20"/>
              </w:rPr>
              <w:t>10、座包定位：座包回位点与座包受力点为座包左右两侧角码与座包链接的“7”角码，从而达到椅座与椅脚二合一效果。</w:t>
            </w:r>
            <w:r>
              <w:rPr>
                <w:rFonts w:hint="eastAsia" w:ascii="宋体" w:hAnsi="宋体" w:cs="宋体"/>
                <w:bCs/>
                <w:sz w:val="20"/>
                <w:szCs w:val="20"/>
              </w:rPr>
              <w:br w:type="textWrapping"/>
            </w:r>
            <w:r>
              <w:rPr>
                <w:rFonts w:hint="eastAsia" w:ascii="宋体" w:hAnsi="宋体" w:cs="宋体"/>
                <w:bCs/>
                <w:sz w:val="20"/>
                <w:szCs w:val="20"/>
              </w:rPr>
              <w:t>11、椅座回弹选用无声回复结构。</w:t>
            </w:r>
            <w:r>
              <w:rPr>
                <w:rFonts w:hint="eastAsia" w:ascii="宋体" w:hAnsi="宋体" w:cs="宋体"/>
                <w:bCs/>
                <w:sz w:val="20"/>
                <w:szCs w:val="20"/>
              </w:rPr>
              <w:br w:type="textWrapping"/>
            </w:r>
            <w:r>
              <w:rPr>
                <w:rFonts w:hint="eastAsia" w:ascii="宋体" w:hAnsi="宋体" w:cs="宋体"/>
                <w:bCs/>
                <w:sz w:val="20"/>
                <w:szCs w:val="20"/>
              </w:rPr>
              <w:t xml:space="preserve">12、颜色：定制前提供方案供学校选择。   </w:t>
            </w:r>
            <w:r>
              <w:rPr>
                <w:rFonts w:hint="eastAsia" w:ascii="宋体" w:hAnsi="宋体" w:cs="宋体"/>
                <w:bCs/>
                <w:sz w:val="20"/>
                <w:szCs w:val="20"/>
              </w:rPr>
              <w:br w:type="textWrapping"/>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380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304000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前排条桌</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1.桌子规格：400mm（宽）×760mm（高）（±5mm），长度依前排座椅位数定制。</w:t>
            </w:r>
            <w:r>
              <w:rPr>
                <w:rFonts w:hint="eastAsia" w:ascii="宋体" w:hAnsi="宋体" w:cs="宋体"/>
                <w:bCs/>
                <w:sz w:val="20"/>
                <w:szCs w:val="20"/>
              </w:rPr>
              <w:br w:type="textWrapping"/>
            </w:r>
            <w:r>
              <w:rPr>
                <w:rFonts w:hint="eastAsia" w:ascii="宋体" w:hAnsi="宋体" w:cs="宋体"/>
                <w:bCs/>
                <w:sz w:val="20"/>
                <w:szCs w:val="20"/>
              </w:rPr>
              <w:t xml:space="preserve">2.基材：采用优质E1级环保中密度纤维板,经防潮、防虫、防腐处理，抗弯力强，不易变形；甲醛含量≤0.124mg/m³，密度750㎏/m3，吸水厚度膨胀率1.3%/；均进行实木封边处理，封边严密、平整、无脱胶、表面无胶渍；采用热压工艺处理，薄木和其它材料覆面拼贴严密、平整、无脱胶、鼓泡、无裂纹、压痕和划伤；倒棱、圆角、圆线均匀一致，结合牢固严密；                                                                                3.面材：表面贴合精选0.6m胡桃木皮，含水率低于0.9%,采用优质胡桃木实木封边，封边严密、平整；                                           </w:t>
            </w:r>
            <w:r>
              <w:rPr>
                <w:rFonts w:hint="eastAsia" w:ascii="宋体" w:hAnsi="宋体" w:cs="宋体"/>
                <w:bCs/>
                <w:sz w:val="20"/>
                <w:szCs w:val="20"/>
              </w:rPr>
              <w:br w:type="textWrapping"/>
            </w:r>
            <w:r>
              <w:rPr>
                <w:rFonts w:hint="eastAsia" w:ascii="宋体" w:hAnsi="宋体" w:cs="宋体"/>
                <w:bCs/>
                <w:sz w:val="20"/>
                <w:szCs w:val="20"/>
              </w:rPr>
              <w:t>4.油漆：采用环保聚脂漆，经过五底三面油漆工序，表面硬度达H级，木纹纹理清晰，无发白、流挂及明显划伤，色泽均匀、光滑耐用，达到国标环保标准。                                                                                                                                                                                               5.粘合剂：采用优质品牌胶粘剂（白乳胶）。，胶粘剂（白乳胶）中的有害物质限量必须符合国家标准GB 18583-2008《室内装饰装修材料 胶粘剂中有害物质限量》（水基型聚乙酸乙烯酯胶粘剂）的要求。其中游离甲醛≤1.0g/kg；苯≤0.20g/kg；甲苯+二甲苯≤10g/kg；总挥发性有机物≤110g/L。</w:t>
            </w:r>
            <w:r>
              <w:rPr>
                <w:rFonts w:hint="eastAsia" w:ascii="宋体" w:hAnsi="宋体" w:cs="宋体"/>
                <w:bCs/>
                <w:sz w:val="20"/>
                <w:szCs w:val="20"/>
              </w:rPr>
              <w:br w:type="textWrapping"/>
            </w:r>
            <w:r>
              <w:rPr>
                <w:rFonts w:hint="eastAsia" w:ascii="宋体" w:hAnsi="宋体" w:cs="宋体"/>
                <w:bCs/>
                <w:sz w:val="20"/>
                <w:szCs w:val="20"/>
              </w:rPr>
              <w:t>6.颜色：定制前提供方案供学校选择。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位</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发言台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规格：约850W-650D-1150H，采用优质胡桃木皮饰面厚度约0.6mm，封边采用胡桃木。</w:t>
            </w:r>
            <w:r>
              <w:rPr>
                <w:rFonts w:hint="eastAsia" w:ascii="宋体" w:hAnsi="宋体" w:cs="宋体"/>
                <w:bCs/>
                <w:sz w:val="20"/>
                <w:szCs w:val="20"/>
              </w:rPr>
              <w:br w:type="textWrapping"/>
            </w:r>
            <w:r>
              <w:rPr>
                <w:rFonts w:hint="eastAsia" w:ascii="宋体" w:hAnsi="宋体" w:cs="宋体"/>
                <w:bCs/>
                <w:sz w:val="20"/>
                <w:szCs w:val="20"/>
              </w:rPr>
              <w:t>基材：采用高密度板，握钉力强，经烤房高温烘干消毒，板材烘干后不易变形，再经防虫、防腐等化学处理，甲醛释放量达E1标准。</w:t>
            </w:r>
            <w:r>
              <w:rPr>
                <w:rFonts w:hint="eastAsia" w:ascii="宋体" w:hAnsi="宋体" w:cs="宋体"/>
                <w:bCs/>
                <w:sz w:val="20"/>
                <w:szCs w:val="20"/>
              </w:rPr>
              <w:br w:type="textWrapping"/>
            </w:r>
            <w:r>
              <w:rPr>
                <w:rFonts w:hint="eastAsia" w:ascii="宋体" w:hAnsi="宋体" w:cs="宋体"/>
                <w:bCs/>
                <w:sz w:val="20"/>
                <w:szCs w:val="20"/>
              </w:rPr>
              <w:t>油漆：面漆采用PU聚酯漆，底漆采用PE不饱和树脂漆，嘉宝莉漆符合国家环保要求。</w:t>
            </w:r>
            <w:r>
              <w:rPr>
                <w:rFonts w:hint="eastAsia" w:ascii="宋体" w:hAnsi="宋体" w:cs="宋体"/>
                <w:bCs/>
                <w:sz w:val="20"/>
                <w:szCs w:val="20"/>
              </w:rPr>
              <w:br w:type="textWrapping"/>
            </w:r>
            <w:r>
              <w:rPr>
                <w:rFonts w:hint="eastAsia" w:ascii="宋体" w:hAnsi="宋体" w:cs="宋体"/>
                <w:bCs/>
                <w:sz w:val="20"/>
                <w:szCs w:val="20"/>
              </w:rPr>
              <w:t>优质五金配件</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主席台</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规格：2100*600*750mm</w:t>
            </w:r>
            <w:r>
              <w:rPr>
                <w:rFonts w:hint="eastAsia" w:ascii="宋体" w:hAnsi="宋体" w:cs="宋体"/>
                <w:bCs/>
                <w:sz w:val="20"/>
                <w:szCs w:val="20"/>
              </w:rPr>
              <w:br w:type="textWrapping"/>
            </w:r>
            <w:r>
              <w:rPr>
                <w:rFonts w:hint="eastAsia" w:ascii="宋体" w:hAnsi="宋体" w:cs="宋体"/>
                <w:bCs/>
                <w:sz w:val="20"/>
                <w:szCs w:val="20"/>
              </w:rPr>
              <w:t>基材：采用E1级环保中、高密度纤维板,甲醛含量≤1.5mg/L，其含水率〈12%；</w:t>
            </w:r>
            <w:r>
              <w:rPr>
                <w:rFonts w:hint="eastAsia" w:ascii="宋体" w:hAnsi="宋体" w:cs="宋体"/>
                <w:bCs/>
                <w:sz w:val="20"/>
                <w:szCs w:val="20"/>
              </w:rPr>
              <w:br w:type="textWrapping"/>
            </w:r>
            <w:r>
              <w:rPr>
                <w:rFonts w:hint="eastAsia" w:ascii="宋体" w:hAnsi="宋体" w:cs="宋体"/>
                <w:bCs/>
                <w:sz w:val="20"/>
                <w:szCs w:val="20"/>
              </w:rPr>
              <w:t>采用进口实木皮胡桃木皮饰面，厚度≥0.6mm，封边材采用与贴面相同的木材；</w:t>
            </w:r>
            <w:r>
              <w:rPr>
                <w:rFonts w:hint="eastAsia" w:ascii="宋体" w:hAnsi="宋体" w:cs="宋体"/>
                <w:bCs/>
                <w:sz w:val="20"/>
                <w:szCs w:val="20"/>
              </w:rPr>
              <w:br w:type="textWrapping"/>
            </w:r>
            <w:r>
              <w:rPr>
                <w:rFonts w:hint="eastAsia" w:ascii="宋体" w:hAnsi="宋体" w:cs="宋体"/>
                <w:bCs/>
                <w:sz w:val="20"/>
                <w:szCs w:val="20"/>
              </w:rPr>
              <w:t>油漆：采用德国“IDOPA（易涂宝）”高级聚脂哑光环保亮漆，附着力强，流平性高，涂层亮度均不退色，采用五底三面八次无灰油漆工艺喷涂，透明度高、耐磨、耐高温手感细腻，漆面硬度达3H以上，符合国标环保要求；</w:t>
            </w:r>
            <w:r>
              <w:rPr>
                <w:rFonts w:hint="eastAsia" w:ascii="宋体" w:hAnsi="宋体" w:cs="宋体"/>
                <w:bCs/>
                <w:sz w:val="20"/>
                <w:szCs w:val="20"/>
              </w:rPr>
              <w:br w:type="textWrapping"/>
            </w:r>
            <w:r>
              <w:rPr>
                <w:rFonts w:hint="eastAsia" w:ascii="宋体" w:hAnsi="宋体" w:cs="宋体"/>
                <w:bCs/>
                <w:sz w:val="20"/>
                <w:szCs w:val="20"/>
              </w:rPr>
              <w:t>五金配件：家具专用三节消音无声路轨，锁具和铰链。</w:t>
            </w:r>
            <w:r>
              <w:rPr>
                <w:rFonts w:hint="eastAsia" w:ascii="宋体" w:hAnsi="宋体" w:cs="宋体"/>
                <w:bCs/>
                <w:sz w:val="20"/>
                <w:szCs w:val="20"/>
              </w:rPr>
              <w:br w:type="textWrapping"/>
            </w:r>
            <w:r>
              <w:rPr>
                <w:rFonts w:hint="eastAsia" w:ascii="宋体" w:hAnsi="宋体" w:cs="宋体"/>
                <w:bCs/>
                <w:sz w:val="20"/>
                <w:szCs w:val="20"/>
              </w:rPr>
              <w:t>颜色：定制前提供方案供学校选择。</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4800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主席椅</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椅架选用优质橡胶木实木，颜色由学校选择，座面及靠背采用环保西皮饰面，填充低燃性海绵，坐感舒适，结构稳固。油漆采用德国“IDOPA（易涂宝）”高级聚脂哑光环保亮漆或同等品质环保漆，附着力强，流平性高，涂层亮度均不退色，采用五底三面八次无灰油漆工艺喷涂，透明度高、耐磨、耐高温手感细腻，漆面硬度达H以上，符合国标环保要求；五金配件：家具专用三节消音无声路轨，锁具和铰链。</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张</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460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4140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320" w:type="pct"/>
            <w:gridSpan w:val="3"/>
            <w:noWrap/>
            <w:vAlign w:val="center"/>
          </w:tcPr>
          <w:p>
            <w:pPr>
              <w:spacing w:line="400" w:lineRule="exact"/>
              <w:rPr>
                <w:rFonts w:ascii="宋体" w:hAnsi="宋体" w:cs="宋体"/>
                <w:bCs/>
                <w:sz w:val="20"/>
                <w:szCs w:val="20"/>
              </w:rPr>
            </w:pPr>
            <w:r>
              <w:rPr>
                <w:rFonts w:hint="eastAsia" w:ascii="宋体" w:hAnsi="宋体" w:cs="宋体"/>
                <w:bCs/>
                <w:sz w:val="20"/>
                <w:szCs w:val="20"/>
              </w:rPr>
              <w:t>五、装修</w:t>
            </w: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c>
          <w:tcPr>
            <w:tcW w:w="420" w:type="pct"/>
            <w:noWrap/>
            <w:vAlign w:val="center"/>
          </w:tcPr>
          <w:p>
            <w:pPr>
              <w:spacing w:line="400" w:lineRule="exact"/>
              <w:jc w:val="center"/>
              <w:rPr>
                <w:rFonts w:ascii="宋体" w:hAnsi="宋体" w:cs="宋体"/>
                <w:bCs/>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一、矿棉吸音吊顶板（约287平方米）</w:t>
            </w:r>
            <w:r>
              <w:rPr>
                <w:rFonts w:hint="eastAsia" w:ascii="宋体" w:hAnsi="宋体" w:cs="宋体"/>
                <w:bCs/>
                <w:sz w:val="20"/>
                <w:szCs w:val="20"/>
              </w:rPr>
              <w:br w:type="textWrapping"/>
            </w:r>
            <w:r>
              <w:rPr>
                <w:rFonts w:hint="eastAsia" w:ascii="宋体" w:hAnsi="宋体" w:cs="宋体"/>
                <w:bCs/>
                <w:sz w:val="20"/>
                <w:szCs w:val="20"/>
              </w:rPr>
              <w:t>1.材质:A级防火矿棉板</w:t>
            </w:r>
            <w:r>
              <w:rPr>
                <w:rFonts w:hint="eastAsia" w:ascii="宋体" w:hAnsi="宋体" w:cs="宋体"/>
                <w:bCs/>
                <w:sz w:val="20"/>
                <w:szCs w:val="20"/>
              </w:rPr>
              <w:br w:type="textWrapping"/>
            </w:r>
            <w:r>
              <w:rPr>
                <w:rFonts w:hint="eastAsia" w:ascii="宋体" w:hAnsi="宋体" w:cs="宋体"/>
                <w:bCs/>
                <w:sz w:val="20"/>
                <w:szCs w:val="20"/>
              </w:rPr>
              <w:t>2.厚度≥15mm,密度≥380kg/m³</w:t>
            </w:r>
            <w:r>
              <w:rPr>
                <w:rFonts w:hint="eastAsia" w:ascii="宋体" w:hAnsi="宋体" w:cs="宋体"/>
                <w:bCs/>
                <w:sz w:val="20"/>
                <w:szCs w:val="20"/>
              </w:rPr>
              <w:br w:type="textWrapping"/>
            </w:r>
            <w:r>
              <w:rPr>
                <w:rFonts w:hint="eastAsia" w:ascii="宋体" w:hAnsi="宋体" w:cs="宋体"/>
                <w:bCs/>
                <w:sz w:val="20"/>
                <w:szCs w:val="20"/>
              </w:rPr>
              <w:t>3.吸音系数NRC≥0.85</w:t>
            </w:r>
            <w:r>
              <w:rPr>
                <w:rFonts w:hint="eastAsia" w:ascii="宋体" w:hAnsi="宋体" w:cs="宋体"/>
                <w:bCs/>
                <w:sz w:val="20"/>
                <w:szCs w:val="20"/>
              </w:rPr>
              <w:br w:type="textWrapping"/>
            </w:r>
            <w:r>
              <w:rPr>
                <w:rFonts w:hint="eastAsia" w:ascii="宋体" w:hAnsi="宋体" w:cs="宋体"/>
                <w:bCs/>
                <w:sz w:val="20"/>
                <w:szCs w:val="20"/>
              </w:rPr>
              <w:t>4.白色哑光表面,配套轻钢龙骨系统，龙骨荷载≥15kg/m²，预留舞台灯光等设备检修口</w:t>
            </w:r>
            <w:r>
              <w:rPr>
                <w:rFonts w:hint="eastAsia" w:ascii="宋体" w:hAnsi="宋体" w:cs="宋体"/>
                <w:bCs/>
                <w:sz w:val="20"/>
                <w:szCs w:val="20"/>
              </w:rPr>
              <w:br w:type="textWrapping"/>
            </w:r>
            <w:r>
              <w:rPr>
                <w:rFonts w:hint="eastAsia" w:ascii="宋体" w:hAnsi="宋体" w:cs="宋体"/>
                <w:bCs/>
                <w:sz w:val="20"/>
                <w:szCs w:val="20"/>
              </w:rPr>
              <w:t>5.耐潮防霉(教室适用)</w:t>
            </w:r>
            <w:r>
              <w:rPr>
                <w:rFonts w:hint="eastAsia" w:ascii="宋体" w:hAnsi="宋体" w:cs="宋体"/>
                <w:bCs/>
                <w:sz w:val="20"/>
                <w:szCs w:val="20"/>
              </w:rPr>
              <w:br w:type="textWrapping"/>
            </w:r>
            <w:r>
              <w:rPr>
                <w:rFonts w:hint="eastAsia" w:ascii="宋体" w:hAnsi="宋体" w:cs="宋体"/>
                <w:bCs/>
                <w:sz w:val="20"/>
                <w:szCs w:val="20"/>
              </w:rPr>
              <w:t>6.完成面下吊高度≤300mm，保证梁下净高≥3.75米</w:t>
            </w:r>
            <w:r>
              <w:rPr>
                <w:rFonts w:hint="eastAsia" w:ascii="宋体" w:hAnsi="宋体" w:cs="宋体"/>
                <w:bCs/>
                <w:sz w:val="20"/>
                <w:szCs w:val="20"/>
              </w:rPr>
              <w:br w:type="textWrapping"/>
            </w:r>
            <w:r>
              <w:rPr>
                <w:rFonts w:hint="eastAsia" w:ascii="宋体" w:hAnsi="宋体" w:cs="宋体"/>
                <w:bCs/>
                <w:sz w:val="20"/>
                <w:szCs w:val="20"/>
              </w:rPr>
              <w:t>7.吊顶上方满铺32kg/m³离心玻璃棉毡（厚度50mm）</w:t>
            </w:r>
            <w:r>
              <w:rPr>
                <w:rFonts w:hint="eastAsia" w:ascii="宋体" w:hAnsi="宋体" w:cs="宋体"/>
                <w:bCs/>
                <w:sz w:val="20"/>
                <w:szCs w:val="20"/>
              </w:rPr>
              <w:br w:type="textWrapping"/>
            </w:r>
            <w:r>
              <w:rPr>
                <w:rFonts w:hint="eastAsia" w:ascii="宋体" w:hAnsi="宋体" w:cs="宋体"/>
                <w:bCs/>
                <w:sz w:val="20"/>
                <w:szCs w:val="20"/>
              </w:rPr>
              <w:t>8.质保期5年</w:t>
            </w:r>
            <w:r>
              <w:rPr>
                <w:rFonts w:hint="eastAsia" w:ascii="宋体" w:hAnsi="宋体" w:cs="宋体"/>
                <w:bCs/>
                <w:sz w:val="20"/>
                <w:szCs w:val="20"/>
              </w:rPr>
              <w:br w:type="textWrapping"/>
            </w:r>
            <w:r>
              <w:rPr>
                <w:rFonts w:hint="eastAsia" w:ascii="宋体" w:hAnsi="宋体" w:cs="宋体"/>
                <w:bCs/>
                <w:sz w:val="20"/>
                <w:szCs w:val="20"/>
              </w:rPr>
              <w:t>二、墙面吸音板（约472平方米）</w:t>
            </w:r>
            <w:r>
              <w:rPr>
                <w:rFonts w:hint="eastAsia" w:ascii="宋体" w:hAnsi="宋体" w:cs="宋体"/>
                <w:bCs/>
                <w:sz w:val="20"/>
                <w:szCs w:val="20"/>
              </w:rPr>
              <w:br w:type="textWrapping"/>
            </w:r>
            <w:r>
              <w:rPr>
                <w:rFonts w:hint="eastAsia" w:ascii="宋体" w:hAnsi="宋体" w:cs="宋体"/>
                <w:bCs/>
                <w:sz w:val="20"/>
                <w:szCs w:val="20"/>
              </w:rPr>
              <w:t xml:space="preserve">1.基材：高密度玻纤增强石膏板    </w:t>
            </w:r>
            <w:r>
              <w:rPr>
                <w:rFonts w:hint="eastAsia" w:ascii="宋体" w:hAnsi="宋体" w:cs="宋体"/>
                <w:bCs/>
                <w:sz w:val="20"/>
                <w:szCs w:val="20"/>
              </w:rPr>
              <w:br w:type="textWrapping"/>
            </w:r>
            <w:r>
              <w:rPr>
                <w:rFonts w:hint="eastAsia" w:ascii="宋体" w:hAnsi="宋体" w:cs="宋体"/>
                <w:bCs/>
                <w:sz w:val="20"/>
                <w:szCs w:val="20"/>
              </w:rPr>
              <w:t xml:space="preserve">2.表面复合聚酯纤维吸音层（NRC≥0.90）    </w:t>
            </w:r>
            <w:r>
              <w:rPr>
                <w:rFonts w:hint="eastAsia" w:ascii="宋体" w:hAnsi="宋体" w:cs="宋体"/>
                <w:bCs/>
                <w:sz w:val="20"/>
                <w:szCs w:val="20"/>
              </w:rPr>
              <w:br w:type="textWrapping"/>
            </w:r>
            <w:r>
              <w:rPr>
                <w:rFonts w:hint="eastAsia" w:ascii="宋体" w:hAnsi="宋体" w:cs="宋体"/>
                <w:bCs/>
                <w:sz w:val="20"/>
                <w:szCs w:val="20"/>
              </w:rPr>
              <w:t xml:space="preserve">3.厚度25mm，防火等级A1    </w:t>
            </w:r>
            <w:r>
              <w:rPr>
                <w:rFonts w:hint="eastAsia" w:ascii="宋体" w:hAnsi="宋体" w:cs="宋体"/>
                <w:bCs/>
                <w:sz w:val="20"/>
                <w:szCs w:val="20"/>
              </w:rPr>
              <w:br w:type="textWrapping"/>
            </w:r>
            <w:r>
              <w:rPr>
                <w:rFonts w:hint="eastAsia" w:ascii="宋体" w:hAnsi="宋体" w:cs="宋体"/>
                <w:bCs/>
                <w:sz w:val="20"/>
                <w:szCs w:val="20"/>
              </w:rPr>
              <w:t>4.安装方式：无缝拼接，暗装龙骨固定</w:t>
            </w:r>
            <w:r>
              <w:rPr>
                <w:rFonts w:hint="eastAsia" w:ascii="宋体" w:hAnsi="宋体" w:cs="宋体"/>
                <w:bCs/>
                <w:sz w:val="20"/>
                <w:szCs w:val="20"/>
              </w:rPr>
              <w:br w:type="textWrapping"/>
            </w:r>
            <w:r>
              <w:rPr>
                <w:rFonts w:hint="eastAsia" w:ascii="宋体" w:hAnsi="宋体" w:cs="宋体"/>
                <w:bCs/>
                <w:sz w:val="20"/>
                <w:szCs w:val="20"/>
              </w:rPr>
              <w:t>5.安装位置：两侧长墙面（约24.3m×2）、讲台背景墙、后墙。其中显示屏两侧门洞上方安装悬浮式吸音体（避开门体），后墙增加扩散体构造（QRD设计，扩散频率500-5kHz）</w:t>
            </w:r>
            <w:r>
              <w:rPr>
                <w:rFonts w:hint="eastAsia" w:ascii="宋体" w:hAnsi="宋体" w:cs="宋体"/>
                <w:bCs/>
                <w:sz w:val="20"/>
                <w:szCs w:val="20"/>
              </w:rPr>
              <w:br w:type="textWrapping"/>
            </w:r>
            <w:r>
              <w:rPr>
                <w:rFonts w:hint="eastAsia" w:ascii="宋体" w:hAnsi="宋体" w:cs="宋体"/>
                <w:bCs/>
                <w:sz w:val="20"/>
                <w:szCs w:val="20"/>
              </w:rPr>
              <w:t>6.采用50mm空腔龙骨安装，空腔内填充吸音棉</w:t>
            </w:r>
            <w:r>
              <w:rPr>
                <w:rFonts w:hint="eastAsia" w:ascii="宋体" w:hAnsi="宋体" w:cs="宋体"/>
                <w:bCs/>
                <w:sz w:val="20"/>
                <w:szCs w:val="20"/>
              </w:rPr>
              <w:br w:type="textWrapping"/>
            </w:r>
            <w:r>
              <w:rPr>
                <w:rFonts w:hint="eastAsia" w:ascii="宋体" w:hAnsi="宋体" w:cs="宋体"/>
                <w:bCs/>
                <w:sz w:val="20"/>
                <w:szCs w:val="20"/>
              </w:rPr>
              <w:t xml:space="preserve">7.质保期5年    </w:t>
            </w:r>
            <w:r>
              <w:rPr>
                <w:rFonts w:hint="eastAsia" w:ascii="宋体" w:hAnsi="宋体" w:cs="宋体"/>
                <w:bCs/>
                <w:sz w:val="20"/>
                <w:szCs w:val="20"/>
              </w:rPr>
              <w:br w:type="textWrapping"/>
            </w:r>
            <w:r>
              <w:rPr>
                <w:rFonts w:hint="eastAsia" w:ascii="宋体" w:hAnsi="宋体" w:cs="宋体"/>
                <w:bCs/>
                <w:sz w:val="20"/>
                <w:szCs w:val="20"/>
              </w:rPr>
              <w:t>三、电动遮光窗帘</w:t>
            </w:r>
            <w:r>
              <w:rPr>
                <w:rFonts w:hint="eastAsia" w:ascii="宋体" w:hAnsi="宋体" w:cs="宋体"/>
                <w:bCs/>
                <w:sz w:val="20"/>
                <w:szCs w:val="20"/>
              </w:rPr>
              <w:br w:type="textWrapping"/>
            </w:r>
            <w:r>
              <w:rPr>
                <w:rFonts w:hint="eastAsia" w:ascii="宋体" w:hAnsi="宋体" w:cs="宋体"/>
                <w:bCs/>
                <w:sz w:val="20"/>
                <w:szCs w:val="20"/>
              </w:rPr>
              <w:t xml:space="preserve">1.面料：三层遮光复合布（遮光率≥99.5%）    </w:t>
            </w:r>
            <w:r>
              <w:rPr>
                <w:rFonts w:hint="eastAsia" w:ascii="宋体" w:hAnsi="宋体" w:cs="宋体"/>
                <w:bCs/>
                <w:sz w:val="20"/>
                <w:szCs w:val="20"/>
              </w:rPr>
              <w:br w:type="textWrapping"/>
            </w:r>
            <w:r>
              <w:rPr>
                <w:rFonts w:hint="eastAsia" w:ascii="宋体" w:hAnsi="宋体" w:cs="宋体"/>
                <w:bCs/>
                <w:sz w:val="20"/>
                <w:szCs w:val="20"/>
              </w:rPr>
              <w:t xml:space="preserve">2.颜色：深灰色（抗紫外线）    </w:t>
            </w:r>
            <w:r>
              <w:rPr>
                <w:rFonts w:hint="eastAsia" w:ascii="宋体" w:hAnsi="宋体" w:cs="宋体"/>
                <w:bCs/>
                <w:sz w:val="20"/>
                <w:szCs w:val="20"/>
              </w:rPr>
              <w:br w:type="textWrapping"/>
            </w:r>
            <w:r>
              <w:rPr>
                <w:rFonts w:hint="eastAsia" w:ascii="宋体" w:hAnsi="宋体" w:cs="宋体"/>
                <w:bCs/>
                <w:sz w:val="20"/>
                <w:szCs w:val="20"/>
              </w:rPr>
              <w:t xml:space="preserve">3.电机：静音直流电机（噪音≤35dB）    </w:t>
            </w:r>
            <w:r>
              <w:rPr>
                <w:rFonts w:hint="eastAsia" w:ascii="宋体" w:hAnsi="宋体" w:cs="宋体"/>
                <w:bCs/>
                <w:sz w:val="20"/>
                <w:szCs w:val="20"/>
              </w:rPr>
              <w:br w:type="textWrapping"/>
            </w:r>
            <w:r>
              <w:rPr>
                <w:rFonts w:hint="eastAsia" w:ascii="宋体" w:hAnsi="宋体" w:cs="宋体"/>
                <w:bCs/>
                <w:sz w:val="20"/>
                <w:szCs w:val="20"/>
              </w:rPr>
              <w:t xml:space="preserve">4.轨道：高强度铝合金双轨道，直线度误差≤2mm/m，承重≥15kg/m    </w:t>
            </w:r>
            <w:r>
              <w:rPr>
                <w:rFonts w:hint="eastAsia" w:ascii="宋体" w:hAnsi="宋体" w:cs="宋体"/>
                <w:bCs/>
                <w:sz w:val="20"/>
                <w:szCs w:val="20"/>
              </w:rPr>
              <w:br w:type="textWrapping"/>
            </w:r>
            <w:r>
              <w:rPr>
                <w:rFonts w:hint="eastAsia" w:ascii="宋体" w:hAnsi="宋体" w:cs="宋体"/>
                <w:bCs/>
                <w:sz w:val="20"/>
                <w:szCs w:val="20"/>
              </w:rPr>
              <w:t>5.支持群控/分区控制</w:t>
            </w:r>
            <w:r>
              <w:rPr>
                <w:rFonts w:hint="eastAsia" w:ascii="宋体" w:hAnsi="宋体" w:cs="宋体"/>
                <w:bCs/>
                <w:sz w:val="20"/>
                <w:szCs w:val="20"/>
              </w:rPr>
              <w:br w:type="textWrapping"/>
            </w:r>
            <w:r>
              <w:rPr>
                <w:rFonts w:hint="eastAsia" w:ascii="宋体" w:hAnsi="宋体" w:cs="宋体"/>
                <w:bCs/>
                <w:sz w:val="20"/>
                <w:szCs w:val="20"/>
              </w:rPr>
              <w:t>6.配套智能中控系统，支持按键/遥控/定时控制</w:t>
            </w:r>
            <w:r>
              <w:rPr>
                <w:rFonts w:hint="eastAsia" w:ascii="宋体" w:hAnsi="宋体" w:cs="宋体"/>
                <w:bCs/>
                <w:sz w:val="20"/>
                <w:szCs w:val="20"/>
              </w:rPr>
              <w:br w:type="textWrapping"/>
            </w:r>
            <w:r>
              <w:rPr>
                <w:rFonts w:hint="eastAsia" w:ascii="宋体" w:hAnsi="宋体" w:cs="宋体"/>
                <w:bCs/>
                <w:sz w:val="20"/>
                <w:szCs w:val="20"/>
              </w:rPr>
              <w:t>7.电机需具备CE/CCC认证，断电时具备手动操作功能</w:t>
            </w:r>
            <w:r>
              <w:rPr>
                <w:rFonts w:hint="eastAsia" w:ascii="宋体" w:hAnsi="宋体" w:cs="宋体"/>
                <w:bCs/>
                <w:sz w:val="20"/>
                <w:szCs w:val="20"/>
              </w:rPr>
              <w:br w:type="textWrapping"/>
            </w:r>
            <w:r>
              <w:rPr>
                <w:rFonts w:hint="eastAsia" w:ascii="宋体" w:hAnsi="宋体" w:cs="宋体"/>
                <w:bCs/>
                <w:sz w:val="20"/>
                <w:szCs w:val="20"/>
              </w:rPr>
              <w:t xml:space="preserve">8.电机质保3年    </w:t>
            </w:r>
            <w:r>
              <w:rPr>
                <w:rFonts w:hint="eastAsia" w:ascii="宋体" w:hAnsi="宋体" w:cs="宋体"/>
                <w:bCs/>
                <w:sz w:val="20"/>
                <w:szCs w:val="20"/>
              </w:rPr>
              <w:br w:type="textWrapping"/>
            </w:r>
            <w:r>
              <w:rPr>
                <w:rFonts w:hint="eastAsia" w:ascii="宋体" w:hAnsi="宋体" w:cs="宋体"/>
                <w:bCs/>
                <w:sz w:val="20"/>
                <w:szCs w:val="20"/>
              </w:rPr>
              <w:t>四、吸音门改造</w:t>
            </w:r>
            <w:r>
              <w:rPr>
                <w:rFonts w:hint="eastAsia" w:ascii="宋体" w:hAnsi="宋体" w:cs="宋体"/>
                <w:bCs/>
                <w:sz w:val="20"/>
                <w:szCs w:val="20"/>
              </w:rPr>
              <w:br w:type="textWrapping"/>
            </w:r>
            <w:r>
              <w:rPr>
                <w:rFonts w:hint="eastAsia" w:ascii="宋体" w:hAnsi="宋体" w:cs="宋体"/>
                <w:bCs/>
                <w:sz w:val="20"/>
                <w:szCs w:val="20"/>
              </w:rPr>
              <w:t xml:space="preserve">1.在现有4扇门内侧加贴吸音层    </w:t>
            </w:r>
            <w:r>
              <w:rPr>
                <w:rFonts w:hint="eastAsia" w:ascii="宋体" w:hAnsi="宋体" w:cs="宋体"/>
                <w:bCs/>
                <w:sz w:val="20"/>
                <w:szCs w:val="20"/>
              </w:rPr>
              <w:br w:type="textWrapping"/>
            </w:r>
            <w:r>
              <w:rPr>
                <w:rFonts w:hint="eastAsia" w:ascii="宋体" w:hAnsi="宋体" w:cs="宋体"/>
                <w:bCs/>
                <w:sz w:val="20"/>
                <w:szCs w:val="20"/>
              </w:rPr>
              <w:t xml:space="preserve">2.材质：环保聚酯纤维板（厚度10mm，NRC≥0.80）    </w:t>
            </w:r>
            <w:r>
              <w:rPr>
                <w:rFonts w:hint="eastAsia" w:ascii="宋体" w:hAnsi="宋体" w:cs="宋体"/>
                <w:bCs/>
                <w:sz w:val="20"/>
                <w:szCs w:val="20"/>
              </w:rPr>
              <w:br w:type="textWrapping"/>
            </w:r>
            <w:r>
              <w:rPr>
                <w:rFonts w:hint="eastAsia" w:ascii="宋体" w:hAnsi="宋体" w:cs="宋体"/>
                <w:bCs/>
                <w:sz w:val="20"/>
                <w:szCs w:val="20"/>
              </w:rPr>
              <w:t xml:space="preserve">3.包边处理，与门体同色    </w:t>
            </w:r>
            <w:r>
              <w:rPr>
                <w:rFonts w:hint="eastAsia" w:ascii="宋体" w:hAnsi="宋体" w:cs="宋体"/>
                <w:bCs/>
                <w:sz w:val="20"/>
                <w:szCs w:val="20"/>
              </w:rPr>
              <w:br w:type="textWrapping"/>
            </w:r>
            <w:r>
              <w:rPr>
                <w:rFonts w:hint="eastAsia" w:ascii="宋体" w:hAnsi="宋体" w:cs="宋体"/>
                <w:bCs/>
                <w:sz w:val="20"/>
                <w:szCs w:val="20"/>
              </w:rPr>
              <w:t>五、特殊节点处理</w:t>
            </w:r>
            <w:r>
              <w:rPr>
                <w:rFonts w:hint="eastAsia" w:ascii="宋体" w:hAnsi="宋体" w:cs="宋体"/>
                <w:bCs/>
                <w:sz w:val="20"/>
                <w:szCs w:val="20"/>
              </w:rPr>
              <w:br w:type="textWrapping"/>
            </w:r>
            <w:r>
              <w:rPr>
                <w:rFonts w:hint="eastAsia" w:ascii="宋体" w:hAnsi="宋体" w:cs="宋体"/>
                <w:bCs/>
                <w:sz w:val="20"/>
                <w:szCs w:val="20"/>
              </w:rPr>
              <w:t xml:space="preserve">1.吊顶与墙面交接处安装吸音型铝合金收边条，并进行防开裂处理，收边条与吸音板同色系   </w:t>
            </w:r>
            <w:r>
              <w:rPr>
                <w:rFonts w:hint="eastAsia" w:ascii="宋体" w:hAnsi="宋体" w:cs="宋体"/>
                <w:bCs/>
                <w:sz w:val="20"/>
                <w:szCs w:val="20"/>
              </w:rPr>
              <w:br w:type="textWrapping"/>
            </w:r>
            <w:r>
              <w:rPr>
                <w:rFonts w:hint="eastAsia" w:ascii="宋体" w:hAnsi="宋体" w:cs="宋体"/>
                <w:bCs/>
                <w:sz w:val="20"/>
                <w:szCs w:val="20"/>
              </w:rPr>
              <w:t>2.所有穿墙管线孔洞采用防火隔音密封胶填充</w:t>
            </w:r>
            <w:r>
              <w:rPr>
                <w:rFonts w:hint="eastAsia" w:ascii="宋体" w:hAnsi="宋体" w:cs="宋体"/>
                <w:bCs/>
                <w:sz w:val="20"/>
                <w:szCs w:val="20"/>
              </w:rPr>
              <w:br w:type="textWrapping"/>
            </w:r>
            <w:r>
              <w:rPr>
                <w:rFonts w:hint="eastAsia" w:ascii="宋体" w:hAnsi="宋体" w:cs="宋体"/>
                <w:bCs/>
                <w:sz w:val="20"/>
                <w:szCs w:val="20"/>
              </w:rPr>
              <w:t>3.墙面阳角安装2.0mm厚铝合金护角条，窗间墙用标准吸音板满铺，抑制玻璃反射声</w:t>
            </w:r>
            <w:r>
              <w:rPr>
                <w:rFonts w:hint="eastAsia" w:ascii="宋体" w:hAnsi="宋体" w:cs="宋体"/>
                <w:bCs/>
                <w:sz w:val="20"/>
                <w:szCs w:val="20"/>
              </w:rPr>
              <w:br w:type="textWrapping"/>
            </w:r>
            <w:r>
              <w:rPr>
                <w:rFonts w:hint="eastAsia" w:ascii="宋体" w:hAnsi="宋体" w:cs="宋体"/>
                <w:bCs/>
                <w:sz w:val="20"/>
                <w:szCs w:val="20"/>
              </w:rPr>
              <w:t>4.吊顶开孔精确匹配舞台灯光等设备位置</w:t>
            </w:r>
            <w:r>
              <w:rPr>
                <w:rFonts w:hint="eastAsia" w:ascii="宋体" w:hAnsi="宋体" w:cs="宋体"/>
                <w:bCs/>
                <w:sz w:val="20"/>
                <w:szCs w:val="20"/>
              </w:rPr>
              <w:br w:type="textWrapping"/>
            </w:r>
            <w:r>
              <w:rPr>
                <w:rFonts w:hint="eastAsia" w:ascii="宋体" w:hAnsi="宋体" w:cs="宋体"/>
                <w:bCs/>
                <w:sz w:val="20"/>
                <w:szCs w:val="20"/>
              </w:rPr>
              <w:t xml:space="preserve">5.施工期间全覆盖现有座椅、设备，每日清场    </w:t>
            </w:r>
            <w:r>
              <w:rPr>
                <w:rFonts w:hint="eastAsia" w:ascii="宋体" w:hAnsi="宋体" w:cs="宋体"/>
                <w:bCs/>
                <w:sz w:val="20"/>
                <w:szCs w:val="20"/>
              </w:rPr>
              <w:br w:type="textWrapping"/>
            </w:r>
            <w:r>
              <w:rPr>
                <w:rFonts w:hint="eastAsia" w:ascii="宋体" w:hAnsi="宋体" w:cs="宋体"/>
                <w:bCs/>
                <w:sz w:val="20"/>
                <w:szCs w:val="20"/>
              </w:rPr>
              <w:t>六、其它说明</w:t>
            </w:r>
            <w:r>
              <w:rPr>
                <w:rFonts w:hint="eastAsia" w:ascii="宋体" w:hAnsi="宋体" w:cs="宋体"/>
                <w:bCs/>
                <w:sz w:val="20"/>
                <w:szCs w:val="20"/>
              </w:rPr>
              <w:br w:type="textWrapping"/>
            </w:r>
            <w:r>
              <w:rPr>
                <w:rFonts w:hint="eastAsia" w:ascii="宋体" w:hAnsi="宋体" w:cs="宋体"/>
                <w:bCs/>
                <w:sz w:val="20"/>
                <w:szCs w:val="20"/>
              </w:rPr>
              <w:t>（一）装修工程须执行以下标准</w:t>
            </w:r>
            <w:r>
              <w:rPr>
                <w:rFonts w:hint="eastAsia" w:ascii="宋体" w:hAnsi="宋体" w:cs="宋体"/>
                <w:bCs/>
                <w:sz w:val="20"/>
                <w:szCs w:val="20"/>
              </w:rPr>
              <w:br w:type="textWrapping"/>
            </w:r>
            <w:r>
              <w:rPr>
                <w:rFonts w:hint="eastAsia" w:ascii="宋体" w:hAnsi="宋体" w:cs="宋体"/>
                <w:bCs/>
                <w:sz w:val="20"/>
                <w:szCs w:val="20"/>
              </w:rPr>
              <w:t>1.GB 50222-2017《建筑内部装修设计防火规范》</w:t>
            </w:r>
            <w:r>
              <w:rPr>
                <w:rFonts w:hint="eastAsia" w:ascii="宋体" w:hAnsi="宋体" w:cs="宋体"/>
                <w:bCs/>
                <w:sz w:val="20"/>
                <w:szCs w:val="20"/>
              </w:rPr>
              <w:br w:type="textWrapping"/>
            </w:r>
            <w:r>
              <w:rPr>
                <w:rFonts w:hint="eastAsia" w:ascii="宋体" w:hAnsi="宋体" w:cs="宋体"/>
                <w:bCs/>
                <w:sz w:val="20"/>
                <w:szCs w:val="20"/>
              </w:rPr>
              <w:t>2.GB/T 19889-2005《建筑隔声测量规范》</w:t>
            </w:r>
            <w:r>
              <w:rPr>
                <w:rFonts w:hint="eastAsia" w:ascii="宋体" w:hAnsi="宋体" w:cs="宋体"/>
                <w:bCs/>
                <w:sz w:val="20"/>
                <w:szCs w:val="20"/>
              </w:rPr>
              <w:br w:type="textWrapping"/>
            </w:r>
            <w:r>
              <w:rPr>
                <w:rFonts w:hint="eastAsia" w:ascii="宋体" w:hAnsi="宋体" w:cs="宋体"/>
                <w:bCs/>
                <w:sz w:val="20"/>
                <w:szCs w:val="20"/>
              </w:rPr>
              <w:t>3.JGJ/T 131-2012《体育馆声学设计及测量规程》</w:t>
            </w:r>
            <w:r>
              <w:rPr>
                <w:rFonts w:hint="eastAsia" w:ascii="宋体" w:hAnsi="宋体" w:cs="宋体"/>
                <w:bCs/>
                <w:sz w:val="20"/>
                <w:szCs w:val="20"/>
              </w:rPr>
              <w:br w:type="textWrapping"/>
            </w:r>
            <w:r>
              <w:rPr>
                <w:rFonts w:hint="eastAsia" w:ascii="宋体" w:hAnsi="宋体" w:cs="宋体"/>
                <w:bCs/>
                <w:sz w:val="20"/>
                <w:szCs w:val="20"/>
              </w:rPr>
              <w:t>4.环保要求：所有材料提供甲醛释放量≤0.03mg/m³证明文件。</w:t>
            </w:r>
            <w:r>
              <w:rPr>
                <w:rFonts w:hint="eastAsia" w:ascii="宋体" w:hAnsi="宋体" w:cs="宋体"/>
                <w:bCs/>
                <w:sz w:val="20"/>
                <w:szCs w:val="20"/>
              </w:rPr>
              <w:br w:type="textWrapping"/>
            </w:r>
            <w:r>
              <w:rPr>
                <w:rFonts w:hint="eastAsia" w:ascii="宋体" w:hAnsi="宋体" w:cs="宋体"/>
                <w:bCs/>
                <w:sz w:val="20"/>
                <w:szCs w:val="20"/>
              </w:rPr>
              <w:t>（二）本清单数量按实际勘测面积计算（墙面扣除门窗洞），最终以现场复尺为准。"</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177000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728" w:type="pct"/>
            <w:vAlign w:val="center"/>
          </w:tcPr>
          <w:p>
            <w:pPr>
              <w:spacing w:line="400" w:lineRule="exact"/>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5匹定频冷暖柜机</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1.功能：5匹定频冷暖柜机；</w:t>
            </w:r>
            <w:r>
              <w:rPr>
                <w:rFonts w:hint="eastAsia" w:ascii="宋体" w:hAnsi="宋体" w:cs="宋体"/>
                <w:bCs/>
                <w:sz w:val="20"/>
                <w:szCs w:val="20"/>
              </w:rPr>
              <w:br w:type="textWrapping"/>
            </w:r>
            <w:r>
              <w:rPr>
                <w:rFonts w:hint="eastAsia" w:ascii="宋体" w:hAnsi="宋体" w:cs="宋体"/>
                <w:bCs/>
                <w:sz w:val="20"/>
                <w:szCs w:val="20"/>
              </w:rPr>
              <w:t>▲2.能效等级：二级；</w:t>
            </w:r>
            <w:r>
              <w:rPr>
                <w:rFonts w:hint="eastAsia" w:ascii="宋体" w:hAnsi="宋体" w:cs="宋体"/>
                <w:bCs/>
                <w:sz w:val="20"/>
                <w:szCs w:val="20"/>
              </w:rPr>
              <w:br w:type="textWrapping"/>
            </w:r>
            <w:r>
              <w:rPr>
                <w:rFonts w:hint="eastAsia" w:ascii="宋体" w:hAnsi="宋体" w:cs="宋体"/>
                <w:bCs/>
                <w:sz w:val="20"/>
                <w:szCs w:val="20"/>
              </w:rPr>
              <w:t>3.定频/变频：定频；</w:t>
            </w:r>
            <w:r>
              <w:rPr>
                <w:rFonts w:hint="eastAsia" w:ascii="宋体" w:hAnsi="宋体" w:cs="宋体"/>
                <w:bCs/>
                <w:sz w:val="20"/>
                <w:szCs w:val="20"/>
              </w:rPr>
              <w:br w:type="textWrapping"/>
            </w:r>
            <w:r>
              <w:rPr>
                <w:rFonts w:hint="eastAsia" w:ascii="宋体" w:hAnsi="宋体" w:cs="宋体"/>
                <w:bCs/>
                <w:sz w:val="20"/>
                <w:szCs w:val="20"/>
              </w:rPr>
              <w:t>▲4.APF（GB21455-2019）：≥3.25；</w:t>
            </w:r>
            <w:r>
              <w:rPr>
                <w:rFonts w:hint="eastAsia" w:ascii="宋体" w:hAnsi="宋体" w:cs="宋体"/>
                <w:bCs/>
                <w:sz w:val="20"/>
                <w:szCs w:val="20"/>
              </w:rPr>
              <w:br w:type="textWrapping"/>
            </w:r>
            <w:r>
              <w:rPr>
                <w:rFonts w:hint="eastAsia" w:ascii="宋体" w:hAnsi="宋体" w:cs="宋体"/>
                <w:bCs/>
                <w:sz w:val="20"/>
                <w:szCs w:val="20"/>
              </w:rPr>
              <w:t>▲5.额定制冷量(W)：≥12190；</w:t>
            </w:r>
            <w:r>
              <w:rPr>
                <w:rFonts w:hint="eastAsia" w:ascii="宋体" w:hAnsi="宋体" w:cs="宋体"/>
                <w:bCs/>
                <w:sz w:val="20"/>
                <w:szCs w:val="20"/>
              </w:rPr>
              <w:br w:type="textWrapping"/>
            </w:r>
            <w:r>
              <w:rPr>
                <w:rFonts w:hint="eastAsia" w:ascii="宋体" w:hAnsi="宋体" w:cs="宋体"/>
                <w:bCs/>
                <w:sz w:val="20"/>
                <w:szCs w:val="20"/>
              </w:rPr>
              <w:t>6.额定制热量(W)：≥12990；</w:t>
            </w:r>
            <w:r>
              <w:rPr>
                <w:rFonts w:hint="eastAsia" w:ascii="宋体" w:hAnsi="宋体" w:cs="宋体"/>
                <w:bCs/>
                <w:sz w:val="20"/>
                <w:szCs w:val="20"/>
              </w:rPr>
              <w:br w:type="textWrapping"/>
            </w:r>
            <w:r>
              <w:rPr>
                <w:rFonts w:hint="eastAsia" w:ascii="宋体" w:hAnsi="宋体" w:cs="宋体"/>
                <w:bCs/>
                <w:sz w:val="20"/>
                <w:szCs w:val="20"/>
              </w:rPr>
              <w:t>7.额定制冷功率(W)：≤3610；</w:t>
            </w:r>
            <w:r>
              <w:rPr>
                <w:rFonts w:hint="eastAsia" w:ascii="宋体" w:hAnsi="宋体" w:cs="宋体"/>
                <w:bCs/>
                <w:sz w:val="20"/>
                <w:szCs w:val="20"/>
              </w:rPr>
              <w:br w:type="textWrapping"/>
            </w:r>
            <w:r>
              <w:rPr>
                <w:rFonts w:hint="eastAsia" w:ascii="宋体" w:hAnsi="宋体" w:cs="宋体"/>
                <w:bCs/>
                <w:sz w:val="20"/>
                <w:szCs w:val="20"/>
              </w:rPr>
              <w:t>▲8.额定制热功率(W)：≤3510；</w:t>
            </w:r>
            <w:r>
              <w:rPr>
                <w:rFonts w:hint="eastAsia" w:ascii="宋体" w:hAnsi="宋体" w:cs="宋体"/>
                <w:bCs/>
                <w:sz w:val="20"/>
                <w:szCs w:val="20"/>
              </w:rPr>
              <w:br w:type="textWrapping"/>
            </w:r>
            <w:r>
              <w:rPr>
                <w:rFonts w:hint="eastAsia" w:ascii="宋体" w:hAnsi="宋体" w:cs="宋体"/>
                <w:bCs/>
                <w:sz w:val="20"/>
                <w:szCs w:val="20"/>
              </w:rPr>
              <w:t>▲9.室内机噪音 超高风dB(A）：≤52.5；</w:t>
            </w:r>
            <w:r>
              <w:rPr>
                <w:rFonts w:hint="eastAsia" w:ascii="宋体" w:hAnsi="宋体" w:cs="宋体"/>
                <w:bCs/>
                <w:sz w:val="20"/>
                <w:szCs w:val="20"/>
              </w:rPr>
              <w:br w:type="textWrapping"/>
            </w:r>
            <w:r>
              <w:rPr>
                <w:rFonts w:hint="eastAsia" w:ascii="宋体" w:hAnsi="宋体" w:cs="宋体"/>
                <w:bCs/>
                <w:sz w:val="20"/>
                <w:szCs w:val="20"/>
              </w:rPr>
              <w:t>▲10.室外机噪音 高风dB(A）：≤59.5；</w:t>
            </w:r>
            <w:r>
              <w:rPr>
                <w:rFonts w:hint="eastAsia" w:ascii="宋体" w:hAnsi="宋体" w:cs="宋体"/>
                <w:bCs/>
                <w:sz w:val="20"/>
                <w:szCs w:val="20"/>
              </w:rPr>
              <w:br w:type="textWrapping"/>
            </w:r>
            <w:r>
              <w:rPr>
                <w:rFonts w:hint="eastAsia" w:ascii="宋体" w:hAnsi="宋体" w:cs="宋体"/>
                <w:bCs/>
                <w:sz w:val="20"/>
                <w:szCs w:val="20"/>
              </w:rPr>
              <w:t>▲11.循环风量（m³/h)：≥2040；</w:t>
            </w:r>
            <w:r>
              <w:rPr>
                <w:rFonts w:hint="eastAsia" w:ascii="宋体" w:hAnsi="宋体" w:cs="宋体"/>
                <w:bCs/>
                <w:sz w:val="20"/>
                <w:szCs w:val="20"/>
              </w:rPr>
              <w:br w:type="textWrapping"/>
            </w:r>
            <w:r>
              <w:rPr>
                <w:rFonts w:hint="eastAsia" w:ascii="宋体" w:hAnsi="宋体" w:cs="宋体"/>
                <w:bCs/>
                <w:sz w:val="20"/>
                <w:szCs w:val="20"/>
              </w:rPr>
              <w:t>12.电压/频率（V/HZ）：380V 3N～/50Hz；</w:t>
            </w:r>
            <w:r>
              <w:rPr>
                <w:rFonts w:hint="eastAsia" w:ascii="宋体" w:hAnsi="宋体" w:cs="宋体"/>
                <w:bCs/>
                <w:sz w:val="20"/>
                <w:szCs w:val="20"/>
              </w:rPr>
              <w:br w:type="textWrapping"/>
            </w:r>
            <w:r>
              <w:rPr>
                <w:rFonts w:hint="eastAsia" w:ascii="宋体" w:hAnsi="宋体" w:cs="宋体"/>
                <w:bCs/>
                <w:sz w:val="20"/>
                <w:szCs w:val="20"/>
              </w:rPr>
              <w:t>▲13.自带断电记忆功能；</w:t>
            </w:r>
            <w:r>
              <w:rPr>
                <w:rFonts w:hint="eastAsia" w:ascii="宋体" w:hAnsi="宋体" w:cs="宋体"/>
                <w:bCs/>
                <w:sz w:val="20"/>
                <w:szCs w:val="20"/>
              </w:rPr>
              <w:br w:type="textWrapping"/>
            </w:r>
            <w:r>
              <w:rPr>
                <w:rFonts w:hint="eastAsia" w:ascii="宋体" w:hAnsi="宋体" w:cs="宋体"/>
                <w:bCs/>
                <w:sz w:val="20"/>
                <w:szCs w:val="20"/>
              </w:rPr>
              <w:t>14.其他功能：智能化霜，双重过滤网，自动清洁，自动干燥，多种送风方式， 24小时定时功能，可拆洗出风口。</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台</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11000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66000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6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728"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系统集成联调费用</w:t>
            </w:r>
          </w:p>
        </w:tc>
        <w:tc>
          <w:tcPr>
            <w:tcW w:w="2230" w:type="pct"/>
            <w:vAlign w:val="center"/>
          </w:tcPr>
          <w:p>
            <w:pPr>
              <w:spacing w:line="400" w:lineRule="exact"/>
              <w:rPr>
                <w:rFonts w:ascii="宋体" w:hAnsi="宋体" w:cs="宋体"/>
                <w:bCs/>
                <w:sz w:val="20"/>
                <w:szCs w:val="20"/>
              </w:rPr>
            </w:pPr>
            <w:r>
              <w:rPr>
                <w:rFonts w:hint="eastAsia" w:ascii="宋体" w:hAnsi="宋体" w:cs="宋体"/>
                <w:bCs/>
                <w:sz w:val="20"/>
                <w:szCs w:val="20"/>
              </w:rPr>
              <w:t>1、包括所有项目施工图纸设计、安装、调试、管理及使用培训、所有网络端口的测试连通、测试报告、线路理线、线路标注及竣工资料编制等；</w:t>
            </w:r>
            <w:r>
              <w:rPr>
                <w:rFonts w:hint="eastAsia" w:ascii="宋体" w:hAnsi="宋体" w:cs="宋体"/>
                <w:bCs/>
                <w:sz w:val="20"/>
                <w:szCs w:val="20"/>
              </w:rPr>
              <w:br w:type="textWrapping"/>
            </w:r>
            <w:r>
              <w:rPr>
                <w:rFonts w:hint="eastAsia" w:ascii="宋体" w:hAnsi="宋体" w:cs="宋体"/>
                <w:bCs/>
                <w:sz w:val="20"/>
                <w:szCs w:val="20"/>
              </w:rPr>
              <w:t>2、本项目所需配套电源线、网线、线槽线管、交换机、机柜等所需辅材；</w:t>
            </w:r>
            <w:r>
              <w:rPr>
                <w:rFonts w:hint="eastAsia" w:ascii="宋体" w:hAnsi="宋体" w:cs="宋体"/>
                <w:bCs/>
                <w:sz w:val="20"/>
                <w:szCs w:val="20"/>
              </w:rPr>
              <w:br w:type="textWrapping"/>
            </w:r>
            <w:r>
              <w:rPr>
                <w:rFonts w:hint="eastAsia" w:ascii="宋体" w:hAnsi="宋体" w:cs="宋体"/>
                <w:bCs/>
                <w:sz w:val="20"/>
                <w:szCs w:val="20"/>
              </w:rPr>
              <w:t>3、人工劳务费用</w:t>
            </w:r>
            <w:r>
              <w:rPr>
                <w:rFonts w:hint="eastAsia" w:ascii="宋体" w:hAnsi="宋体" w:cs="宋体"/>
                <w:bCs/>
                <w:sz w:val="20"/>
                <w:szCs w:val="20"/>
              </w:rPr>
              <w:br w:type="textWrapping"/>
            </w:r>
            <w:r>
              <w:rPr>
                <w:rFonts w:hint="eastAsia" w:ascii="宋体" w:hAnsi="宋体" w:cs="宋体"/>
                <w:bCs/>
                <w:sz w:val="20"/>
                <w:szCs w:val="20"/>
              </w:rPr>
              <w:t>4、中标方在施工前必须进行现场勘查，出具施工图纸供业主审核通过后方能施工。</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c>
          <w:tcPr>
            <w:tcW w:w="420"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70000</w:t>
            </w:r>
          </w:p>
        </w:tc>
      </w:tr>
    </w:tbl>
    <w:tbl>
      <w:tblPr>
        <w:tblStyle w:val="25"/>
        <w:tblpPr w:leftFromText="180" w:rightFromText="180" w:vertAnchor="text" w:horzAnchor="page" w:tblpX="1050" w:tblpY="23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textAlignment w:val="center"/>
              <w:rPr>
                <w:rFonts w:ascii="宋体" w:hAnsi="宋体" w:cs="宋体"/>
                <w:color w:val="000000"/>
                <w:kern w:val="0"/>
                <w:sz w:val="22"/>
              </w:rPr>
            </w:pPr>
            <w:r>
              <w:rPr>
                <w:rFonts w:hint="eastAsia" w:ascii="宋体" w:hAnsi="宋体" w:cs="宋体"/>
                <w:color w:val="000000"/>
                <w:kern w:val="0"/>
                <w:sz w:val="22"/>
              </w:rPr>
              <w:t>（一）进口产品说明（根据项目实际情况选择）</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☑本分标货物所涉及的货物不接受进口产品（即通过中国海关报关验放进入中国境内且产自关境外的产品）参与投标，如有进口产品参与投标的作无效标处理。</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▲（二）核心产品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货物需求一栏表中的核心产品为</w:t>
            </w:r>
            <w:r>
              <w:rPr>
                <w:rFonts w:hint="eastAsia" w:ascii="宋体" w:hAnsi="宋体" w:cs="宋体"/>
                <w:color w:val="000000"/>
                <w:kern w:val="0"/>
                <w:sz w:val="22"/>
                <w:u w:val="single"/>
              </w:rPr>
              <w:t xml:space="preserve">  98寸多媒体设备  </w:t>
            </w:r>
            <w:r>
              <w:rPr>
                <w:rFonts w:hint="eastAsia" w:ascii="宋体" w:hAnsi="宋体" w:cs="宋体"/>
                <w:color w:val="000000"/>
                <w:kern w:val="0"/>
                <w:sz w:val="22"/>
              </w:rPr>
              <w:t>产品。</w:t>
            </w:r>
          </w:p>
          <w:p>
            <w:pPr>
              <w:widowControl/>
              <w:jc w:val="left"/>
              <w:textAlignment w:val="center"/>
              <w:rPr>
                <w:rFonts w:ascii="宋体" w:hAnsi="宋体" w:cs="宋体"/>
                <w:color w:val="000000"/>
                <w:kern w:val="0"/>
                <w:sz w:val="22"/>
              </w:rPr>
            </w:pPr>
            <w:r>
              <w:rPr>
                <w:rFonts w:hint="eastAsia" w:ascii="宋体" w:hAnsi="宋体" w:cs="宋体"/>
                <w:color w:val="000000"/>
                <w:kern w:val="0"/>
                <w:sz w:val="22"/>
              </w:rPr>
              <w:t>（三）其他</w:t>
            </w:r>
          </w:p>
          <w:p>
            <w:pPr>
              <w:widowControl/>
              <w:jc w:val="left"/>
              <w:rPr>
                <w:rFonts w:hint="eastAsia"/>
              </w:rPr>
            </w:pPr>
            <w:r>
              <w:rPr>
                <w:rFonts w:hint="eastAsia" w:ascii="宋体" w:hAnsi="宋体" w:cs="宋体"/>
                <w:color w:val="000000"/>
                <w:kern w:val="0"/>
                <w:sz w:val="22"/>
              </w:rPr>
              <w:t>本项目采购标的对应的中小企业划分标准所属行业：</w:t>
            </w:r>
            <w:r>
              <w:rPr>
                <w:rFonts w:hint="eastAsia" w:ascii="宋体" w:hAnsi="宋体" w:cs="宋体"/>
                <w:color w:val="000000"/>
                <w:kern w:val="0"/>
                <w:sz w:val="22"/>
                <w:u w:val="single"/>
              </w:rPr>
              <w:t>工业</w:t>
            </w:r>
            <w:r>
              <w:rPr>
                <w:rFonts w:hint="eastAsia" w:ascii="宋体" w:hAnsi="宋体" w:cs="宋体"/>
                <w:color w:val="000000"/>
                <w:kern w:val="0"/>
                <w:sz w:val="22"/>
              </w:rPr>
              <w:t>。</w:t>
            </w:r>
          </w:p>
        </w:tc>
      </w:tr>
    </w:tbl>
    <w:p>
      <w:pPr>
        <w:spacing w:line="360" w:lineRule="auto"/>
        <w:rPr>
          <w:rFonts w:ascii="宋体" w:hAnsi="宋体" w:cs="宋体"/>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p>
    <w:p>
      <w:pPr>
        <w:jc w:val="left"/>
        <w:rPr>
          <w:rFonts w:ascii="仿宋_GB2312" w:eastAsia="仿宋_GB2312"/>
          <w:b/>
          <w:color w:val="FF0000"/>
          <w:sz w:val="32"/>
          <w:szCs w:val="32"/>
        </w:rPr>
      </w:pPr>
      <w:r>
        <w:rPr>
          <w:rFonts w:hint="eastAsia" w:ascii="仿宋_GB2312" w:eastAsia="仿宋_GB2312"/>
          <w:b/>
          <w:color w:val="FF0000"/>
          <w:sz w:val="32"/>
          <w:szCs w:val="32"/>
        </w:rPr>
        <w:t>B分标（2分标）：最高限价：248.3076万元。</w:t>
      </w:r>
    </w:p>
    <w:p>
      <w:pPr>
        <w:rPr>
          <w:b/>
          <w:bCs/>
          <w:sz w:val="28"/>
          <w:szCs w:val="28"/>
        </w:rPr>
      </w:pPr>
      <w:r>
        <w:rPr>
          <w:rFonts w:hint="eastAsia"/>
          <w:b/>
          <w:bCs/>
          <w:sz w:val="28"/>
          <w:szCs w:val="28"/>
        </w:rPr>
        <w:t>一、计算机</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096"/>
        <w:gridCol w:w="4266"/>
        <w:gridCol w:w="655"/>
        <w:gridCol w:w="655"/>
        <w:gridCol w:w="1317"/>
        <w:gridCol w:w="1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项号</w:t>
            </w:r>
          </w:p>
        </w:tc>
        <w:tc>
          <w:tcPr>
            <w:tcW w:w="550" w:type="pct"/>
            <w:noWrap/>
            <w:vAlign w:val="center"/>
          </w:tcPr>
          <w:p>
            <w:pPr>
              <w:jc w:val="center"/>
              <w:rPr>
                <w:rFonts w:ascii="宋体" w:hAnsi="宋体" w:cs="宋体"/>
                <w:bCs/>
                <w:sz w:val="20"/>
                <w:szCs w:val="20"/>
              </w:rPr>
            </w:pPr>
            <w:r>
              <w:rPr>
                <w:rFonts w:hint="eastAsia" w:ascii="宋体" w:hAnsi="宋体" w:cs="宋体"/>
                <w:bCs/>
                <w:sz w:val="20"/>
                <w:szCs w:val="20"/>
              </w:rPr>
              <w:t>货物名称</w:t>
            </w:r>
          </w:p>
        </w:tc>
        <w:tc>
          <w:tcPr>
            <w:tcW w:w="2141" w:type="pct"/>
            <w:noWrap/>
            <w:vAlign w:val="center"/>
          </w:tcPr>
          <w:p>
            <w:pPr>
              <w:jc w:val="center"/>
              <w:rPr>
                <w:rFonts w:ascii="宋体" w:hAnsi="宋体" w:cs="宋体"/>
                <w:bCs/>
                <w:sz w:val="20"/>
                <w:szCs w:val="20"/>
              </w:rPr>
            </w:pPr>
            <w:r>
              <w:rPr>
                <w:rFonts w:hint="eastAsia" w:ascii="宋体" w:hAnsi="宋体" w:cs="宋体"/>
                <w:bCs/>
                <w:sz w:val="20"/>
                <w:szCs w:val="20"/>
              </w:rPr>
              <w:t>技术参数</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单价（元）</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noWrap/>
            <w:vAlign w:val="center"/>
          </w:tcPr>
          <w:p>
            <w:pPr>
              <w:jc w:val="center"/>
              <w:rPr>
                <w:rFonts w:ascii="宋体" w:hAnsi="宋体" w:cs="宋体"/>
                <w:bCs/>
                <w:sz w:val="20"/>
                <w:szCs w:val="20"/>
              </w:rPr>
            </w:pPr>
            <w:r>
              <w:rPr>
                <w:rFonts w:hint="eastAsia" w:ascii="宋体" w:hAnsi="宋体" w:cs="宋体"/>
                <w:bCs/>
                <w:sz w:val="20"/>
                <w:szCs w:val="20"/>
              </w:rPr>
              <w:t>1</w:t>
            </w:r>
          </w:p>
        </w:tc>
        <w:tc>
          <w:tcPr>
            <w:tcW w:w="550" w:type="pct"/>
            <w:noWrap/>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2141" w:type="pct"/>
            <w:vAlign w:val="center"/>
          </w:tcPr>
          <w:p>
            <w:pPr>
              <w:rPr>
                <w:rFonts w:ascii="宋体" w:hAnsi="宋体" w:cs="宋体"/>
                <w:bCs/>
                <w:sz w:val="20"/>
                <w:szCs w:val="20"/>
              </w:rPr>
            </w:pPr>
            <w:r>
              <w:rPr>
                <w:rFonts w:hint="eastAsia" w:ascii="宋体" w:hAnsi="宋体" w:cs="宋体"/>
                <w:bCs/>
                <w:sz w:val="20"/>
                <w:szCs w:val="20"/>
              </w:rPr>
              <w:t>▲1、CPU：ARM架构处理器，核心数≥8，主频≥2.4GHz，TDP≤15W。</w:t>
            </w:r>
            <w:r>
              <w:rPr>
                <w:rFonts w:hint="eastAsia" w:ascii="宋体" w:hAnsi="宋体" w:cs="宋体"/>
                <w:bCs/>
                <w:sz w:val="20"/>
                <w:szCs w:val="20"/>
              </w:rPr>
              <w:br w:type="textWrapping"/>
            </w:r>
            <w:r>
              <w:rPr>
                <w:rFonts w:hint="eastAsia" w:ascii="宋体" w:hAnsi="宋体" w:cs="宋体"/>
                <w:bCs/>
                <w:sz w:val="20"/>
                <w:szCs w:val="20"/>
              </w:rPr>
              <w:t>▲2、内存容量：≥16G DDR4或LPDDR4及以上。</w:t>
            </w:r>
            <w:r>
              <w:rPr>
                <w:rFonts w:hint="eastAsia" w:ascii="宋体" w:hAnsi="宋体" w:cs="宋体"/>
                <w:bCs/>
                <w:sz w:val="20"/>
                <w:szCs w:val="20"/>
              </w:rPr>
              <w:br w:type="textWrapping"/>
            </w:r>
            <w:r>
              <w:rPr>
                <w:rFonts w:hint="eastAsia" w:ascii="宋体" w:hAnsi="宋体" w:cs="宋体"/>
                <w:bCs/>
                <w:sz w:val="20"/>
                <w:szCs w:val="20"/>
              </w:rPr>
              <w:t>▲3、内存频率：≥3600MT/S。</w:t>
            </w:r>
            <w:r>
              <w:rPr>
                <w:rFonts w:hint="eastAsia" w:ascii="宋体" w:hAnsi="宋体" w:cs="宋体"/>
                <w:bCs/>
                <w:sz w:val="20"/>
                <w:szCs w:val="20"/>
              </w:rPr>
              <w:br w:type="textWrapping"/>
            </w:r>
            <w:r>
              <w:rPr>
                <w:rFonts w:hint="eastAsia" w:ascii="宋体" w:hAnsi="宋体" w:cs="宋体"/>
                <w:bCs/>
                <w:sz w:val="20"/>
                <w:szCs w:val="20"/>
              </w:rPr>
              <w:t>▲4、内存通道：≥4通道。</w:t>
            </w:r>
            <w:r>
              <w:rPr>
                <w:rFonts w:hint="eastAsia" w:ascii="宋体" w:hAnsi="宋体" w:cs="宋体"/>
                <w:bCs/>
                <w:sz w:val="20"/>
                <w:szCs w:val="20"/>
              </w:rPr>
              <w:br w:type="textWrapping"/>
            </w:r>
            <w:r>
              <w:rPr>
                <w:rFonts w:hint="eastAsia" w:ascii="宋体" w:hAnsi="宋体" w:cs="宋体"/>
                <w:bCs/>
                <w:sz w:val="20"/>
                <w:szCs w:val="20"/>
              </w:rPr>
              <w:t>5、硬盘：≥512GB 固态硬盘。</w:t>
            </w:r>
            <w:r>
              <w:rPr>
                <w:rFonts w:hint="eastAsia" w:ascii="宋体" w:hAnsi="宋体" w:cs="宋体"/>
                <w:bCs/>
                <w:sz w:val="20"/>
                <w:szCs w:val="20"/>
              </w:rPr>
              <w:br w:type="textWrapping"/>
            </w:r>
            <w:r>
              <w:rPr>
                <w:rFonts w:hint="eastAsia" w:ascii="宋体" w:hAnsi="宋体" w:cs="宋体"/>
                <w:bCs/>
                <w:sz w:val="20"/>
                <w:szCs w:val="20"/>
              </w:rPr>
              <w:t>6、显卡：集成或独立显卡。</w:t>
            </w:r>
            <w:r>
              <w:rPr>
                <w:rFonts w:hint="eastAsia" w:ascii="宋体" w:hAnsi="宋体" w:cs="宋体"/>
                <w:bCs/>
                <w:sz w:val="20"/>
                <w:szCs w:val="20"/>
              </w:rPr>
              <w:br w:type="textWrapping"/>
            </w:r>
            <w:r>
              <w:rPr>
                <w:rFonts w:hint="eastAsia" w:ascii="宋体" w:hAnsi="宋体" w:cs="宋体"/>
                <w:bCs/>
                <w:sz w:val="20"/>
                <w:szCs w:val="20"/>
              </w:rPr>
              <w:t>7、声卡：集成声卡。</w:t>
            </w:r>
            <w:r>
              <w:rPr>
                <w:rFonts w:hint="eastAsia" w:ascii="宋体" w:hAnsi="宋体" w:cs="宋体"/>
                <w:bCs/>
                <w:sz w:val="20"/>
                <w:szCs w:val="20"/>
              </w:rPr>
              <w:br w:type="textWrapping"/>
            </w:r>
            <w:r>
              <w:rPr>
                <w:rFonts w:hint="eastAsia" w:ascii="宋体" w:hAnsi="宋体" w:cs="宋体"/>
                <w:bCs/>
                <w:sz w:val="20"/>
                <w:szCs w:val="20"/>
              </w:rPr>
              <w:t>8、网卡：主板集成10/100/1000M以太网卡。</w:t>
            </w:r>
            <w:r>
              <w:rPr>
                <w:rFonts w:hint="eastAsia" w:ascii="宋体" w:hAnsi="宋体" w:cs="宋体"/>
                <w:bCs/>
                <w:sz w:val="20"/>
                <w:szCs w:val="20"/>
              </w:rPr>
              <w:br w:type="textWrapping"/>
            </w:r>
            <w:r>
              <w:rPr>
                <w:rFonts w:hint="eastAsia" w:ascii="宋体" w:hAnsi="宋体" w:cs="宋体"/>
                <w:bCs/>
                <w:sz w:val="20"/>
                <w:szCs w:val="20"/>
              </w:rPr>
              <w:t>9、键盘、鼠标：同品牌抗菌键盘、抗菌鼠标。</w:t>
            </w:r>
            <w:r>
              <w:rPr>
                <w:rFonts w:hint="eastAsia" w:ascii="宋体" w:hAnsi="宋体" w:cs="宋体"/>
                <w:bCs/>
                <w:sz w:val="20"/>
                <w:szCs w:val="20"/>
              </w:rPr>
              <w:br w:type="textWrapping"/>
            </w:r>
            <w:r>
              <w:rPr>
                <w:rFonts w:hint="eastAsia" w:ascii="宋体" w:hAnsi="宋体" w:cs="宋体"/>
                <w:bCs/>
                <w:sz w:val="20"/>
                <w:szCs w:val="20"/>
              </w:rPr>
              <w:t>▲10、接口：USB接口≥8个主板原生USB接口（含Type-C），其中原生USB 3.0接口≥6个。</w:t>
            </w:r>
            <w:r>
              <w:rPr>
                <w:rFonts w:hint="eastAsia" w:ascii="宋体" w:hAnsi="宋体" w:cs="宋体"/>
                <w:bCs/>
                <w:sz w:val="20"/>
                <w:szCs w:val="20"/>
              </w:rPr>
              <w:br w:type="textWrapping"/>
            </w:r>
            <w:r>
              <w:rPr>
                <w:rFonts w:hint="eastAsia" w:ascii="宋体" w:hAnsi="宋体" w:cs="宋体"/>
                <w:bCs/>
                <w:sz w:val="20"/>
                <w:szCs w:val="20"/>
              </w:rPr>
              <w:t>11、电源：≥180W电源。</w:t>
            </w:r>
            <w:r>
              <w:rPr>
                <w:rFonts w:hint="eastAsia" w:ascii="宋体" w:hAnsi="宋体" w:cs="宋体"/>
                <w:bCs/>
                <w:sz w:val="20"/>
                <w:szCs w:val="20"/>
              </w:rPr>
              <w:br w:type="textWrapping"/>
            </w:r>
            <w:r>
              <w:rPr>
                <w:rFonts w:hint="eastAsia" w:ascii="宋体" w:hAnsi="宋体" w:cs="宋体"/>
                <w:bCs/>
                <w:sz w:val="20"/>
                <w:szCs w:val="20"/>
              </w:rPr>
              <w:t>12、操作系统：麒麟或统信国产操作系统。</w:t>
            </w:r>
            <w:r>
              <w:rPr>
                <w:rFonts w:hint="eastAsia" w:ascii="宋体" w:hAnsi="宋体" w:cs="宋体"/>
                <w:bCs/>
                <w:sz w:val="20"/>
                <w:szCs w:val="20"/>
              </w:rPr>
              <w:br w:type="textWrapping"/>
            </w:r>
            <w:r>
              <w:rPr>
                <w:rFonts w:hint="eastAsia" w:ascii="宋体" w:hAnsi="宋体" w:cs="宋体"/>
                <w:bCs/>
                <w:sz w:val="20"/>
                <w:szCs w:val="20"/>
              </w:rPr>
              <w:t>13、机箱：≤10L，整机具备防尘设计，防尘等级满足IP5x。</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14、显示器：≥23.8英寸，支持VGA/HDMI/DP其中两种或以上接口。</w:t>
            </w:r>
            <w:r>
              <w:rPr>
                <w:rFonts w:hint="eastAsia" w:ascii="宋体" w:hAnsi="宋体" w:cs="宋体"/>
                <w:bCs/>
                <w:sz w:val="20"/>
                <w:szCs w:val="20"/>
              </w:rPr>
              <w:br w:type="textWrapping"/>
            </w:r>
            <w:r>
              <w:rPr>
                <w:rFonts w:hint="eastAsia" w:ascii="宋体" w:hAnsi="宋体" w:cs="宋体"/>
                <w:bCs/>
                <w:sz w:val="20"/>
                <w:szCs w:val="20"/>
              </w:rPr>
              <w:t>15、服务：原厂3年维保，3年上门服务，3年7*24小时专家服务。</w:t>
            </w:r>
            <w:r>
              <w:rPr>
                <w:rFonts w:hint="eastAsia" w:ascii="宋体" w:hAnsi="宋体" w:cs="宋体"/>
                <w:bCs/>
                <w:sz w:val="20"/>
                <w:szCs w:val="20"/>
              </w:rPr>
              <w:br w:type="textWrapping"/>
            </w:r>
            <w:r>
              <w:rPr>
                <w:rFonts w:hint="eastAsia" w:ascii="宋体" w:hAnsi="宋体" w:cs="宋体"/>
                <w:bCs/>
                <w:sz w:val="20"/>
                <w:szCs w:val="20"/>
              </w:rPr>
              <w:t>16、桌面操作系统V10：</w:t>
            </w:r>
            <w:r>
              <w:rPr>
                <w:rFonts w:hint="eastAsia" w:ascii="宋体" w:hAnsi="宋体" w:cs="宋体"/>
                <w:bCs/>
                <w:sz w:val="20"/>
                <w:szCs w:val="20"/>
              </w:rPr>
              <w:br w:type="textWrapping"/>
            </w:r>
            <w:r>
              <w:rPr>
                <w:rFonts w:hint="eastAsia" w:ascii="宋体" w:hAnsi="宋体" w:cs="宋体"/>
                <w:bCs/>
                <w:sz w:val="20"/>
                <w:szCs w:val="20"/>
              </w:rPr>
              <w:t>（1）产品支持：拥有自主知识产权的国产操作系统，支持主流国产CPU，支持ARM，海思麒麟等主流架构。</w:t>
            </w:r>
            <w:r>
              <w:rPr>
                <w:rFonts w:hint="eastAsia" w:ascii="宋体" w:hAnsi="宋体" w:cs="宋体"/>
                <w:bCs/>
                <w:sz w:val="20"/>
                <w:szCs w:val="20"/>
              </w:rPr>
              <w:br w:type="textWrapping"/>
            </w:r>
            <w:r>
              <w:rPr>
                <w:rFonts w:hint="eastAsia" w:ascii="宋体" w:hAnsi="宋体" w:cs="宋体"/>
                <w:bCs/>
                <w:sz w:val="20"/>
                <w:szCs w:val="20"/>
              </w:rPr>
              <w:t>（2）标准符合：系统通过中国信息安全测评中心的安全可靠测评，符合国家操作系统采购需求标准。</w:t>
            </w:r>
            <w:r>
              <w:rPr>
                <w:rFonts w:hint="eastAsia" w:ascii="宋体" w:hAnsi="宋体" w:cs="宋体"/>
                <w:bCs/>
                <w:sz w:val="20"/>
                <w:szCs w:val="20"/>
              </w:rPr>
              <w:br w:type="textWrapping"/>
            </w:r>
            <w:r>
              <w:rPr>
                <w:rFonts w:hint="eastAsia" w:ascii="宋体" w:hAnsi="宋体" w:cs="宋体"/>
                <w:bCs/>
                <w:sz w:val="20"/>
                <w:szCs w:val="20"/>
              </w:rPr>
              <w:t>（3）用户界面：操作系统提供人性化人机交互界面，符合传统用户习惯，提供通知中心、全局搜索、夜间模式、网络工具、软件商店、文件管理器、开始菜单等功能。</w:t>
            </w:r>
            <w:r>
              <w:rPr>
                <w:rFonts w:hint="eastAsia" w:ascii="宋体" w:hAnsi="宋体" w:cs="宋体"/>
                <w:bCs/>
                <w:sz w:val="20"/>
                <w:szCs w:val="20"/>
              </w:rPr>
              <w:br w:type="textWrapping"/>
            </w:r>
            <w:r>
              <w:rPr>
                <w:rFonts w:hint="eastAsia" w:ascii="宋体" w:hAnsi="宋体" w:cs="宋体"/>
                <w:bCs/>
                <w:sz w:val="20"/>
                <w:szCs w:val="20"/>
              </w:rPr>
              <w:t>（4）常用应用支持：支持常用办公软件及火狐、奇安信、360等杀毒软件和浏览器。</w:t>
            </w:r>
            <w:r>
              <w:rPr>
                <w:rFonts w:hint="eastAsia" w:ascii="宋体" w:hAnsi="宋体" w:cs="宋体"/>
                <w:bCs/>
                <w:sz w:val="20"/>
                <w:szCs w:val="20"/>
              </w:rPr>
              <w:br w:type="textWrapping"/>
            </w:r>
            <w:r>
              <w:rPr>
                <w:rFonts w:hint="eastAsia" w:ascii="宋体" w:hAnsi="宋体" w:cs="宋体"/>
                <w:bCs/>
                <w:sz w:val="20"/>
                <w:szCs w:val="20"/>
              </w:rPr>
              <w:t>（5）全局搜索：支持多种搜索内容，支持拼音搜索和模糊搜索、快捷查找系统应用、设置项和文件。</w:t>
            </w:r>
            <w:r>
              <w:rPr>
                <w:rFonts w:hint="eastAsia" w:ascii="宋体" w:hAnsi="宋体" w:cs="宋体"/>
                <w:bCs/>
                <w:sz w:val="20"/>
                <w:szCs w:val="20"/>
              </w:rPr>
              <w:br w:type="textWrapping"/>
            </w:r>
            <w:r>
              <w:rPr>
                <w:rFonts w:hint="eastAsia" w:ascii="宋体" w:hAnsi="宋体" w:cs="宋体"/>
                <w:bCs/>
                <w:sz w:val="20"/>
                <w:szCs w:val="20"/>
              </w:rPr>
              <w:t>（6）备份还原功能：系统默认提供备份还原工具，支持数据备份、数据还原，支持系统全量备份、系统增量备份，提供一键还原功能。</w:t>
            </w:r>
            <w:r>
              <w:rPr>
                <w:rFonts w:hint="eastAsia" w:ascii="宋体" w:hAnsi="宋体" w:cs="宋体"/>
                <w:bCs/>
                <w:sz w:val="20"/>
                <w:szCs w:val="20"/>
              </w:rPr>
              <w:br w:type="textWrapping"/>
            </w:r>
            <w:r>
              <w:rPr>
                <w:rFonts w:hint="eastAsia" w:ascii="宋体" w:hAnsi="宋体" w:cs="宋体"/>
                <w:bCs/>
                <w:sz w:val="20"/>
                <w:szCs w:val="20"/>
              </w:rPr>
              <w:t>（7）生物识别：系统提供图形化生物识别管理工具，默认支持指纹、指静脉、虹膜等多种生物特征识别；图形界面可进行设备驱动开启、关闭及状态查看。</w:t>
            </w:r>
            <w:r>
              <w:rPr>
                <w:rFonts w:hint="eastAsia" w:ascii="宋体" w:hAnsi="宋体" w:cs="宋体"/>
                <w:bCs/>
                <w:sz w:val="20"/>
                <w:szCs w:val="20"/>
              </w:rPr>
              <w:br w:type="textWrapping"/>
            </w:r>
            <w:r>
              <w:rPr>
                <w:rFonts w:hint="eastAsia" w:ascii="宋体" w:hAnsi="宋体" w:cs="宋体"/>
                <w:bCs/>
                <w:sz w:val="20"/>
                <w:szCs w:val="20"/>
              </w:rPr>
              <w:t>（8）外设管控：操作系统对USB、蓝牙等外设提供完善的管控策略，显示未授权的设备信息，确保接入设备可信安全；支持完整的外设连接记录，可审计追溯。</w:t>
            </w:r>
            <w:r>
              <w:rPr>
                <w:rFonts w:hint="eastAsia" w:ascii="宋体" w:hAnsi="宋体" w:cs="宋体"/>
                <w:bCs/>
                <w:sz w:val="20"/>
                <w:szCs w:val="20"/>
              </w:rPr>
              <w:br w:type="textWrapping"/>
            </w:r>
            <w:r>
              <w:rPr>
                <w:rFonts w:hint="eastAsia" w:ascii="宋体" w:hAnsi="宋体" w:cs="宋体"/>
                <w:bCs/>
                <w:sz w:val="20"/>
                <w:szCs w:val="20"/>
              </w:rPr>
              <w:t>17、预装正版操作系统、办公软件、杀毒软件，调试后进行首次备份，系统或软件故障时可通过一键还原恢复到首次备份前状态。预装操作系统无使用年限限制。</w:t>
            </w:r>
            <w:r>
              <w:rPr>
                <w:rFonts w:hint="eastAsia" w:ascii="宋体" w:hAnsi="宋体" w:cs="宋体"/>
                <w:bCs/>
                <w:sz w:val="20"/>
                <w:szCs w:val="20"/>
              </w:rPr>
              <w:br w:type="textWrapping"/>
            </w:r>
            <w:r>
              <w:rPr>
                <w:rFonts w:hint="eastAsia" w:ascii="宋体" w:hAnsi="宋体" w:cs="宋体"/>
                <w:bCs/>
                <w:sz w:val="20"/>
                <w:szCs w:val="20"/>
              </w:rPr>
              <w:t>18、开机画面显示“隆安县教育局2025年装备”。</w:t>
            </w:r>
            <w:r>
              <w:rPr>
                <w:rFonts w:hint="eastAsia" w:ascii="宋体" w:hAnsi="宋体" w:cs="宋体"/>
                <w:bCs/>
                <w:sz w:val="20"/>
                <w:szCs w:val="20"/>
              </w:rPr>
              <w:br w:type="textWrapping"/>
            </w:r>
            <w:r>
              <w:rPr>
                <w:rFonts w:hint="eastAsia" w:ascii="宋体" w:hAnsi="宋体" w:cs="宋体"/>
                <w:bCs/>
                <w:sz w:val="20"/>
                <w:szCs w:val="20"/>
              </w:rPr>
              <w:t>19、含安装所需电线、插座、网线等辅材，交付即可使用。</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329" w:type="pct"/>
            <w:noWrap/>
            <w:vAlign w:val="center"/>
          </w:tcPr>
          <w:p>
            <w:pPr>
              <w:jc w:val="center"/>
              <w:rPr>
                <w:rFonts w:ascii="宋体" w:hAnsi="宋体" w:cs="宋体"/>
                <w:bCs/>
                <w:sz w:val="20"/>
                <w:szCs w:val="20"/>
              </w:rPr>
            </w:pPr>
            <w:r>
              <w:rPr>
                <w:rFonts w:hint="eastAsia" w:ascii="宋体" w:hAnsi="宋体" w:cs="宋体"/>
                <w:bCs/>
                <w:sz w:val="20"/>
                <w:szCs w:val="20"/>
              </w:rPr>
              <w:t>89</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661" w:type="pct"/>
            <w:noWrap/>
            <w:vAlign w:val="center"/>
          </w:tcPr>
          <w:p>
            <w:pPr>
              <w:jc w:val="center"/>
              <w:rPr>
                <w:rFonts w:ascii="宋体" w:hAnsi="宋体" w:cs="宋体"/>
                <w:bCs/>
                <w:sz w:val="20"/>
                <w:szCs w:val="20"/>
              </w:rPr>
            </w:pPr>
            <w:r>
              <w:rPr>
                <w:rFonts w:hint="eastAsia" w:ascii="宋体" w:hAnsi="宋体" w:cs="宋体"/>
                <w:bCs/>
                <w:sz w:val="20"/>
                <w:szCs w:val="20"/>
              </w:rPr>
              <w:t>445000</w:t>
            </w:r>
          </w:p>
        </w:tc>
      </w:tr>
    </w:tbl>
    <w:p>
      <w:pPr>
        <w:rPr>
          <w:b/>
          <w:bCs/>
          <w:sz w:val="28"/>
          <w:szCs w:val="28"/>
        </w:rPr>
      </w:pPr>
      <w:r>
        <w:rPr>
          <w:rFonts w:hint="eastAsia"/>
          <w:b/>
          <w:bCs/>
          <w:sz w:val="28"/>
          <w:szCs w:val="28"/>
        </w:rPr>
        <w:t>二、体育器材</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6"/>
        <w:gridCol w:w="596"/>
        <w:gridCol w:w="1263"/>
        <w:gridCol w:w="787"/>
        <w:gridCol w:w="2214"/>
        <w:gridCol w:w="1833"/>
        <w:gridCol w:w="597"/>
        <w:gridCol w:w="597"/>
        <w:gridCol w:w="692"/>
        <w:gridCol w:w="7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序号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类别</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分类代码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名称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规格等技术参数</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执行代码标准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单位</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数量</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单价</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20101000400</w:t>
            </w:r>
          </w:p>
        </w:tc>
        <w:tc>
          <w:tcPr>
            <w:tcW w:w="0" w:type="auto"/>
            <w:vAlign w:val="center"/>
          </w:tcPr>
          <w:p>
            <w:pPr>
              <w:jc w:val="center"/>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计算机</w:t>
            </w:r>
          </w:p>
        </w:tc>
        <w:tc>
          <w:tcPr>
            <w:tcW w:w="0" w:type="auto"/>
            <w:vAlign w:val="center"/>
          </w:tcPr>
          <w:p>
            <w:pPr>
              <w:rPr>
                <w:rFonts w:ascii="宋体" w:hAnsi="宋体" w:cs="宋体"/>
                <w:bCs/>
                <w:sz w:val="20"/>
                <w:szCs w:val="20"/>
              </w:rPr>
            </w:pPr>
            <w:r>
              <w:rPr>
                <w:rFonts w:hint="eastAsia" w:ascii="宋体" w:hAnsi="宋体" w:cs="宋体"/>
                <w:bCs/>
                <w:sz w:val="20"/>
                <w:szCs w:val="20"/>
              </w:rPr>
              <w:t>一、硬件参数：</w:t>
            </w:r>
            <w:r>
              <w:rPr>
                <w:rFonts w:hint="eastAsia" w:ascii="宋体" w:hAnsi="宋体" w:cs="宋体"/>
                <w:bCs/>
                <w:sz w:val="20"/>
                <w:szCs w:val="20"/>
              </w:rPr>
              <w:br w:type="textWrapping"/>
            </w:r>
            <w:r>
              <w:rPr>
                <w:rFonts w:hint="eastAsia" w:ascii="宋体" w:hAnsi="宋体" w:cs="宋体"/>
                <w:bCs/>
                <w:sz w:val="20"/>
                <w:szCs w:val="20"/>
              </w:rPr>
              <w:t>▲1.CPU要求：Intel十二代 Core i5处理器或以上，主频≥3.0GHz 、≥6核处理器12线程，三级缓存≥18MB。</w:t>
            </w:r>
            <w:r>
              <w:rPr>
                <w:rFonts w:hint="eastAsia" w:ascii="宋体" w:hAnsi="宋体" w:cs="宋体"/>
                <w:bCs/>
                <w:sz w:val="20"/>
                <w:szCs w:val="20"/>
              </w:rPr>
              <w:br w:type="textWrapping"/>
            </w:r>
            <w:r>
              <w:rPr>
                <w:rFonts w:hint="eastAsia" w:ascii="宋体" w:hAnsi="宋体" w:cs="宋体"/>
                <w:bCs/>
                <w:sz w:val="20"/>
                <w:szCs w:val="20"/>
              </w:rPr>
              <w:t>2.具备独立显卡，显存≥4GB。</w:t>
            </w:r>
            <w:r>
              <w:rPr>
                <w:rFonts w:hint="eastAsia" w:ascii="宋体" w:hAnsi="宋体" w:cs="宋体"/>
                <w:bCs/>
                <w:sz w:val="20"/>
                <w:szCs w:val="20"/>
              </w:rPr>
              <w:br w:type="textWrapping"/>
            </w:r>
            <w:r>
              <w:rPr>
                <w:rFonts w:hint="eastAsia" w:ascii="宋体" w:hAnsi="宋体" w:cs="宋体"/>
                <w:bCs/>
                <w:sz w:val="20"/>
                <w:szCs w:val="20"/>
              </w:rPr>
              <w:t>3. 主板：Intel B760 系列芯片组或以上。</w:t>
            </w:r>
            <w:r>
              <w:rPr>
                <w:rFonts w:hint="eastAsia" w:ascii="宋体" w:hAnsi="宋体" w:cs="宋体"/>
                <w:bCs/>
                <w:sz w:val="20"/>
                <w:szCs w:val="20"/>
              </w:rPr>
              <w:br w:type="textWrapping"/>
            </w:r>
            <w:r>
              <w:rPr>
                <w:rFonts w:hint="eastAsia" w:ascii="宋体" w:hAnsi="宋体" w:cs="宋体"/>
                <w:bCs/>
                <w:sz w:val="20"/>
                <w:szCs w:val="20"/>
              </w:rPr>
              <w:t>▲4. 内存：16 GB DDR4 3200MT/s内存或以上。最大可支持拓展64GB。</w:t>
            </w:r>
            <w:r>
              <w:rPr>
                <w:rFonts w:hint="eastAsia" w:ascii="宋体" w:hAnsi="宋体" w:cs="宋体"/>
                <w:bCs/>
                <w:sz w:val="20"/>
                <w:szCs w:val="20"/>
              </w:rPr>
              <w:br w:type="textWrapping"/>
            </w:r>
            <w:r>
              <w:rPr>
                <w:rFonts w:hint="eastAsia" w:ascii="宋体" w:hAnsi="宋体" w:cs="宋体"/>
                <w:bCs/>
                <w:sz w:val="20"/>
                <w:szCs w:val="20"/>
              </w:rPr>
              <w:t>▲5. 硬盘：≥512 GB M.2 NVMe SSD硬盘，支持机械硬盘拓展</w:t>
            </w:r>
            <w:r>
              <w:rPr>
                <w:rFonts w:hint="eastAsia" w:ascii="宋体" w:hAnsi="宋体" w:cs="宋体"/>
                <w:bCs/>
                <w:sz w:val="20"/>
                <w:szCs w:val="20"/>
              </w:rPr>
              <w:br w:type="textWrapping"/>
            </w:r>
            <w:r>
              <w:rPr>
                <w:rFonts w:hint="eastAsia" w:ascii="宋体" w:hAnsi="宋体" w:cs="宋体"/>
                <w:bCs/>
                <w:sz w:val="20"/>
                <w:szCs w:val="20"/>
              </w:rPr>
              <w:t>6. 配置 9.5mm标准可刻录光驱。</w:t>
            </w:r>
            <w:r>
              <w:rPr>
                <w:rFonts w:hint="eastAsia" w:ascii="宋体" w:hAnsi="宋体" w:cs="宋体"/>
                <w:bCs/>
                <w:sz w:val="20"/>
                <w:szCs w:val="20"/>
              </w:rPr>
              <w:br w:type="textWrapping"/>
            </w:r>
            <w:r>
              <w:rPr>
                <w:rFonts w:hint="eastAsia" w:ascii="宋体" w:hAnsi="宋体" w:cs="宋体"/>
                <w:bCs/>
                <w:sz w:val="20"/>
                <w:szCs w:val="20"/>
              </w:rPr>
              <w:t>7.网口支持1000Mbps。网口支持wake on LAN。</w:t>
            </w:r>
            <w:r>
              <w:rPr>
                <w:rFonts w:hint="eastAsia" w:ascii="宋体" w:hAnsi="宋体" w:cs="宋体"/>
                <w:bCs/>
                <w:sz w:val="20"/>
                <w:szCs w:val="20"/>
              </w:rPr>
              <w:br w:type="textWrapping"/>
            </w:r>
            <w:r>
              <w:rPr>
                <w:rFonts w:hint="eastAsia" w:ascii="宋体" w:hAnsi="宋体" w:cs="宋体"/>
                <w:bCs/>
                <w:sz w:val="20"/>
                <w:szCs w:val="20"/>
              </w:rPr>
              <w:t>8. 集成标准声卡，配套2.1电脑音箱。</w:t>
            </w:r>
            <w:r>
              <w:rPr>
                <w:rFonts w:hint="eastAsia" w:ascii="宋体" w:hAnsi="宋体" w:cs="宋体"/>
                <w:bCs/>
                <w:sz w:val="20"/>
                <w:szCs w:val="20"/>
              </w:rPr>
              <w:br w:type="textWrapping"/>
            </w:r>
            <w:r>
              <w:rPr>
                <w:rFonts w:hint="eastAsia" w:ascii="宋体" w:hAnsi="宋体" w:cs="宋体"/>
                <w:bCs/>
                <w:sz w:val="20"/>
                <w:szCs w:val="20"/>
              </w:rPr>
              <w:t>9. USB有线键盘、鼠标。</w:t>
            </w:r>
            <w:r>
              <w:rPr>
                <w:rFonts w:hint="eastAsia" w:ascii="宋体" w:hAnsi="宋体" w:cs="宋体"/>
                <w:bCs/>
                <w:sz w:val="20"/>
                <w:szCs w:val="20"/>
              </w:rPr>
              <w:br w:type="textWrapping"/>
            </w:r>
            <w:r>
              <w:rPr>
                <w:rFonts w:hint="eastAsia" w:ascii="宋体" w:hAnsi="宋体" w:cs="宋体"/>
                <w:bCs/>
                <w:sz w:val="20"/>
                <w:szCs w:val="20"/>
              </w:rPr>
              <w:t>10.前置面板：USB3.0≥6个（其中两个支持USB 3.2 Gen2，四个支持USB 3.2 Gen1）；TypeC≥1个（支持USB 3.2 Gen1）；麦克风输入≥1个，音频输出≥1个。</w:t>
            </w:r>
            <w:r>
              <w:rPr>
                <w:rFonts w:hint="eastAsia" w:ascii="宋体" w:hAnsi="宋体" w:cs="宋体"/>
                <w:bCs/>
                <w:sz w:val="20"/>
                <w:szCs w:val="20"/>
              </w:rPr>
              <w:br w:type="textWrapping"/>
            </w:r>
            <w:r>
              <w:rPr>
                <w:rFonts w:hint="eastAsia" w:ascii="宋体" w:hAnsi="宋体" w:cs="宋体"/>
                <w:bCs/>
                <w:sz w:val="20"/>
                <w:szCs w:val="20"/>
              </w:rPr>
              <w:t>▲11.关机状态下，支持≥2前置USB端口对外供电。</w:t>
            </w:r>
            <w:r>
              <w:rPr>
                <w:rFonts w:hint="eastAsia" w:ascii="宋体" w:hAnsi="宋体" w:cs="宋体"/>
                <w:bCs/>
                <w:sz w:val="20"/>
                <w:szCs w:val="20"/>
              </w:rPr>
              <w:br w:type="textWrapping"/>
            </w:r>
            <w:r>
              <w:rPr>
                <w:rFonts w:hint="eastAsia" w:ascii="宋体" w:hAnsi="宋体" w:cs="宋体"/>
                <w:bCs/>
                <w:sz w:val="20"/>
                <w:szCs w:val="20"/>
              </w:rPr>
              <w:t>▲12.前置面板音频输出接口采用四段式接口，兼容单耳机输出和耳机、麦克风二合一。支持欧标/美标自动切换。</w:t>
            </w:r>
            <w:r>
              <w:rPr>
                <w:rFonts w:hint="eastAsia" w:ascii="宋体" w:hAnsi="宋体" w:cs="宋体"/>
                <w:bCs/>
                <w:sz w:val="20"/>
                <w:szCs w:val="20"/>
              </w:rPr>
              <w:br w:type="textWrapping"/>
            </w:r>
            <w:r>
              <w:rPr>
                <w:rFonts w:hint="eastAsia" w:ascii="宋体" w:hAnsi="宋体" w:cs="宋体"/>
                <w:bCs/>
                <w:sz w:val="20"/>
                <w:szCs w:val="20"/>
              </w:rPr>
              <w:t>13.后置面板：USB2.0≥4个；HDMI输出≥1；VGA输出≥1；DP输出≥1；音频输入≥2；音频输出≥1；RJ45≥1；串口≥1。</w:t>
            </w:r>
            <w:r>
              <w:rPr>
                <w:rFonts w:hint="eastAsia" w:ascii="宋体" w:hAnsi="宋体" w:cs="宋体"/>
                <w:bCs/>
                <w:sz w:val="20"/>
                <w:szCs w:val="20"/>
              </w:rPr>
              <w:br w:type="textWrapping"/>
            </w:r>
            <w:r>
              <w:rPr>
                <w:rFonts w:hint="eastAsia" w:ascii="宋体" w:hAnsi="宋体" w:cs="宋体"/>
                <w:bCs/>
                <w:sz w:val="20"/>
                <w:szCs w:val="20"/>
              </w:rPr>
              <w:t>▲14. 串口支持在S5（关机）状态下唤醒设备。</w:t>
            </w:r>
            <w:r>
              <w:rPr>
                <w:rFonts w:hint="eastAsia" w:ascii="宋体" w:hAnsi="宋体" w:cs="宋体"/>
                <w:bCs/>
                <w:sz w:val="20"/>
                <w:szCs w:val="20"/>
              </w:rPr>
              <w:br w:type="textWrapping"/>
            </w:r>
            <w:r>
              <w:rPr>
                <w:rFonts w:hint="eastAsia" w:ascii="宋体" w:hAnsi="宋体" w:cs="宋体"/>
                <w:bCs/>
                <w:sz w:val="20"/>
                <w:szCs w:val="20"/>
              </w:rPr>
              <w:t>15.内部插槽：PCIEX16接口≥1个（支持拓展独立显卡）；PCIEX1接口≥2个；PCI接口≥1个；M.2接口≥2个；SATA接口≥3个。</w:t>
            </w:r>
            <w:r>
              <w:rPr>
                <w:rFonts w:hint="eastAsia" w:ascii="宋体" w:hAnsi="宋体" w:cs="宋体"/>
                <w:bCs/>
                <w:sz w:val="20"/>
                <w:szCs w:val="20"/>
              </w:rPr>
              <w:br w:type="textWrapping"/>
            </w:r>
            <w:r>
              <w:rPr>
                <w:rFonts w:hint="eastAsia" w:ascii="宋体" w:hAnsi="宋体" w:cs="宋体"/>
                <w:bCs/>
                <w:sz w:val="20"/>
                <w:szCs w:val="20"/>
              </w:rPr>
              <w:t>16.机箱体积：≤15L。</w:t>
            </w:r>
            <w:r>
              <w:rPr>
                <w:rFonts w:hint="eastAsia" w:ascii="宋体" w:hAnsi="宋体" w:cs="宋体"/>
                <w:bCs/>
                <w:sz w:val="20"/>
                <w:szCs w:val="20"/>
              </w:rPr>
              <w:br w:type="textWrapping"/>
            </w:r>
            <w:r>
              <w:rPr>
                <w:rFonts w:hint="eastAsia" w:ascii="宋体" w:hAnsi="宋体" w:cs="宋体"/>
                <w:bCs/>
                <w:sz w:val="20"/>
                <w:szCs w:val="20"/>
              </w:rPr>
              <w:t>17.电源功率：≤500W。</w:t>
            </w:r>
            <w:r>
              <w:rPr>
                <w:rFonts w:hint="eastAsia" w:ascii="宋体" w:hAnsi="宋体" w:cs="宋体"/>
                <w:bCs/>
                <w:sz w:val="20"/>
                <w:szCs w:val="20"/>
              </w:rPr>
              <w:br w:type="textWrapping"/>
            </w:r>
            <w:r>
              <w:rPr>
                <w:rFonts w:hint="eastAsia" w:ascii="宋体" w:hAnsi="宋体" w:cs="宋体"/>
                <w:bCs/>
                <w:sz w:val="20"/>
                <w:szCs w:val="20"/>
              </w:rPr>
              <w:t>18. ▲可通过物理按键实现系统一键还原。</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二、显示器：</w:t>
            </w:r>
            <w:r>
              <w:rPr>
                <w:rFonts w:hint="eastAsia" w:ascii="宋体" w:hAnsi="宋体" w:cs="宋体"/>
                <w:bCs/>
                <w:sz w:val="20"/>
                <w:szCs w:val="20"/>
              </w:rPr>
              <w:br w:type="textWrapping"/>
            </w:r>
            <w:r>
              <w:rPr>
                <w:rFonts w:hint="eastAsia" w:ascii="宋体" w:hAnsi="宋体" w:cs="宋体"/>
                <w:bCs/>
                <w:sz w:val="20"/>
                <w:szCs w:val="20"/>
              </w:rPr>
              <w:t>1.显示器≥23.8英寸显示屏幕，分辨率≥1920*1080。</w:t>
            </w:r>
            <w:r>
              <w:rPr>
                <w:rFonts w:hint="eastAsia" w:ascii="宋体" w:hAnsi="宋体" w:cs="宋体"/>
                <w:bCs/>
                <w:sz w:val="20"/>
                <w:szCs w:val="20"/>
              </w:rPr>
              <w:br w:type="textWrapping"/>
            </w:r>
            <w:r>
              <w:rPr>
                <w:rFonts w:hint="eastAsia" w:ascii="宋体" w:hAnsi="宋体" w:cs="宋体"/>
                <w:bCs/>
                <w:sz w:val="20"/>
                <w:szCs w:val="20"/>
              </w:rPr>
              <w:t>▲2.屏幕亮度≥250nit，IPS屏。</w:t>
            </w:r>
            <w:r>
              <w:rPr>
                <w:rFonts w:hint="eastAsia" w:ascii="宋体" w:hAnsi="宋体" w:cs="宋体"/>
                <w:bCs/>
                <w:sz w:val="20"/>
                <w:szCs w:val="20"/>
              </w:rPr>
              <w:br w:type="textWrapping"/>
            </w:r>
            <w:r>
              <w:rPr>
                <w:rFonts w:hint="eastAsia" w:ascii="宋体" w:hAnsi="宋体" w:cs="宋体"/>
                <w:bCs/>
                <w:sz w:val="20"/>
                <w:szCs w:val="20"/>
              </w:rPr>
              <w:t>3.支持VGA≥1，HDMI≥1。</w:t>
            </w:r>
            <w:r>
              <w:rPr>
                <w:rFonts w:hint="eastAsia" w:ascii="宋体" w:hAnsi="宋体" w:cs="宋体"/>
                <w:bCs/>
                <w:sz w:val="20"/>
                <w:szCs w:val="20"/>
              </w:rPr>
              <w:br w:type="textWrapping"/>
            </w:r>
            <w:r>
              <w:rPr>
                <w:rFonts w:hint="eastAsia" w:ascii="宋体" w:hAnsi="宋体" w:cs="宋体"/>
                <w:bCs/>
                <w:sz w:val="20"/>
                <w:szCs w:val="20"/>
              </w:rPr>
              <w:t>▲4.为保证屏幕色彩显示真实度，显示屏幕DCI-P3色域覆盖率≥ 90%。</w:t>
            </w:r>
            <w:r>
              <w:rPr>
                <w:rFonts w:hint="eastAsia" w:ascii="宋体" w:hAnsi="宋体" w:cs="宋体"/>
                <w:bCs/>
                <w:sz w:val="20"/>
                <w:szCs w:val="20"/>
              </w:rPr>
              <w:br w:type="textWrapping"/>
            </w:r>
            <w:r>
              <w:rPr>
                <w:rFonts w:hint="eastAsia" w:ascii="宋体" w:hAnsi="宋体" w:cs="宋体"/>
                <w:bCs/>
                <w:sz w:val="20"/>
                <w:szCs w:val="20"/>
              </w:rPr>
              <w:t>5.对比度达到1000:1，屏幕刷新率达到75Hz，响应时间≤7ms，可视角度178/178。</w:t>
            </w:r>
            <w:r>
              <w:rPr>
                <w:rFonts w:hint="eastAsia" w:ascii="宋体" w:hAnsi="宋体" w:cs="宋体"/>
                <w:bCs/>
                <w:sz w:val="20"/>
                <w:szCs w:val="20"/>
              </w:rPr>
              <w:br w:type="textWrapping"/>
            </w:r>
            <w:r>
              <w:rPr>
                <w:rFonts w:hint="eastAsia" w:ascii="宋体" w:hAnsi="宋体" w:cs="宋体"/>
                <w:bCs/>
                <w:sz w:val="20"/>
                <w:szCs w:val="20"/>
              </w:rPr>
              <w:t>6.电源能效转换效率≥86%</w:t>
            </w:r>
            <w:r>
              <w:rPr>
                <w:rFonts w:hint="eastAsia" w:ascii="宋体" w:hAnsi="宋体" w:cs="宋体"/>
                <w:bCs/>
                <w:sz w:val="20"/>
                <w:szCs w:val="20"/>
              </w:rPr>
              <w:br w:type="textWrapping"/>
            </w:r>
            <w:r>
              <w:rPr>
                <w:rFonts w:hint="eastAsia" w:ascii="宋体" w:hAnsi="宋体" w:cs="宋体"/>
                <w:bCs/>
                <w:sz w:val="20"/>
                <w:szCs w:val="20"/>
              </w:rPr>
              <w:t>▲7.显示屏幕具备护眼模式，护眼模式下，蓝光比例≤20%。</w:t>
            </w:r>
          </w:p>
          <w:p>
            <w:pPr>
              <w:rPr>
                <w:rFonts w:ascii="宋体" w:hAnsi="宋体" w:cs="宋体"/>
                <w:bCs/>
                <w:sz w:val="20"/>
                <w:szCs w:val="20"/>
              </w:rPr>
            </w:pPr>
            <w:r>
              <w:rPr>
                <w:rFonts w:hint="eastAsia" w:ascii="宋体" w:hAnsi="宋体" w:cs="宋体"/>
                <w:bCs/>
                <w:sz w:val="20"/>
                <w:szCs w:val="20"/>
              </w:rPr>
              <w:t>8.显示屏幕采用窄边设计，上左右边框≤3.6mm，下边框≤16.5mm，屏占比≥92%。</w:t>
            </w:r>
            <w:r>
              <w:rPr>
                <w:rFonts w:hint="eastAsia" w:ascii="宋体" w:hAnsi="宋体" w:cs="宋体"/>
                <w:bCs/>
                <w:sz w:val="20"/>
                <w:szCs w:val="20"/>
              </w:rPr>
              <w:br w:type="textWrapping"/>
            </w:r>
            <w:r>
              <w:rPr>
                <w:rFonts w:hint="eastAsia" w:ascii="宋体" w:hAnsi="宋体" w:cs="宋体"/>
                <w:bCs/>
                <w:sz w:val="20"/>
                <w:szCs w:val="20"/>
              </w:rPr>
              <w:t>9.为保护教师、学生视力健康，硬件具备硬件低蓝光，获得TUV硬件低蓝光认证。</w:t>
            </w:r>
            <w:r>
              <w:rPr>
                <w:rFonts w:hint="eastAsia" w:ascii="宋体" w:hAnsi="宋体" w:cs="宋体"/>
                <w:bCs/>
                <w:sz w:val="20"/>
                <w:szCs w:val="20"/>
              </w:rPr>
              <w:br w:type="textWrapping"/>
            </w:r>
            <w:r>
              <w:rPr>
                <w:rFonts w:hint="eastAsia" w:ascii="宋体" w:hAnsi="宋体" w:cs="宋体"/>
                <w:bCs/>
                <w:sz w:val="20"/>
                <w:szCs w:val="20"/>
              </w:rPr>
              <w:t>10.为保护教师、学生视力健康，硬件具备无频闪，获得TUV无频闪认证。</w:t>
            </w:r>
            <w:r>
              <w:rPr>
                <w:rFonts w:hint="eastAsia" w:ascii="宋体" w:hAnsi="宋体" w:cs="宋体"/>
                <w:bCs/>
                <w:sz w:val="20"/>
                <w:szCs w:val="20"/>
              </w:rPr>
              <w:br w:type="textWrapping"/>
            </w:r>
            <w:r>
              <w:rPr>
                <w:rFonts w:hint="eastAsia" w:ascii="宋体" w:hAnsi="宋体" w:cs="宋体"/>
                <w:bCs/>
                <w:sz w:val="20"/>
                <w:szCs w:val="20"/>
              </w:rPr>
              <w:t>11.为保证兼容性，显示器与教学主机保持同一品牌。</w:t>
            </w:r>
          </w:p>
        </w:tc>
        <w:tc>
          <w:tcPr>
            <w:tcW w:w="0" w:type="auto"/>
            <w:vAlign w:val="center"/>
          </w:tcPr>
          <w:p>
            <w:pPr>
              <w:jc w:val="center"/>
              <w:rPr>
                <w:rFonts w:ascii="宋体" w:hAnsi="宋体" w:cs="宋体"/>
                <w:bCs/>
                <w:sz w:val="20"/>
                <w:szCs w:val="20"/>
              </w:rPr>
            </w:pPr>
            <w:r>
              <w:rPr>
                <w:rFonts w:hint="eastAsia" w:ascii="宋体" w:hAnsi="宋体" w:cs="宋体"/>
                <w:bCs/>
                <w:color w:val="auto"/>
                <w:sz w:val="20"/>
                <w:szCs w:val="20"/>
                <w:lang w:val="en-US" w:eastAsia="zh-CN"/>
              </w:rPr>
              <w:t>GB/T 9813.1-2016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打印机</w:t>
            </w:r>
          </w:p>
        </w:tc>
        <w:tc>
          <w:tcPr>
            <w:tcW w:w="0" w:type="auto"/>
            <w:vAlign w:val="center"/>
          </w:tcPr>
          <w:p>
            <w:pPr>
              <w:rPr>
                <w:rFonts w:ascii="宋体" w:hAnsi="宋体" w:cs="宋体"/>
                <w:bCs/>
                <w:sz w:val="20"/>
                <w:szCs w:val="20"/>
              </w:rPr>
            </w:pPr>
            <w:r>
              <w:rPr>
                <w:rFonts w:hint="eastAsia" w:ascii="宋体" w:hAnsi="宋体" w:cs="宋体"/>
                <w:bCs/>
                <w:sz w:val="20"/>
                <w:szCs w:val="20"/>
              </w:rPr>
              <w:t>具备打印、复印、扫描功能，35页自动进稿器，打印、复印速度30PPM，首页打印输出8.5秒，处理器266MHz，内存32M，600*600dpi，CIS扫描，双面打印和网络，进纸盒250+1页，鼓粉分离，随机墨粉2600页，1年上门保修。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20105020000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移动存储器</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存储容量：1TB </w:t>
            </w:r>
            <w:r>
              <w:rPr>
                <w:rFonts w:hint="eastAsia" w:ascii="宋体" w:hAnsi="宋体" w:cs="宋体"/>
                <w:bCs/>
                <w:sz w:val="20"/>
                <w:szCs w:val="20"/>
              </w:rPr>
              <w:br w:type="textWrapping"/>
            </w:r>
            <w:r>
              <w:rPr>
                <w:rFonts w:hint="eastAsia" w:ascii="宋体" w:hAnsi="宋体" w:cs="宋体"/>
                <w:bCs/>
                <w:sz w:val="20"/>
                <w:szCs w:val="20"/>
              </w:rPr>
              <w:t>硬盘尺寸：2.5英寸硬盘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30306007002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计算器</w:t>
            </w:r>
          </w:p>
        </w:tc>
        <w:tc>
          <w:tcPr>
            <w:tcW w:w="0" w:type="auto"/>
            <w:vAlign w:val="center"/>
          </w:tcPr>
          <w:p>
            <w:pPr>
              <w:rPr>
                <w:rFonts w:ascii="宋体" w:hAnsi="宋体" w:cs="宋体"/>
                <w:bCs/>
                <w:sz w:val="20"/>
                <w:szCs w:val="20"/>
              </w:rPr>
            </w:pPr>
            <w:r>
              <w:rPr>
                <w:rFonts w:hint="eastAsia" w:ascii="宋体" w:hAnsi="宋体" w:cs="宋体"/>
                <w:bCs/>
                <w:sz w:val="20"/>
                <w:szCs w:val="20"/>
              </w:rPr>
              <w:t>1、函数型；</w:t>
            </w:r>
            <w:r>
              <w:rPr>
                <w:rFonts w:hint="eastAsia" w:ascii="宋体" w:hAnsi="宋体" w:cs="宋体"/>
                <w:bCs/>
                <w:sz w:val="20"/>
                <w:szCs w:val="20"/>
              </w:rPr>
              <w:br w:type="textWrapping"/>
            </w:r>
            <w:r>
              <w:rPr>
                <w:rFonts w:hint="eastAsia" w:ascii="宋体" w:hAnsi="宋体" w:cs="宋体"/>
                <w:bCs/>
                <w:sz w:val="20"/>
                <w:szCs w:val="20"/>
              </w:rPr>
              <w:t>2、10+2位数、有统计运算功能、有分数计算功能、双行LCD显示、有函数运算功能、有多行重视功能、有方程编辑及显示、查看功能、有独立储存器功能、有临时储存器功能、有普通四则运算功能、有自动关机功能、应保留普通计算器的其他功能。</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GB/T4967-1995、JY/T0382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录放音机</w:t>
            </w:r>
          </w:p>
        </w:tc>
        <w:tc>
          <w:tcPr>
            <w:tcW w:w="0" w:type="auto"/>
            <w:vAlign w:val="center"/>
          </w:tcPr>
          <w:p>
            <w:pPr>
              <w:rPr>
                <w:rFonts w:ascii="宋体" w:hAnsi="宋体" w:cs="宋体"/>
                <w:bCs/>
                <w:sz w:val="20"/>
                <w:szCs w:val="20"/>
              </w:rPr>
            </w:pPr>
            <w:r>
              <w:rPr>
                <w:rFonts w:hint="eastAsia" w:ascii="宋体" w:hAnsi="宋体" w:cs="宋体"/>
                <w:bCs/>
                <w:sz w:val="20"/>
                <w:szCs w:val="20"/>
              </w:rPr>
              <w:t>双卡，支持U盘、内存卡，可读光盘</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20806000900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扩音设备</w:t>
            </w:r>
          </w:p>
        </w:tc>
        <w:tc>
          <w:tcPr>
            <w:tcW w:w="0" w:type="auto"/>
            <w:vAlign w:val="center"/>
          </w:tcPr>
          <w:p>
            <w:pPr>
              <w:rPr>
                <w:rFonts w:ascii="宋体" w:hAnsi="宋体" w:cs="宋体"/>
                <w:bCs/>
                <w:sz w:val="20"/>
                <w:szCs w:val="20"/>
              </w:rPr>
            </w:pPr>
            <w:r>
              <w:rPr>
                <w:rFonts w:hint="eastAsia" w:ascii="宋体" w:hAnsi="宋体" w:cs="宋体"/>
                <w:bCs/>
                <w:sz w:val="20"/>
                <w:szCs w:val="20"/>
              </w:rPr>
              <w:t>便携式，频率响应：100Hz〜10kHz,土3dB；使用电源：内置锂电池，一次充电可连续使用6小时以上；功率为25W；采用ABS工程塑料；音色清晰，声音洪亮，适用面积200m2以上</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30199001400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打气筒</w:t>
            </w:r>
          </w:p>
        </w:tc>
        <w:tc>
          <w:tcPr>
            <w:tcW w:w="0" w:type="auto"/>
            <w:vAlign w:val="center"/>
          </w:tcPr>
          <w:p>
            <w:pPr>
              <w:rPr>
                <w:rFonts w:ascii="宋体" w:hAnsi="宋体" w:cs="宋体"/>
                <w:bCs/>
                <w:sz w:val="20"/>
                <w:szCs w:val="20"/>
              </w:rPr>
            </w:pPr>
            <w:r>
              <w:rPr>
                <w:rFonts w:hint="eastAsia" w:ascii="宋体" w:hAnsi="宋体" w:cs="宋体"/>
                <w:bCs/>
                <w:sz w:val="20"/>
                <w:szCs w:val="20"/>
              </w:rPr>
              <w:t>带储气罐/人工充气,适合给各种球类充气</w:t>
            </w:r>
          </w:p>
        </w:tc>
        <w:tc>
          <w:tcPr>
            <w:tcW w:w="0" w:type="auto"/>
            <w:vAlign w:val="center"/>
          </w:tcPr>
          <w:p>
            <w:pPr>
              <w:jc w:val="center"/>
              <w:rPr>
                <w:rFonts w:ascii="宋体" w:hAnsi="宋体" w:cs="宋体"/>
                <w:bCs/>
                <w:sz w:val="20"/>
                <w:szCs w:val="20"/>
              </w:rPr>
            </w:pPr>
            <w:r>
              <w:rPr>
                <w:rFonts w:hint="eastAsia" w:ascii="宋体" w:hAnsi="宋体" w:cs="宋体"/>
                <w:bCs/>
                <w:sz w:val="20"/>
                <w:szCs w:val="20"/>
                <w:lang w:val="en-US" w:eastAsia="zh-CN"/>
              </w:rPr>
              <w:t>QB/T 2182-2023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30199001700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电动充气泵</w:t>
            </w:r>
          </w:p>
        </w:tc>
        <w:tc>
          <w:tcPr>
            <w:tcW w:w="0" w:type="auto"/>
            <w:vAlign w:val="center"/>
          </w:tcPr>
          <w:p>
            <w:pPr>
              <w:rPr>
                <w:rFonts w:ascii="宋体" w:hAnsi="宋体" w:cs="宋体"/>
                <w:bCs/>
                <w:sz w:val="20"/>
                <w:szCs w:val="20"/>
              </w:rPr>
            </w:pPr>
            <w:r>
              <w:rPr>
                <w:rFonts w:hint="eastAsia" w:ascii="宋体" w:hAnsi="宋体" w:cs="宋体"/>
                <w:bCs/>
                <w:sz w:val="20"/>
                <w:szCs w:val="20"/>
              </w:rPr>
              <w:t>用于篮球、排球、足球充气</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30203000100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机械秒表</w:t>
            </w:r>
          </w:p>
        </w:tc>
        <w:tc>
          <w:tcPr>
            <w:tcW w:w="0" w:type="auto"/>
            <w:vAlign w:val="center"/>
          </w:tcPr>
          <w:p>
            <w:pPr>
              <w:rPr>
                <w:rFonts w:ascii="宋体" w:hAnsi="宋体" w:cs="宋体"/>
                <w:bCs/>
                <w:sz w:val="20"/>
                <w:szCs w:val="20"/>
              </w:rPr>
            </w:pPr>
            <w:r>
              <w:rPr>
                <w:rFonts w:hint="eastAsia" w:ascii="宋体" w:hAnsi="宋体" w:cs="宋体"/>
                <w:bCs/>
                <w:sz w:val="20"/>
                <w:szCs w:val="20"/>
              </w:rPr>
              <w:t>表机采用不锈钢发条，单金属光摆轮，分针15分/圈，秒针30秒/圈，延续走时6小时无暂停</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GB/T22773-2008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30203000202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数字秒表</w:t>
            </w:r>
          </w:p>
        </w:tc>
        <w:tc>
          <w:tcPr>
            <w:tcW w:w="0" w:type="auto"/>
            <w:vAlign w:val="center"/>
          </w:tcPr>
          <w:p>
            <w:pPr>
              <w:rPr>
                <w:rFonts w:ascii="宋体" w:hAnsi="宋体" w:cs="宋体"/>
                <w:bCs/>
                <w:sz w:val="20"/>
                <w:szCs w:val="20"/>
              </w:rPr>
            </w:pPr>
            <w:r>
              <w:rPr>
                <w:rFonts w:hint="eastAsia" w:ascii="宋体" w:hAnsi="宋体" w:cs="宋体"/>
                <w:bCs/>
                <w:sz w:val="20"/>
                <w:szCs w:val="20"/>
              </w:rPr>
              <w:t>三排显示，60时段记忆功能；</w:t>
            </w:r>
            <w:r>
              <w:rPr>
                <w:rFonts w:hint="eastAsia" w:ascii="宋体" w:hAnsi="宋体" w:cs="宋体"/>
                <w:bCs/>
                <w:sz w:val="20"/>
                <w:szCs w:val="20"/>
              </w:rPr>
              <w:br w:type="textWrapping"/>
            </w:r>
            <w:r>
              <w:rPr>
                <w:rFonts w:hint="eastAsia" w:ascii="宋体" w:hAnsi="宋体" w:cs="宋体"/>
                <w:bCs/>
                <w:sz w:val="20"/>
                <w:szCs w:val="20"/>
              </w:rPr>
              <w:t>1/100秒精确计时；</w:t>
            </w:r>
            <w:r>
              <w:rPr>
                <w:rFonts w:hint="eastAsia" w:ascii="宋体" w:hAnsi="宋体" w:cs="宋体"/>
                <w:bCs/>
                <w:sz w:val="20"/>
                <w:szCs w:val="20"/>
              </w:rPr>
              <w:br w:type="textWrapping"/>
            </w:r>
            <w:r>
              <w:rPr>
                <w:rFonts w:hint="eastAsia" w:ascii="宋体" w:hAnsi="宋体" w:cs="宋体"/>
                <w:bCs/>
                <w:sz w:val="20"/>
                <w:szCs w:val="20"/>
              </w:rPr>
              <w:t>预置倒数计时，专设步频节拍器可显示最快、最慢、平均时间；</w:t>
            </w:r>
            <w:r>
              <w:rPr>
                <w:rFonts w:hint="eastAsia" w:ascii="宋体" w:hAnsi="宋体" w:cs="宋体"/>
                <w:bCs/>
                <w:sz w:val="20"/>
                <w:szCs w:val="20"/>
              </w:rPr>
              <w:br w:type="textWrapping"/>
            </w:r>
            <w:r>
              <w:rPr>
                <w:rFonts w:hint="eastAsia" w:ascii="宋体" w:hAnsi="宋体" w:cs="宋体"/>
                <w:bCs/>
                <w:sz w:val="20"/>
                <w:szCs w:val="20"/>
              </w:rPr>
              <w:t>时间、日历、定时闹响（12/24小时制式转换）；</w:t>
            </w:r>
            <w:r>
              <w:rPr>
                <w:rFonts w:hint="eastAsia" w:ascii="宋体" w:hAnsi="宋体" w:cs="宋体"/>
                <w:bCs/>
                <w:sz w:val="20"/>
                <w:szCs w:val="20"/>
              </w:rPr>
              <w:br w:type="textWrapping"/>
            </w:r>
            <w:r>
              <w:rPr>
                <w:rFonts w:hint="eastAsia" w:ascii="宋体" w:hAnsi="宋体" w:cs="宋体"/>
                <w:bCs/>
                <w:sz w:val="20"/>
                <w:szCs w:val="20"/>
              </w:rPr>
              <w:t>大容量锂电池，电池寿命1年,二种秒表功能模式。</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GB/T22778-2008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119</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20m,仿皮外壳，尺带：苎麻布卷尺，防水，防腐蚀；铜制卡扣和收放扣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30201000903</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30m,仿皮外壳，尺带：苎麻布卷尺，防水，防腐蚀；铜制卡扣和收放扣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30201000904</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布卷尺</w:t>
            </w:r>
          </w:p>
        </w:tc>
        <w:tc>
          <w:tcPr>
            <w:tcW w:w="0" w:type="auto"/>
            <w:vAlign w:val="center"/>
          </w:tcPr>
          <w:p>
            <w:pPr>
              <w:rPr>
                <w:rFonts w:ascii="宋体" w:hAnsi="宋体" w:cs="宋体"/>
                <w:bCs/>
                <w:sz w:val="20"/>
                <w:szCs w:val="20"/>
              </w:rPr>
            </w:pPr>
            <w:r>
              <w:rPr>
                <w:rFonts w:hint="eastAsia" w:ascii="宋体" w:hAnsi="宋体" w:cs="宋体"/>
                <w:bCs/>
                <w:sz w:val="20"/>
                <w:szCs w:val="20"/>
              </w:rPr>
              <w:t>50m,仿皮外壳，尺带：苎麻布卷尺，防水,防腐蚀；铜制卡扣和收放扣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QB/T1519-2011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盒</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60603060000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体育器材架</w:t>
            </w:r>
          </w:p>
        </w:tc>
        <w:tc>
          <w:tcPr>
            <w:tcW w:w="0" w:type="auto"/>
            <w:vAlign w:val="center"/>
          </w:tcPr>
          <w:p>
            <w:pPr>
              <w:rPr>
                <w:rFonts w:ascii="宋体" w:hAnsi="宋体" w:cs="宋体"/>
                <w:bCs/>
                <w:sz w:val="20"/>
                <w:szCs w:val="20"/>
              </w:rPr>
            </w:pPr>
            <w:r>
              <w:rPr>
                <w:rFonts w:hint="eastAsia" w:ascii="宋体" w:hAnsi="宋体" w:cs="宋体"/>
                <w:bCs/>
                <w:sz w:val="20"/>
                <w:szCs w:val="20"/>
              </w:rPr>
              <w:t>规格：2000mm*600mm*2000mm</w:t>
            </w:r>
            <w:r>
              <w:rPr>
                <w:rFonts w:hint="eastAsia" w:ascii="宋体" w:hAnsi="宋体" w:cs="宋体"/>
                <w:bCs/>
                <w:sz w:val="20"/>
                <w:szCs w:val="20"/>
              </w:rPr>
              <w:br w:type="textWrapping"/>
            </w:r>
            <w:r>
              <w:rPr>
                <w:rFonts w:hint="eastAsia" w:ascii="宋体" w:hAnsi="宋体" w:cs="宋体"/>
                <w:bCs/>
                <w:sz w:val="20"/>
                <w:szCs w:val="20"/>
              </w:rPr>
              <w:t>立柱为：40mm*80mm*0.6mm，C型钢</w:t>
            </w:r>
            <w:r>
              <w:rPr>
                <w:rFonts w:hint="eastAsia" w:ascii="宋体" w:hAnsi="宋体" w:cs="宋体"/>
                <w:bCs/>
                <w:sz w:val="20"/>
                <w:szCs w:val="20"/>
              </w:rPr>
              <w:br w:type="textWrapping"/>
            </w:r>
            <w:r>
              <w:rPr>
                <w:rFonts w:hint="eastAsia" w:ascii="宋体" w:hAnsi="宋体" w:cs="宋体"/>
                <w:bCs/>
                <w:sz w:val="20"/>
                <w:szCs w:val="20"/>
              </w:rPr>
              <w:t>冲孔为：蝴蝶孔</w:t>
            </w:r>
            <w:r>
              <w:rPr>
                <w:rFonts w:hint="eastAsia" w:ascii="宋体" w:hAnsi="宋体" w:cs="宋体"/>
                <w:bCs/>
                <w:sz w:val="20"/>
                <w:szCs w:val="20"/>
              </w:rPr>
              <w:br w:type="textWrapping"/>
            </w:r>
            <w:r>
              <w:rPr>
                <w:rFonts w:hint="eastAsia" w:ascii="宋体" w:hAnsi="宋体" w:cs="宋体"/>
                <w:bCs/>
                <w:sz w:val="20"/>
                <w:szCs w:val="20"/>
              </w:rPr>
              <w:t>横梁为40mm*80mm*0.5mm，P型钢</w:t>
            </w:r>
            <w:r>
              <w:rPr>
                <w:rFonts w:hint="eastAsia" w:ascii="宋体" w:hAnsi="宋体" w:cs="宋体"/>
                <w:bCs/>
                <w:sz w:val="20"/>
                <w:szCs w:val="20"/>
              </w:rPr>
              <w:br w:type="textWrapping"/>
            </w:r>
            <w:r>
              <w:rPr>
                <w:rFonts w:hint="eastAsia" w:ascii="宋体" w:hAnsi="宋体" w:cs="宋体"/>
                <w:bCs/>
                <w:sz w:val="20"/>
                <w:szCs w:val="20"/>
              </w:rPr>
              <w:t>板厚不小于0.3mm</w:t>
            </w:r>
            <w:r>
              <w:rPr>
                <w:rFonts w:hint="eastAsia" w:ascii="宋体" w:hAnsi="宋体" w:cs="宋体"/>
                <w:bCs/>
                <w:sz w:val="20"/>
                <w:szCs w:val="20"/>
              </w:rPr>
              <w:br w:type="textWrapping"/>
            </w:r>
            <w:r>
              <w:rPr>
                <w:rFonts w:hint="eastAsia" w:ascii="宋体" w:hAnsi="宋体" w:cs="宋体"/>
                <w:bCs/>
                <w:sz w:val="20"/>
                <w:szCs w:val="20"/>
              </w:rPr>
              <w:t>四层，层板可调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60503060001</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体育器材橱（柜）</w:t>
            </w:r>
          </w:p>
        </w:tc>
        <w:tc>
          <w:tcPr>
            <w:tcW w:w="0" w:type="auto"/>
            <w:vAlign w:val="center"/>
          </w:tcPr>
          <w:p>
            <w:pPr>
              <w:rPr>
                <w:rFonts w:ascii="宋体" w:hAnsi="宋体" w:cs="宋体"/>
                <w:bCs/>
                <w:sz w:val="20"/>
                <w:szCs w:val="20"/>
              </w:rPr>
            </w:pPr>
            <w:r>
              <w:rPr>
                <w:rFonts w:hint="eastAsia" w:ascii="宋体" w:hAnsi="宋体" w:cs="宋体"/>
                <w:bCs/>
                <w:sz w:val="20"/>
                <w:szCs w:val="20"/>
              </w:rPr>
              <w:t>外形尺寸1850mm*900mm*400mm</w:t>
            </w:r>
            <w:r>
              <w:rPr>
                <w:rFonts w:hint="eastAsia" w:ascii="宋体" w:hAnsi="宋体" w:cs="宋体"/>
                <w:bCs/>
                <w:sz w:val="20"/>
                <w:szCs w:val="20"/>
              </w:rPr>
              <w:br w:type="textWrapping"/>
            </w:r>
            <w:r>
              <w:rPr>
                <w:rFonts w:hint="eastAsia" w:ascii="宋体" w:hAnsi="宋体" w:cs="宋体"/>
                <w:bCs/>
                <w:sz w:val="20"/>
                <w:szCs w:val="20"/>
              </w:rPr>
              <w:t>上边三层玻璃对开门，钢化玻璃厚度3.5mm</w:t>
            </w:r>
            <w:r>
              <w:rPr>
                <w:rFonts w:hint="eastAsia" w:ascii="宋体" w:hAnsi="宋体" w:cs="宋体"/>
                <w:bCs/>
                <w:sz w:val="20"/>
                <w:szCs w:val="20"/>
              </w:rPr>
              <w:br w:type="textWrapping"/>
            </w:r>
            <w:r>
              <w:rPr>
                <w:rFonts w:hint="eastAsia" w:ascii="宋体" w:hAnsi="宋体" w:cs="宋体"/>
                <w:bCs/>
                <w:sz w:val="20"/>
                <w:szCs w:val="20"/>
              </w:rPr>
              <w:t>下边两层，中间隔板高度可以随意调节。</w:t>
            </w:r>
            <w:r>
              <w:rPr>
                <w:rFonts w:hint="eastAsia" w:ascii="宋体" w:hAnsi="宋体" w:cs="宋体"/>
                <w:bCs/>
                <w:sz w:val="20"/>
                <w:szCs w:val="20"/>
              </w:rPr>
              <w:br w:type="textWrapping"/>
            </w:r>
            <w:r>
              <w:rPr>
                <w:rFonts w:hint="eastAsia" w:ascii="宋体" w:hAnsi="宋体" w:cs="宋体"/>
                <w:bCs/>
                <w:sz w:val="20"/>
                <w:szCs w:val="20"/>
              </w:rPr>
              <w:t>整体采用0.6mm钢板制作而成，拆装式，方便移动和运输。</w:t>
            </w:r>
            <w:r>
              <w:rPr>
                <w:rFonts w:hint="eastAsia" w:ascii="宋体" w:hAnsi="宋体" w:cs="宋体"/>
                <w:bCs/>
                <w:sz w:val="20"/>
                <w:szCs w:val="20"/>
              </w:rPr>
              <w:br w:type="textWrapping"/>
            </w:r>
            <w:r>
              <w:rPr>
                <w:rFonts w:hint="eastAsia" w:ascii="宋体" w:hAnsi="宋体" w:cs="宋体"/>
                <w:bCs/>
                <w:sz w:val="20"/>
                <w:szCs w:val="20"/>
              </w:rPr>
              <w:t>可上锁，配锁。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30814300800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装球车</w:t>
            </w:r>
          </w:p>
        </w:tc>
        <w:tc>
          <w:tcPr>
            <w:tcW w:w="0" w:type="auto"/>
            <w:vAlign w:val="center"/>
          </w:tcPr>
          <w:p>
            <w:pPr>
              <w:rPr>
                <w:rFonts w:ascii="宋体" w:hAnsi="宋体" w:cs="宋体"/>
                <w:bCs/>
                <w:sz w:val="20"/>
                <w:szCs w:val="20"/>
              </w:rPr>
            </w:pPr>
            <w:r>
              <w:rPr>
                <w:rFonts w:hint="eastAsia" w:ascii="宋体" w:hAnsi="宋体" w:cs="宋体"/>
                <w:bCs/>
                <w:sz w:val="20"/>
                <w:szCs w:val="20"/>
              </w:rPr>
              <w:t>材质：202不锈钢</w:t>
            </w:r>
            <w:r>
              <w:rPr>
                <w:rFonts w:hint="eastAsia" w:ascii="宋体" w:hAnsi="宋体" w:cs="宋体"/>
                <w:bCs/>
                <w:sz w:val="20"/>
                <w:szCs w:val="20"/>
              </w:rPr>
              <w:br w:type="textWrapping"/>
            </w:r>
            <w:r>
              <w:rPr>
                <w:rFonts w:hint="eastAsia" w:ascii="宋体" w:hAnsi="宋体" w:cs="宋体"/>
                <w:bCs/>
                <w:sz w:val="20"/>
                <w:szCs w:val="20"/>
              </w:rPr>
              <w:t>外观尺寸（不小于）：长950＊宽750＊高760mm</w:t>
            </w:r>
            <w:r>
              <w:rPr>
                <w:rFonts w:hint="eastAsia" w:ascii="宋体" w:hAnsi="宋体" w:cs="宋体"/>
                <w:bCs/>
                <w:sz w:val="20"/>
                <w:szCs w:val="20"/>
              </w:rPr>
              <w:br w:type="textWrapping"/>
            </w:r>
            <w:r>
              <w:rPr>
                <w:rFonts w:hint="eastAsia" w:ascii="宋体" w:hAnsi="宋体" w:cs="宋体"/>
                <w:bCs/>
                <w:sz w:val="20"/>
                <w:szCs w:val="20"/>
              </w:rPr>
              <w:t>主管直径19mm，壁厚1.1mm。</w:t>
            </w:r>
            <w:r>
              <w:rPr>
                <w:rFonts w:hint="eastAsia" w:ascii="宋体" w:hAnsi="宋体" w:cs="宋体"/>
                <w:bCs/>
                <w:sz w:val="20"/>
                <w:szCs w:val="20"/>
              </w:rPr>
              <w:br w:type="textWrapping"/>
            </w:r>
            <w:r>
              <w:rPr>
                <w:rFonts w:hint="eastAsia" w:ascii="宋体" w:hAnsi="宋体" w:cs="宋体"/>
                <w:bCs/>
                <w:sz w:val="20"/>
                <w:szCs w:val="20"/>
              </w:rPr>
              <w:t>副管直径12.7mm，壁厚0.7mm。</w:t>
            </w:r>
            <w:r>
              <w:rPr>
                <w:rFonts w:hint="eastAsia" w:ascii="宋体" w:hAnsi="宋体" w:cs="宋体"/>
                <w:bCs/>
                <w:sz w:val="20"/>
                <w:szCs w:val="20"/>
              </w:rPr>
              <w:br w:type="textWrapping"/>
            </w:r>
            <w:r>
              <w:rPr>
                <w:rFonts w:hint="eastAsia" w:ascii="宋体" w:hAnsi="宋体" w:cs="宋体"/>
                <w:bCs/>
                <w:sz w:val="20"/>
                <w:szCs w:val="20"/>
              </w:rPr>
              <w:t>可四轮移动,可折叠。</w:t>
            </w:r>
            <w:r>
              <w:rPr>
                <w:rFonts w:hint="eastAsia" w:ascii="宋体" w:hAnsi="宋体" w:cs="宋体"/>
                <w:bCs/>
                <w:sz w:val="20"/>
                <w:szCs w:val="20"/>
              </w:rPr>
              <w:br w:type="textWrapping"/>
            </w:r>
            <w:r>
              <w:rPr>
                <w:rFonts w:hint="eastAsia" w:ascii="宋体" w:hAnsi="宋体" w:cs="宋体"/>
                <w:bCs/>
                <w:sz w:val="20"/>
                <w:szCs w:val="20"/>
              </w:rPr>
              <w:t>球车四角为圆角。</w:t>
            </w:r>
            <w:r>
              <w:rPr>
                <w:rFonts w:hint="eastAsia" w:ascii="宋体" w:hAnsi="宋体" w:cs="宋体"/>
                <w:bCs/>
                <w:sz w:val="20"/>
                <w:szCs w:val="20"/>
              </w:rPr>
              <w:br w:type="textWrapping"/>
            </w:r>
            <w:r>
              <w:rPr>
                <w:rFonts w:hint="eastAsia" w:ascii="宋体" w:hAnsi="宋体" w:cs="宋体"/>
                <w:bCs/>
                <w:sz w:val="20"/>
                <w:szCs w:val="20"/>
              </w:rPr>
              <w:t>用于装篮球、排球、足球等球类物品,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辆</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30814001600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w:t>
            </w:r>
            <w:r>
              <w:rPr>
                <w:rFonts w:hint="eastAsia" w:ascii="宋体" w:hAnsi="宋体" w:cs="宋体"/>
                <w:bCs/>
                <w:sz w:val="20"/>
                <w:szCs w:val="20"/>
              </w:rPr>
              <w:br w:type="textWrapping"/>
            </w:r>
            <w:r>
              <w:rPr>
                <w:rFonts w:hint="eastAsia" w:ascii="宋体" w:hAnsi="宋体" w:cs="宋体"/>
                <w:bCs/>
                <w:sz w:val="20"/>
                <w:szCs w:val="20"/>
              </w:rPr>
              <w:t>总高730mm长500mm宽300mm，轮子φ100mm，扶手铁管φ25mm线宽45mm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标志筒</w:t>
            </w:r>
          </w:p>
        </w:tc>
        <w:tc>
          <w:tcPr>
            <w:tcW w:w="0" w:type="auto"/>
            <w:vAlign w:val="center"/>
          </w:tcPr>
          <w:p>
            <w:pPr>
              <w:rPr>
                <w:rFonts w:ascii="宋体" w:hAnsi="宋体" w:cs="宋体"/>
                <w:bCs/>
                <w:sz w:val="20"/>
                <w:szCs w:val="20"/>
              </w:rPr>
            </w:pPr>
            <w:r>
              <w:rPr>
                <w:rFonts w:hint="eastAsia" w:ascii="宋体" w:hAnsi="宋体" w:cs="宋体"/>
                <w:bCs/>
                <w:sz w:val="20"/>
                <w:szCs w:val="20"/>
              </w:rPr>
              <w:t>高分别为180mm、230mm、320mm、380mm、480mm等,不少于4种颜色,圆锥体状,放置平稳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30814003610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标志杆</w:t>
            </w:r>
          </w:p>
        </w:tc>
        <w:tc>
          <w:tcPr>
            <w:tcW w:w="0" w:type="auto"/>
            <w:vAlign w:val="center"/>
          </w:tcPr>
          <w:p>
            <w:pPr>
              <w:rPr>
                <w:rFonts w:ascii="宋体" w:hAnsi="宋体" w:cs="宋体"/>
                <w:bCs/>
                <w:sz w:val="20"/>
                <w:szCs w:val="20"/>
              </w:rPr>
            </w:pPr>
            <w:r>
              <w:rPr>
                <w:rFonts w:hint="eastAsia" w:ascii="宋体" w:hAnsi="宋体" w:cs="宋体"/>
                <w:bCs/>
                <w:sz w:val="20"/>
                <w:szCs w:val="20"/>
              </w:rPr>
              <w:t>底座：重1kg，直径：220mm，高70mm</w:t>
            </w:r>
            <w:r>
              <w:rPr>
                <w:rFonts w:hint="eastAsia" w:ascii="宋体" w:hAnsi="宋体" w:cs="宋体"/>
                <w:bCs/>
                <w:sz w:val="20"/>
                <w:szCs w:val="20"/>
              </w:rPr>
              <w:br w:type="textWrapping"/>
            </w:r>
            <w:r>
              <w:rPr>
                <w:rFonts w:hint="eastAsia" w:ascii="宋体" w:hAnsi="宋体" w:cs="宋体"/>
                <w:bCs/>
                <w:sz w:val="20"/>
                <w:szCs w:val="20"/>
              </w:rPr>
              <w:t>PVC管：高1500mm，直径25mm，三角红旗（330mm*470mm*560mm）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体能</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身高体重测试仪</w:t>
            </w:r>
          </w:p>
        </w:tc>
        <w:tc>
          <w:tcPr>
            <w:tcW w:w="0" w:type="auto"/>
            <w:vAlign w:val="center"/>
          </w:tcPr>
          <w:p>
            <w:pPr>
              <w:rPr>
                <w:rFonts w:ascii="宋体" w:hAnsi="宋体" w:cs="宋体"/>
                <w:bCs/>
                <w:sz w:val="20"/>
                <w:szCs w:val="20"/>
              </w:rPr>
            </w:pPr>
            <w:r>
              <w:rPr>
                <w:rFonts w:hint="eastAsia" w:ascii="宋体" w:hAnsi="宋体" w:cs="宋体"/>
                <w:bCs/>
                <w:sz w:val="20"/>
                <w:szCs w:val="20"/>
              </w:rPr>
              <w:t>产品名称：身高体重测量仪</w:t>
            </w:r>
            <w:r>
              <w:rPr>
                <w:rFonts w:hint="eastAsia" w:ascii="宋体" w:hAnsi="宋体" w:cs="宋体"/>
                <w:bCs/>
                <w:sz w:val="20"/>
                <w:szCs w:val="20"/>
              </w:rPr>
              <w:br w:type="textWrapping"/>
            </w:r>
            <w:r>
              <w:rPr>
                <w:rFonts w:hint="eastAsia" w:ascii="宋体" w:hAnsi="宋体" w:cs="宋体"/>
                <w:bCs/>
                <w:sz w:val="20"/>
                <w:szCs w:val="20"/>
              </w:rPr>
              <w:t xml:space="preserve"> 身高测量：机电升降感应测量</w:t>
            </w:r>
            <w:r>
              <w:rPr>
                <w:rFonts w:hint="eastAsia" w:ascii="宋体" w:hAnsi="宋体" w:cs="宋体"/>
                <w:bCs/>
                <w:sz w:val="20"/>
                <w:szCs w:val="20"/>
              </w:rPr>
              <w:br w:type="textWrapping"/>
            </w:r>
            <w:r>
              <w:rPr>
                <w:rFonts w:hint="eastAsia" w:ascii="宋体" w:hAnsi="宋体" w:cs="宋体"/>
                <w:bCs/>
                <w:sz w:val="20"/>
                <w:szCs w:val="20"/>
              </w:rPr>
              <w:t xml:space="preserve"> 测高范围：80-210cm，分度值0.1cm，允许±0.2cm误差</w:t>
            </w:r>
            <w:r>
              <w:rPr>
                <w:rFonts w:hint="eastAsia" w:ascii="宋体" w:hAnsi="宋体" w:cs="宋体"/>
                <w:bCs/>
                <w:sz w:val="20"/>
                <w:szCs w:val="20"/>
              </w:rPr>
              <w:br w:type="textWrapping"/>
            </w:r>
            <w:r>
              <w:rPr>
                <w:rFonts w:hint="eastAsia" w:ascii="宋体" w:hAnsi="宋体" w:cs="宋体"/>
                <w:bCs/>
                <w:sz w:val="20"/>
                <w:szCs w:val="20"/>
              </w:rPr>
              <w:t xml:space="preserve"> 秤重范围：3-180kg，分度值50g,允许正负150g误差</w:t>
            </w:r>
            <w:r>
              <w:rPr>
                <w:rFonts w:hint="eastAsia" w:ascii="宋体" w:hAnsi="宋体" w:cs="宋体"/>
                <w:bCs/>
                <w:sz w:val="20"/>
                <w:szCs w:val="20"/>
              </w:rPr>
              <w:br w:type="textWrapping"/>
            </w:r>
            <w:r>
              <w:rPr>
                <w:rFonts w:hint="eastAsia" w:ascii="宋体" w:hAnsi="宋体" w:cs="宋体"/>
                <w:bCs/>
                <w:sz w:val="20"/>
                <w:szCs w:val="20"/>
              </w:rPr>
              <w:t xml:space="preserve"> 测量项：体重、身高、 BMI</w:t>
            </w:r>
            <w:r>
              <w:rPr>
                <w:rFonts w:hint="eastAsia" w:ascii="宋体" w:hAnsi="宋体" w:cs="宋体"/>
                <w:bCs/>
                <w:sz w:val="20"/>
                <w:szCs w:val="20"/>
              </w:rPr>
              <w:br w:type="textWrapping"/>
            </w:r>
            <w:r>
              <w:rPr>
                <w:rFonts w:hint="eastAsia" w:ascii="宋体" w:hAnsi="宋体" w:cs="宋体"/>
                <w:bCs/>
                <w:sz w:val="20"/>
                <w:szCs w:val="20"/>
              </w:rPr>
              <w:t xml:space="preserve"> 语音报读功能（语音可以开或者关闭）</w:t>
            </w:r>
            <w:r>
              <w:rPr>
                <w:rFonts w:hint="eastAsia" w:ascii="宋体" w:hAnsi="宋体" w:cs="宋体"/>
                <w:bCs/>
                <w:sz w:val="20"/>
                <w:szCs w:val="20"/>
              </w:rPr>
              <w:br w:type="textWrapping"/>
            </w:r>
            <w:r>
              <w:rPr>
                <w:rFonts w:hint="eastAsia" w:ascii="宋体" w:hAnsi="宋体" w:cs="宋体"/>
                <w:bCs/>
                <w:sz w:val="20"/>
                <w:szCs w:val="20"/>
              </w:rPr>
              <w:t xml:space="preserve"> 打印功能：自带热敏打印机</w:t>
            </w:r>
            <w:r>
              <w:rPr>
                <w:rFonts w:hint="eastAsia" w:ascii="宋体" w:hAnsi="宋体" w:cs="宋体"/>
                <w:bCs/>
                <w:sz w:val="20"/>
                <w:szCs w:val="20"/>
              </w:rPr>
              <w:br w:type="textWrapping"/>
            </w:r>
            <w:r>
              <w:rPr>
                <w:rFonts w:hint="eastAsia" w:ascii="宋体" w:hAnsi="宋体" w:cs="宋体"/>
                <w:bCs/>
                <w:sz w:val="20"/>
                <w:szCs w:val="20"/>
              </w:rPr>
              <w:t xml:space="preserve"> 超重显示：Err，负重显示：0.0kg</w:t>
            </w:r>
            <w:r>
              <w:rPr>
                <w:rFonts w:hint="eastAsia" w:ascii="宋体" w:hAnsi="宋体" w:cs="宋体"/>
                <w:bCs/>
                <w:sz w:val="20"/>
                <w:szCs w:val="20"/>
              </w:rPr>
              <w:br w:type="textWrapping"/>
            </w:r>
            <w:r>
              <w:rPr>
                <w:rFonts w:hint="eastAsia" w:ascii="宋体" w:hAnsi="宋体" w:cs="宋体"/>
                <w:bCs/>
                <w:sz w:val="20"/>
                <w:szCs w:val="20"/>
              </w:rPr>
              <w:t xml:space="preserve"> 视窗尺寸：66x43mm，LCD黑底白字显示</w:t>
            </w:r>
            <w:r>
              <w:rPr>
                <w:rFonts w:hint="eastAsia" w:ascii="宋体" w:hAnsi="宋体" w:cs="宋体"/>
                <w:bCs/>
                <w:sz w:val="20"/>
                <w:szCs w:val="20"/>
              </w:rPr>
              <w:br w:type="textWrapping"/>
            </w:r>
            <w:r>
              <w:rPr>
                <w:rFonts w:hint="eastAsia" w:ascii="宋体" w:hAnsi="宋体" w:cs="宋体"/>
                <w:bCs/>
                <w:sz w:val="20"/>
                <w:szCs w:val="20"/>
              </w:rPr>
              <w:t xml:space="preserve"> 开关机方式：重力开机/按键开机；按键关机</w:t>
            </w:r>
            <w:r>
              <w:rPr>
                <w:rFonts w:hint="eastAsia" w:ascii="宋体" w:hAnsi="宋体" w:cs="宋体"/>
                <w:bCs/>
                <w:sz w:val="20"/>
                <w:szCs w:val="20"/>
              </w:rPr>
              <w:br w:type="textWrapping"/>
            </w:r>
            <w:r>
              <w:rPr>
                <w:rFonts w:hint="eastAsia" w:ascii="宋体" w:hAnsi="宋体" w:cs="宋体"/>
                <w:bCs/>
                <w:sz w:val="20"/>
                <w:szCs w:val="20"/>
              </w:rPr>
              <w:t xml:space="preserve"> 电源：插电使用（直流15V5A供电使用）</w:t>
            </w:r>
            <w:r>
              <w:rPr>
                <w:rFonts w:hint="eastAsia" w:ascii="宋体" w:hAnsi="宋体" w:cs="宋体"/>
                <w:bCs/>
                <w:sz w:val="20"/>
                <w:szCs w:val="20"/>
              </w:rPr>
              <w:br w:type="textWrapping"/>
            </w:r>
            <w:r>
              <w:rPr>
                <w:rFonts w:hint="eastAsia" w:ascii="宋体" w:hAnsi="宋体" w:cs="宋体"/>
                <w:bCs/>
                <w:sz w:val="20"/>
                <w:szCs w:val="20"/>
              </w:rPr>
              <w:t xml:space="preserve"> 可选配RS232端口或蓝牙功能，可实现数据输出</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肺活量测试仪</w:t>
            </w:r>
          </w:p>
        </w:tc>
        <w:tc>
          <w:tcPr>
            <w:tcW w:w="0" w:type="auto"/>
            <w:vAlign w:val="center"/>
          </w:tcPr>
          <w:p>
            <w:pPr>
              <w:rPr>
                <w:rFonts w:ascii="宋体" w:hAnsi="宋体" w:cs="宋体"/>
                <w:bCs/>
                <w:sz w:val="20"/>
                <w:szCs w:val="20"/>
              </w:rPr>
            </w:pPr>
            <w:r>
              <w:rPr>
                <w:rFonts w:hint="eastAsia" w:ascii="宋体" w:hAnsi="宋体" w:cs="宋体"/>
                <w:bCs/>
                <w:sz w:val="20"/>
                <w:szCs w:val="20"/>
              </w:rPr>
              <w:t>1、测量范围：0-9999mL。                                                                                                                                                                                          2、最小分辫率：1mL。                                                                                                                                                                                             3、测量误差±1.5％。                                                                                                                                                                                         4、工作电压：220V/50Hz或交直流两用。                                                                                                                                                                           5、配一次性吹嘴。</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坐位体前屈测试仪</w:t>
            </w:r>
          </w:p>
        </w:tc>
        <w:tc>
          <w:tcPr>
            <w:tcW w:w="0" w:type="auto"/>
            <w:vAlign w:val="center"/>
          </w:tcPr>
          <w:p>
            <w:pPr>
              <w:rPr>
                <w:rFonts w:ascii="宋体" w:hAnsi="宋体" w:cs="宋体"/>
                <w:bCs/>
                <w:sz w:val="20"/>
                <w:szCs w:val="20"/>
              </w:rPr>
            </w:pPr>
            <w:r>
              <w:rPr>
                <w:rFonts w:hint="eastAsia" w:ascii="宋体" w:hAnsi="宋体" w:cs="宋体"/>
                <w:bCs/>
                <w:sz w:val="20"/>
                <w:szCs w:val="20"/>
              </w:rPr>
              <w:t>技术参数：</w:t>
            </w:r>
            <w:r>
              <w:rPr>
                <w:rFonts w:hint="eastAsia" w:ascii="宋体" w:hAnsi="宋体" w:cs="宋体"/>
                <w:bCs/>
                <w:sz w:val="20"/>
                <w:szCs w:val="20"/>
              </w:rPr>
              <w:br w:type="textWrapping"/>
            </w:r>
            <w:r>
              <w:rPr>
                <w:rFonts w:hint="eastAsia" w:ascii="宋体" w:hAnsi="宋体" w:cs="宋体"/>
                <w:bCs/>
                <w:sz w:val="20"/>
                <w:szCs w:val="20"/>
              </w:rPr>
              <w:t xml:space="preserve">测量范围：－20cm～40cm  </w:t>
            </w:r>
            <w:r>
              <w:rPr>
                <w:rFonts w:hint="eastAsia" w:ascii="宋体" w:hAnsi="宋体" w:cs="宋体"/>
                <w:bCs/>
                <w:sz w:val="20"/>
                <w:szCs w:val="20"/>
              </w:rPr>
              <w:br w:type="textWrapping"/>
            </w:r>
            <w:r>
              <w:rPr>
                <w:rFonts w:hint="eastAsia" w:ascii="宋体" w:hAnsi="宋体" w:cs="宋体"/>
                <w:bCs/>
                <w:sz w:val="20"/>
                <w:szCs w:val="20"/>
              </w:rPr>
              <w:t xml:space="preserve">分度值：0.1cm  </w:t>
            </w:r>
            <w:r>
              <w:rPr>
                <w:rFonts w:hint="eastAsia" w:ascii="宋体" w:hAnsi="宋体" w:cs="宋体"/>
                <w:bCs/>
                <w:sz w:val="20"/>
                <w:szCs w:val="20"/>
              </w:rPr>
              <w:br w:type="textWrapping"/>
            </w:r>
            <w:r>
              <w:rPr>
                <w:rFonts w:hint="eastAsia" w:ascii="宋体" w:hAnsi="宋体" w:cs="宋体"/>
                <w:bCs/>
                <w:sz w:val="20"/>
                <w:szCs w:val="20"/>
              </w:rPr>
              <w:t>测量精度： ±0.1cm</w:t>
            </w:r>
            <w:r>
              <w:rPr>
                <w:rFonts w:hint="eastAsia" w:ascii="宋体" w:hAnsi="宋体" w:cs="宋体"/>
                <w:bCs/>
                <w:sz w:val="20"/>
                <w:szCs w:val="20"/>
              </w:rPr>
              <w:br w:type="textWrapping"/>
            </w:r>
            <w:r>
              <w:rPr>
                <w:rFonts w:hint="eastAsia" w:ascii="宋体" w:hAnsi="宋体" w:cs="宋体"/>
                <w:bCs/>
                <w:sz w:val="20"/>
                <w:szCs w:val="20"/>
              </w:rPr>
              <w:t xml:space="preserve">电源：DC12V1A（由电源适配器提供） </w:t>
            </w:r>
            <w:r>
              <w:rPr>
                <w:rFonts w:hint="eastAsia" w:ascii="宋体" w:hAnsi="宋体" w:cs="宋体"/>
                <w:bCs/>
                <w:sz w:val="20"/>
                <w:szCs w:val="20"/>
              </w:rPr>
              <w:br w:type="textWrapping"/>
            </w:r>
            <w:r>
              <w:rPr>
                <w:rFonts w:hint="eastAsia" w:ascii="宋体" w:hAnsi="宋体" w:cs="宋体"/>
                <w:bCs/>
                <w:sz w:val="20"/>
                <w:szCs w:val="20"/>
              </w:rPr>
              <w:t xml:space="preserve">工作环境：5℃ ～ 40℃湿度＜90%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1、自动测量坐位体前屈的数值，从而反映躯干、腰、髋等部位关节、肌肉和韧带的  伸展性和柔韧性；</w:t>
            </w:r>
            <w:r>
              <w:rPr>
                <w:rFonts w:hint="eastAsia" w:ascii="宋体" w:hAnsi="宋体" w:cs="宋体"/>
                <w:bCs/>
                <w:sz w:val="20"/>
                <w:szCs w:val="20"/>
              </w:rPr>
              <w:br w:type="textWrapping"/>
            </w:r>
            <w:r>
              <w:rPr>
                <w:rFonts w:hint="eastAsia" w:ascii="宋体" w:hAnsi="宋体" w:cs="宋体"/>
                <w:bCs/>
                <w:sz w:val="20"/>
                <w:szCs w:val="20"/>
              </w:rPr>
              <w:t>2、测试外设采用铁制框架结构，搭配皮革硬垫；</w:t>
            </w:r>
            <w:r>
              <w:rPr>
                <w:rFonts w:hint="eastAsia" w:ascii="宋体" w:hAnsi="宋体" w:cs="宋体"/>
                <w:bCs/>
                <w:sz w:val="20"/>
                <w:szCs w:val="20"/>
              </w:rPr>
              <w:br w:type="textWrapping"/>
            </w:r>
            <w:r>
              <w:rPr>
                <w:rFonts w:hint="eastAsia" w:ascii="宋体" w:hAnsi="宋体" w:cs="宋体"/>
                <w:bCs/>
                <w:sz w:val="20"/>
                <w:szCs w:val="20"/>
              </w:rPr>
              <w:t>3、测试外设推手采用铁制构成，使用时间延长；</w:t>
            </w:r>
            <w:r>
              <w:rPr>
                <w:rFonts w:hint="eastAsia" w:ascii="宋体" w:hAnsi="宋体" w:cs="宋体"/>
                <w:bCs/>
                <w:sz w:val="20"/>
                <w:szCs w:val="20"/>
              </w:rPr>
              <w:br w:type="textWrapping"/>
            </w:r>
            <w:r>
              <w:rPr>
                <w:rFonts w:hint="eastAsia" w:ascii="宋体" w:hAnsi="宋体" w:cs="宋体"/>
                <w:bCs/>
                <w:sz w:val="20"/>
                <w:szCs w:val="20"/>
              </w:rPr>
              <w:t>4、测试外设搭配小屏幕，实时显示测试成绩；</w:t>
            </w:r>
            <w:r>
              <w:rPr>
                <w:rFonts w:hint="eastAsia" w:ascii="宋体" w:hAnsi="宋体" w:cs="宋体"/>
                <w:bCs/>
                <w:sz w:val="20"/>
                <w:szCs w:val="20"/>
              </w:rPr>
              <w:br w:type="textWrapping"/>
            </w:r>
            <w:r>
              <w:rPr>
                <w:rFonts w:hint="eastAsia" w:ascii="宋体" w:hAnsi="宋体" w:cs="宋体"/>
                <w:bCs/>
                <w:sz w:val="20"/>
                <w:szCs w:val="20"/>
              </w:rPr>
              <w:t>5、测试外设采用组装形式，测试铁制皮革硬垫可单独使用；</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仰卧起坐测试仪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测量范围：0次～99次  </w:t>
            </w:r>
            <w:r>
              <w:rPr>
                <w:rFonts w:hint="eastAsia" w:ascii="宋体" w:hAnsi="宋体" w:cs="宋体"/>
                <w:bCs/>
                <w:sz w:val="20"/>
                <w:szCs w:val="20"/>
              </w:rPr>
              <w:br w:type="textWrapping"/>
            </w:r>
            <w:r>
              <w:rPr>
                <w:rFonts w:hint="eastAsia" w:ascii="宋体" w:hAnsi="宋体" w:cs="宋体"/>
                <w:bCs/>
                <w:sz w:val="20"/>
                <w:szCs w:val="20"/>
              </w:rPr>
              <w:t>电源：DC12V1A（由电源适配器提供）</w:t>
            </w:r>
            <w:r>
              <w:rPr>
                <w:rFonts w:hint="eastAsia" w:ascii="宋体" w:hAnsi="宋体" w:cs="宋体"/>
                <w:bCs/>
                <w:sz w:val="20"/>
                <w:szCs w:val="20"/>
              </w:rPr>
              <w:br w:type="textWrapping"/>
            </w:r>
            <w:r>
              <w:rPr>
                <w:rFonts w:hint="eastAsia" w:ascii="宋体" w:hAnsi="宋体" w:cs="宋体"/>
                <w:bCs/>
                <w:sz w:val="20"/>
                <w:szCs w:val="20"/>
              </w:rPr>
              <w:t xml:space="preserve">分度值：1次            </w:t>
            </w:r>
            <w:r>
              <w:rPr>
                <w:rFonts w:hint="eastAsia" w:ascii="宋体" w:hAnsi="宋体" w:cs="宋体"/>
                <w:bCs/>
                <w:sz w:val="20"/>
                <w:szCs w:val="20"/>
              </w:rPr>
              <w:br w:type="textWrapping"/>
            </w:r>
            <w:r>
              <w:rPr>
                <w:rFonts w:hint="eastAsia" w:ascii="宋体" w:hAnsi="宋体" w:cs="宋体"/>
                <w:bCs/>
                <w:sz w:val="20"/>
                <w:szCs w:val="20"/>
              </w:rPr>
              <w:t>工作环境：5℃ ～ 40℃湿度＜90%</w:t>
            </w:r>
            <w:r>
              <w:rPr>
                <w:rFonts w:hint="eastAsia" w:ascii="宋体" w:hAnsi="宋体" w:cs="宋体"/>
                <w:bCs/>
                <w:sz w:val="20"/>
                <w:szCs w:val="20"/>
              </w:rPr>
              <w:br w:type="textWrapping"/>
            </w:r>
            <w:r>
              <w:rPr>
                <w:rFonts w:hint="eastAsia" w:ascii="宋体" w:hAnsi="宋体" w:cs="宋体"/>
                <w:bCs/>
                <w:sz w:val="20"/>
                <w:szCs w:val="20"/>
              </w:rPr>
              <w:t xml:space="preserve">误差：±1次           </w:t>
            </w:r>
            <w:r>
              <w:rPr>
                <w:rFonts w:hint="eastAsia" w:ascii="宋体" w:hAnsi="宋体" w:cs="宋体"/>
                <w:bCs/>
                <w:sz w:val="20"/>
                <w:szCs w:val="20"/>
              </w:rPr>
              <w:br w:type="textWrapping"/>
            </w:r>
            <w:r>
              <w:rPr>
                <w:rFonts w:hint="eastAsia" w:ascii="宋体" w:hAnsi="宋体" w:cs="宋体"/>
                <w:bCs/>
                <w:sz w:val="20"/>
                <w:szCs w:val="20"/>
              </w:rPr>
              <w:t>存储环境：-10℃ ～ 50℃湿度＜75%</w:t>
            </w:r>
            <w:r>
              <w:rPr>
                <w:rFonts w:hint="eastAsia" w:ascii="宋体" w:hAnsi="宋体" w:cs="宋体"/>
                <w:bCs/>
                <w:sz w:val="20"/>
                <w:szCs w:val="20"/>
              </w:rPr>
              <w:br w:type="textWrapping"/>
            </w:r>
            <w:r>
              <w:rPr>
                <w:rFonts w:hint="eastAsia" w:ascii="宋体" w:hAnsi="宋体" w:cs="宋体"/>
                <w:bCs/>
                <w:sz w:val="20"/>
                <w:szCs w:val="20"/>
              </w:rPr>
              <w:t>1、自动测试一分钟仰卧起坐的次数，可反映人体的腹部肌群力量。</w:t>
            </w:r>
            <w:r>
              <w:rPr>
                <w:rFonts w:hint="eastAsia" w:ascii="宋体" w:hAnsi="宋体" w:cs="宋体"/>
                <w:bCs/>
                <w:sz w:val="20"/>
                <w:szCs w:val="20"/>
              </w:rPr>
              <w:br w:type="textWrapping"/>
            </w:r>
            <w:r>
              <w:rPr>
                <w:rFonts w:hint="eastAsia" w:ascii="宋体" w:hAnsi="宋体" w:cs="宋体"/>
                <w:bCs/>
                <w:sz w:val="20"/>
                <w:szCs w:val="20"/>
              </w:rPr>
              <w:t>3、测试成绩双屏幕显示，测试者可实时观看自身测试成绩；</w:t>
            </w:r>
            <w:r>
              <w:rPr>
                <w:rFonts w:hint="eastAsia" w:ascii="宋体" w:hAnsi="宋体" w:cs="宋体"/>
                <w:bCs/>
                <w:sz w:val="20"/>
                <w:szCs w:val="20"/>
              </w:rPr>
              <w:br w:type="textWrapping"/>
            </w:r>
            <w:r>
              <w:rPr>
                <w:rFonts w:hint="eastAsia" w:ascii="宋体" w:hAnsi="宋体" w:cs="宋体"/>
                <w:bCs/>
                <w:sz w:val="20"/>
                <w:szCs w:val="20"/>
              </w:rPr>
              <w:t>4、测试感应杆可随受测者身高来进行前后调节，达到测试动作标准化管理；</w:t>
            </w:r>
            <w:r>
              <w:rPr>
                <w:rFonts w:hint="eastAsia" w:ascii="宋体" w:hAnsi="宋体" w:cs="宋体"/>
                <w:bCs/>
                <w:sz w:val="20"/>
                <w:szCs w:val="20"/>
              </w:rPr>
              <w:br w:type="textWrapping"/>
            </w:r>
            <w:r>
              <w:rPr>
                <w:rFonts w:hint="eastAsia" w:ascii="宋体" w:hAnsi="宋体" w:cs="宋体"/>
                <w:bCs/>
                <w:sz w:val="20"/>
                <w:szCs w:val="20"/>
              </w:rPr>
              <w:t>5、测试感应探头采用高精度抗干扰传感器，具有抗阳光干扰设计，提高测试精确度与灵敏度。</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立定跳远测试仪</w:t>
            </w:r>
          </w:p>
        </w:tc>
        <w:tc>
          <w:tcPr>
            <w:tcW w:w="0" w:type="auto"/>
            <w:vAlign w:val="center"/>
          </w:tcPr>
          <w:p>
            <w:pPr>
              <w:rPr>
                <w:rFonts w:ascii="宋体" w:hAnsi="宋体" w:cs="宋体"/>
                <w:bCs/>
                <w:sz w:val="20"/>
                <w:szCs w:val="20"/>
              </w:rPr>
            </w:pPr>
            <w:r>
              <w:rPr>
                <w:rFonts w:hint="eastAsia" w:ascii="宋体" w:hAnsi="宋体" w:cs="宋体"/>
                <w:bCs/>
                <w:sz w:val="20"/>
                <w:szCs w:val="20"/>
              </w:rPr>
              <w:t>测量范围：-20cm～40cm</w:t>
            </w:r>
            <w:r>
              <w:rPr>
                <w:rFonts w:hint="eastAsia" w:ascii="宋体" w:hAnsi="宋体" w:cs="宋体"/>
                <w:bCs/>
                <w:sz w:val="20"/>
                <w:szCs w:val="20"/>
              </w:rPr>
              <w:br w:type="textWrapping"/>
            </w:r>
            <w:r>
              <w:rPr>
                <w:rFonts w:hint="eastAsia" w:ascii="宋体" w:hAnsi="宋体" w:cs="宋体"/>
                <w:bCs/>
                <w:sz w:val="20"/>
                <w:szCs w:val="20"/>
              </w:rPr>
              <w:t>分度值：0.1cm</w:t>
            </w:r>
            <w:r>
              <w:rPr>
                <w:rFonts w:hint="eastAsia" w:ascii="宋体" w:hAnsi="宋体" w:cs="宋体"/>
                <w:bCs/>
                <w:sz w:val="20"/>
                <w:szCs w:val="20"/>
              </w:rPr>
              <w:br w:type="textWrapping"/>
            </w:r>
            <w:r>
              <w:rPr>
                <w:rFonts w:hint="eastAsia" w:ascii="宋体" w:hAnsi="宋体" w:cs="宋体"/>
                <w:bCs/>
                <w:sz w:val="20"/>
                <w:szCs w:val="20"/>
              </w:rPr>
              <w:t>误差：±0.1 0cm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30314001200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50米跑测试仪</w:t>
            </w:r>
          </w:p>
        </w:tc>
        <w:tc>
          <w:tcPr>
            <w:tcW w:w="0" w:type="auto"/>
            <w:vAlign w:val="center"/>
          </w:tcPr>
          <w:p>
            <w:pPr>
              <w:rPr>
                <w:rFonts w:ascii="宋体" w:hAnsi="宋体" w:cs="宋体"/>
                <w:bCs/>
                <w:sz w:val="20"/>
                <w:szCs w:val="20"/>
              </w:rPr>
            </w:pPr>
            <w:r>
              <w:rPr>
                <w:rFonts w:hint="eastAsia" w:ascii="宋体" w:hAnsi="宋体" w:cs="宋体"/>
                <w:bCs/>
                <w:sz w:val="20"/>
                <w:szCs w:val="20"/>
              </w:rPr>
              <w:t>量程：5s〜20s,分度值0.1s,允差：±1.5%</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30314001310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引体向上测试仪</w:t>
            </w:r>
          </w:p>
        </w:tc>
        <w:tc>
          <w:tcPr>
            <w:tcW w:w="0" w:type="auto"/>
            <w:vAlign w:val="center"/>
          </w:tcPr>
          <w:p>
            <w:pPr>
              <w:rPr>
                <w:rFonts w:ascii="宋体" w:hAnsi="宋体" w:cs="宋体"/>
                <w:bCs/>
                <w:sz w:val="20"/>
                <w:szCs w:val="20"/>
              </w:rPr>
            </w:pPr>
            <w:r>
              <w:rPr>
                <w:rFonts w:hint="eastAsia" w:ascii="宋体" w:hAnsi="宋体" w:cs="宋体"/>
                <w:bCs/>
                <w:sz w:val="20"/>
                <w:szCs w:val="20"/>
              </w:rPr>
              <w:t xml:space="preserve">技术参数                         </w:t>
            </w:r>
            <w:r>
              <w:rPr>
                <w:rFonts w:hint="eastAsia" w:ascii="宋体" w:hAnsi="宋体" w:cs="宋体"/>
                <w:bCs/>
                <w:sz w:val="20"/>
                <w:szCs w:val="20"/>
              </w:rPr>
              <w:br w:type="textWrapping"/>
            </w:r>
            <w:r>
              <w:rPr>
                <w:rFonts w:hint="eastAsia" w:ascii="宋体" w:hAnsi="宋体" w:cs="宋体"/>
                <w:bCs/>
                <w:sz w:val="20"/>
                <w:szCs w:val="20"/>
              </w:rPr>
              <w:t xml:space="preserve">1.大屏幕LED显示屏240X40MM    </w:t>
            </w:r>
            <w:r>
              <w:rPr>
                <w:rFonts w:hint="eastAsia" w:ascii="宋体" w:hAnsi="宋体" w:cs="宋体"/>
                <w:bCs/>
                <w:sz w:val="20"/>
                <w:szCs w:val="20"/>
              </w:rPr>
              <w:br w:type="textWrapping"/>
            </w:r>
            <w:r>
              <w:rPr>
                <w:rFonts w:hint="eastAsia" w:ascii="宋体" w:hAnsi="宋体" w:cs="宋体"/>
                <w:bCs/>
                <w:sz w:val="20"/>
                <w:szCs w:val="20"/>
              </w:rPr>
              <w:t xml:space="preserve">2.量程：0-999次                 </w:t>
            </w:r>
            <w:r>
              <w:rPr>
                <w:rFonts w:hint="eastAsia" w:ascii="宋体" w:hAnsi="宋体" w:cs="宋体"/>
                <w:bCs/>
                <w:sz w:val="20"/>
                <w:szCs w:val="20"/>
              </w:rPr>
              <w:br w:type="textWrapping"/>
            </w:r>
            <w:r>
              <w:rPr>
                <w:rFonts w:hint="eastAsia" w:ascii="宋体" w:hAnsi="宋体" w:cs="宋体"/>
                <w:bCs/>
                <w:sz w:val="20"/>
                <w:szCs w:val="20"/>
              </w:rPr>
              <w:t>3.测试等待时间： 1-99秒 (默认10 秒)</w:t>
            </w:r>
            <w:r>
              <w:rPr>
                <w:rFonts w:hint="eastAsia" w:ascii="宋体" w:hAnsi="宋体" w:cs="宋体"/>
                <w:bCs/>
                <w:sz w:val="20"/>
                <w:szCs w:val="20"/>
              </w:rPr>
              <w:br w:type="textWrapping"/>
            </w:r>
            <w:r>
              <w:rPr>
                <w:rFonts w:hint="eastAsia" w:ascii="宋体" w:hAnsi="宋体" w:cs="宋体"/>
                <w:bCs/>
                <w:sz w:val="20"/>
                <w:szCs w:val="20"/>
              </w:rPr>
              <w:t>4.精度：1次</w:t>
            </w:r>
            <w:r>
              <w:rPr>
                <w:rFonts w:hint="eastAsia" w:ascii="宋体" w:hAnsi="宋体" w:cs="宋体"/>
                <w:bCs/>
                <w:sz w:val="20"/>
                <w:szCs w:val="20"/>
              </w:rPr>
              <w:br w:type="textWrapping"/>
            </w:r>
            <w:r>
              <w:rPr>
                <w:rFonts w:hint="eastAsia" w:ascii="宋体" w:hAnsi="宋体" w:cs="宋体"/>
                <w:bCs/>
                <w:sz w:val="20"/>
                <w:szCs w:val="20"/>
              </w:rPr>
              <w:t xml:space="preserve">5.分辨率：1次                 </w:t>
            </w:r>
            <w:r>
              <w:rPr>
                <w:rFonts w:hint="eastAsia" w:ascii="宋体" w:hAnsi="宋体" w:cs="宋体"/>
                <w:bCs/>
                <w:sz w:val="20"/>
                <w:szCs w:val="20"/>
              </w:rPr>
              <w:br w:type="textWrapping"/>
            </w:r>
            <w:r>
              <w:rPr>
                <w:rFonts w:hint="eastAsia" w:ascii="宋体" w:hAnsi="宋体" w:cs="宋体"/>
                <w:bCs/>
                <w:sz w:val="20"/>
                <w:szCs w:val="20"/>
              </w:rPr>
              <w:t xml:space="preserve">6.带语音播报功能，可打开和关闭 </w:t>
            </w:r>
            <w:r>
              <w:rPr>
                <w:rFonts w:hint="eastAsia" w:ascii="宋体" w:hAnsi="宋体" w:cs="宋体"/>
                <w:bCs/>
                <w:sz w:val="20"/>
                <w:szCs w:val="20"/>
              </w:rPr>
              <w:br w:type="textWrapping"/>
            </w:r>
            <w:r>
              <w:rPr>
                <w:rFonts w:hint="eastAsia" w:ascii="宋体" w:hAnsi="宋体" w:cs="宋体"/>
                <w:bCs/>
                <w:sz w:val="20"/>
                <w:szCs w:val="20"/>
              </w:rPr>
              <w:t>7.带蜂鸣器提醒功能，可打开和关 闭</w:t>
            </w:r>
            <w:r>
              <w:rPr>
                <w:rFonts w:hint="eastAsia" w:ascii="宋体" w:hAnsi="宋体" w:cs="宋体"/>
                <w:bCs/>
                <w:sz w:val="20"/>
                <w:szCs w:val="20"/>
              </w:rPr>
              <w:br w:type="textWrapping"/>
            </w:r>
            <w:r>
              <w:rPr>
                <w:rFonts w:hint="eastAsia" w:ascii="宋体" w:hAnsi="宋体" w:cs="宋体"/>
                <w:bCs/>
                <w:sz w:val="20"/>
                <w:szCs w:val="20"/>
              </w:rPr>
              <w:t xml:space="preserve">8.探头模式选择，双探头 (防作 弊) 和单探头。               </w:t>
            </w:r>
            <w:r>
              <w:rPr>
                <w:rFonts w:hint="eastAsia" w:ascii="宋体" w:hAnsi="宋体" w:cs="宋体"/>
                <w:bCs/>
                <w:sz w:val="20"/>
                <w:szCs w:val="20"/>
              </w:rPr>
              <w:br w:type="textWrapping"/>
            </w:r>
            <w:r>
              <w:rPr>
                <w:rFonts w:hint="eastAsia" w:ascii="宋体" w:hAnsi="宋体" w:cs="宋体"/>
                <w:bCs/>
                <w:sz w:val="20"/>
                <w:szCs w:val="20"/>
              </w:rPr>
              <w:t>9.带红外遥控功能</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2760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肋木架</w:t>
            </w:r>
          </w:p>
        </w:tc>
        <w:tc>
          <w:tcPr>
            <w:tcW w:w="0" w:type="auto"/>
            <w:vAlign w:val="center"/>
          </w:tcPr>
          <w:p>
            <w:pPr>
              <w:rPr>
                <w:rFonts w:ascii="宋体" w:hAnsi="宋体" w:cs="宋体"/>
                <w:bCs/>
                <w:sz w:val="20"/>
                <w:szCs w:val="20"/>
              </w:rPr>
            </w:pPr>
            <w:r>
              <w:rPr>
                <w:rFonts w:hint="eastAsia" w:ascii="宋体" w:hAnsi="宋体" w:cs="宋体"/>
                <w:bCs/>
                <w:sz w:val="20"/>
                <w:szCs w:val="20"/>
              </w:rPr>
              <w:t>三柱二间，使用宽度≥1000mm,最高使用高度2500mm±100mm,横肋间距300mm,握持直径30mm〜35mm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间</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平行梯</w:t>
            </w:r>
          </w:p>
        </w:tc>
        <w:tc>
          <w:tcPr>
            <w:tcW w:w="0" w:type="auto"/>
            <w:vAlign w:val="center"/>
          </w:tcPr>
          <w:p>
            <w:pPr>
              <w:rPr>
                <w:rFonts w:ascii="宋体" w:hAnsi="宋体" w:cs="宋体"/>
                <w:bCs/>
                <w:sz w:val="20"/>
                <w:szCs w:val="20"/>
              </w:rPr>
            </w:pPr>
            <w:r>
              <w:rPr>
                <w:rFonts w:hint="eastAsia" w:ascii="宋体" w:hAnsi="宋体" w:cs="宋体"/>
                <w:bCs/>
                <w:sz w:val="20"/>
                <w:szCs w:val="20"/>
              </w:rPr>
              <w:t>长4000mm±500mm,有效使用宽度600mm±100mm,最高使用高度≤2300mm,悬垂握持直径30mm〜35mm,纵向握持间距≤350mm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29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轻阻力，拉力带采用合成橡胶TPE制作，环保,无味,弹性好,强度高,不易断裂,不易老化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30814701320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橡皮拉力带</w:t>
            </w:r>
          </w:p>
        </w:tc>
        <w:tc>
          <w:tcPr>
            <w:tcW w:w="0" w:type="auto"/>
            <w:vAlign w:val="center"/>
          </w:tcPr>
          <w:p>
            <w:pPr>
              <w:rPr>
                <w:rFonts w:ascii="宋体" w:hAnsi="宋体" w:cs="宋体"/>
                <w:bCs/>
                <w:sz w:val="20"/>
                <w:szCs w:val="20"/>
              </w:rPr>
            </w:pPr>
            <w:r>
              <w:rPr>
                <w:rFonts w:hint="eastAsia" w:ascii="宋体" w:hAnsi="宋体" w:cs="宋体"/>
                <w:bCs/>
                <w:sz w:val="20"/>
                <w:szCs w:val="20"/>
              </w:rPr>
              <w:t>重阻力，拉力带采用合成橡胶TPE制作，环保,无味,弹性好,强度高,不易断裂,不易老化</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条</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接力棒</w:t>
            </w:r>
          </w:p>
        </w:tc>
        <w:tc>
          <w:tcPr>
            <w:tcW w:w="0" w:type="auto"/>
            <w:vAlign w:val="center"/>
          </w:tcPr>
          <w:p>
            <w:pPr>
              <w:rPr>
                <w:rFonts w:ascii="宋体" w:hAnsi="宋体" w:cs="宋体"/>
                <w:bCs/>
                <w:sz w:val="20"/>
                <w:szCs w:val="20"/>
              </w:rPr>
            </w:pPr>
            <w:r>
              <w:rPr>
                <w:rFonts w:hint="eastAsia" w:ascii="宋体" w:hAnsi="宋体" w:cs="宋体"/>
                <w:bCs/>
                <w:sz w:val="20"/>
                <w:szCs w:val="20"/>
              </w:rPr>
              <w:t>1、长度300mm，直径30mm。</w:t>
            </w:r>
            <w:r>
              <w:rPr>
                <w:rFonts w:hint="eastAsia" w:ascii="宋体" w:hAnsi="宋体" w:cs="宋体"/>
                <w:bCs/>
                <w:sz w:val="20"/>
                <w:szCs w:val="20"/>
              </w:rPr>
              <w:br w:type="textWrapping"/>
            </w:r>
            <w:r>
              <w:rPr>
                <w:rFonts w:hint="eastAsia" w:ascii="宋体" w:hAnsi="宋体" w:cs="宋体"/>
                <w:bCs/>
                <w:sz w:val="20"/>
                <w:szCs w:val="20"/>
              </w:rPr>
              <w:t>2、用铝合金管制成，表面光洁，体形端直，无变形，无弯曲等缺陷，两边塑料堵头。</w:t>
            </w:r>
            <w:r>
              <w:rPr>
                <w:rFonts w:hint="eastAsia" w:ascii="宋体" w:hAnsi="宋体" w:cs="宋体"/>
                <w:bCs/>
                <w:sz w:val="20"/>
                <w:szCs w:val="20"/>
              </w:rPr>
              <w:br w:type="textWrapping"/>
            </w:r>
            <w:r>
              <w:rPr>
                <w:rFonts w:hint="eastAsia" w:ascii="宋体" w:hAnsi="宋体" w:cs="宋体"/>
                <w:bCs/>
                <w:sz w:val="20"/>
                <w:szCs w:val="20"/>
              </w:rPr>
              <w:t>3、表面涂彩色油漆，色泽鲜艳。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跳高架</w:t>
            </w:r>
          </w:p>
        </w:tc>
        <w:tc>
          <w:tcPr>
            <w:tcW w:w="0" w:type="auto"/>
            <w:vAlign w:val="center"/>
          </w:tcPr>
          <w:p>
            <w:pPr>
              <w:rPr>
                <w:rFonts w:ascii="宋体" w:hAnsi="宋体" w:cs="宋体"/>
                <w:bCs/>
                <w:sz w:val="20"/>
                <w:szCs w:val="20"/>
              </w:rPr>
            </w:pPr>
            <w:r>
              <w:rPr>
                <w:rFonts w:hint="eastAsia" w:ascii="宋体" w:hAnsi="宋体" w:cs="宋体"/>
                <w:bCs/>
                <w:sz w:val="20"/>
                <w:szCs w:val="20"/>
              </w:rPr>
              <w:t>1.跳高架由底座，移动立柱，横杆托架,微调支脚构成。底座：28mm*380mm，产品形式简洁，结构合理，可拆装，便于运输和包装。</w:t>
            </w:r>
            <w:r>
              <w:rPr>
                <w:rFonts w:hint="eastAsia" w:ascii="宋体" w:hAnsi="宋体" w:cs="宋体"/>
                <w:bCs/>
                <w:sz w:val="20"/>
                <w:szCs w:val="20"/>
              </w:rPr>
              <w:br w:type="textWrapping"/>
            </w:r>
            <w:r>
              <w:rPr>
                <w:rFonts w:hint="eastAsia" w:ascii="宋体" w:hAnsi="宋体" w:cs="宋体"/>
                <w:bCs/>
                <w:sz w:val="20"/>
                <w:szCs w:val="20"/>
              </w:rPr>
              <w:t>2.固定立柱与移动立柱选用铝合金型材，型材之间选用燕尾槽配合，表面氧化处理，固定立柱采用50*80mm的铝合金异型方管，刻度调节范围500mm-2500mm，升降立柱采用30mm*30mm的铝合金异型方管，两端塑料塞封口。</w:t>
            </w:r>
            <w:r>
              <w:rPr>
                <w:rFonts w:hint="eastAsia" w:ascii="宋体" w:hAnsi="宋体" w:cs="宋体"/>
                <w:bCs/>
                <w:sz w:val="20"/>
                <w:szCs w:val="20"/>
              </w:rPr>
              <w:br w:type="textWrapping"/>
            </w:r>
            <w:r>
              <w:rPr>
                <w:rFonts w:hint="eastAsia" w:ascii="宋体" w:hAnsi="宋体" w:cs="宋体"/>
                <w:bCs/>
                <w:sz w:val="20"/>
                <w:szCs w:val="20"/>
              </w:rPr>
              <w:t xml:space="preserve">3.底座铁板一次冲压成型，避免了焊接造成的接口腐蚀，底部设有PU滚轮，移动方便。 </w:t>
            </w:r>
            <w:r>
              <w:rPr>
                <w:rFonts w:hint="eastAsia" w:ascii="宋体" w:hAnsi="宋体" w:cs="宋体"/>
                <w:bCs/>
                <w:sz w:val="20"/>
                <w:szCs w:val="20"/>
              </w:rPr>
              <w:br w:type="textWrapping"/>
            </w:r>
            <w:r>
              <w:rPr>
                <w:rFonts w:hint="eastAsia" w:ascii="宋体" w:hAnsi="宋体" w:cs="宋体"/>
                <w:bCs/>
                <w:sz w:val="20"/>
                <w:szCs w:val="20"/>
              </w:rPr>
              <w:t xml:space="preserve">4.跳高架具有防腐蚀性，安全，牢固等优点且上下移动方便。 </w:t>
            </w:r>
            <w:r>
              <w:rPr>
                <w:rFonts w:hint="eastAsia" w:ascii="宋体" w:hAnsi="宋体" w:cs="宋体"/>
                <w:bCs/>
                <w:sz w:val="20"/>
                <w:szCs w:val="20"/>
              </w:rPr>
              <w:br w:type="textWrapping"/>
            </w:r>
            <w:r>
              <w:rPr>
                <w:rFonts w:hint="eastAsia" w:ascii="宋体" w:hAnsi="宋体" w:cs="宋体"/>
                <w:bCs/>
                <w:sz w:val="20"/>
                <w:szCs w:val="20"/>
              </w:rPr>
              <w:t xml:space="preserve">5.跳高架底座底部设有微调机构，通过调节微调机构可满足场地不平整引起的跳高架的稳定性和横杆的高度要求。 </w:t>
            </w:r>
            <w:r>
              <w:rPr>
                <w:rFonts w:hint="eastAsia" w:ascii="宋体" w:hAnsi="宋体" w:cs="宋体"/>
                <w:bCs/>
                <w:sz w:val="20"/>
                <w:szCs w:val="20"/>
              </w:rPr>
              <w:br w:type="textWrapping"/>
            </w:r>
            <w:r>
              <w:rPr>
                <w:rFonts w:hint="eastAsia" w:ascii="宋体" w:hAnsi="宋体" w:cs="宋体"/>
                <w:bCs/>
                <w:sz w:val="20"/>
                <w:szCs w:val="20"/>
              </w:rPr>
              <w:t>6.喷涂工件的表面处理分两个阶段，前处理阶段使工件获得质量优良的介质层，增加防锈涂膜与金属基本的结合力，是提高产品表面 处理能力的必备基础措施。表面处理阶段是将粉末通过高压静电作用均匀涂敷在被涂物体上的过程。当涂层达到一定厚度后，进入烘炉加热，涂料熔融固化，形成厚度均匀，质地牢固的涂层。产品所有器材均在全自动喷涂流水线上作业，经抛丸-脱脂-水洗-无磷转化-水洗-烘干-静电粉末-固化等过程。产品涂层厚度70-80um，铅笔硬度达3H+，产品具有耐酸碱，耐湿热，抗老化，外观美观等优点，能适合潮湿和酸雨环境，且前处理过程以及产品涂料配方均不含有毒元素，避免损害使用者的健康。</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GB/T19851.17-2007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跳高垫</w:t>
            </w:r>
          </w:p>
        </w:tc>
        <w:tc>
          <w:tcPr>
            <w:tcW w:w="0" w:type="auto"/>
            <w:vAlign w:val="center"/>
          </w:tcPr>
          <w:p>
            <w:pPr>
              <w:rPr>
                <w:rFonts w:ascii="宋体" w:hAnsi="宋体" w:cs="宋体"/>
                <w:bCs/>
                <w:sz w:val="20"/>
                <w:szCs w:val="20"/>
              </w:rPr>
            </w:pPr>
            <w:r>
              <w:rPr>
                <w:rFonts w:hint="eastAsia" w:ascii="宋体" w:hAnsi="宋体" w:cs="宋体"/>
                <w:bCs/>
                <w:sz w:val="20"/>
                <w:szCs w:val="20"/>
              </w:rPr>
              <w:t>3000mm×2000mm×300mm采用牛津布外皮；内胆为26#优质高弹海绵,经防静电处理,强力好,接缝处平整、均匀牢固、棱角平整、手把结实.色泽均匀一致。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1970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30814000510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跳高横杆</w:t>
            </w:r>
          </w:p>
        </w:tc>
        <w:tc>
          <w:tcPr>
            <w:tcW w:w="0" w:type="auto"/>
            <w:vAlign w:val="center"/>
          </w:tcPr>
          <w:p>
            <w:pPr>
              <w:rPr>
                <w:rFonts w:ascii="宋体" w:hAnsi="宋体" w:cs="宋体"/>
                <w:bCs/>
                <w:sz w:val="20"/>
                <w:szCs w:val="20"/>
              </w:rPr>
            </w:pPr>
            <w:r>
              <w:rPr>
                <w:rFonts w:hint="eastAsia" w:ascii="宋体" w:hAnsi="宋体" w:cs="宋体"/>
                <w:bCs/>
                <w:sz w:val="20"/>
                <w:szCs w:val="20"/>
              </w:rPr>
              <w:t>1．跳高横杆由横杆和横杆接头组成。</w:t>
            </w:r>
            <w:r>
              <w:rPr>
                <w:rFonts w:hint="eastAsia" w:ascii="宋体" w:hAnsi="宋体" w:cs="宋体"/>
                <w:bCs/>
                <w:sz w:val="20"/>
                <w:szCs w:val="20"/>
              </w:rPr>
              <w:br w:type="textWrapping"/>
            </w:r>
            <w:r>
              <w:rPr>
                <w:rFonts w:hint="eastAsia" w:ascii="宋体" w:hAnsi="宋体" w:cs="宋体"/>
                <w:bCs/>
                <w:sz w:val="20"/>
                <w:szCs w:val="20"/>
              </w:rPr>
              <w:t>2．横杆采用φ30的玻璃钢材料制作，总长为4000mm，重量小于2000g。横杆接头采用特殊的外形结构。</w:t>
            </w:r>
            <w:r>
              <w:rPr>
                <w:rFonts w:hint="eastAsia" w:ascii="宋体" w:hAnsi="宋体" w:cs="宋体"/>
                <w:bCs/>
                <w:sz w:val="20"/>
                <w:szCs w:val="20"/>
              </w:rPr>
              <w:br w:type="textWrapping"/>
            </w:r>
            <w:r>
              <w:rPr>
                <w:rFonts w:hint="eastAsia" w:ascii="宋体" w:hAnsi="宋体" w:cs="宋体"/>
                <w:bCs/>
                <w:sz w:val="20"/>
                <w:szCs w:val="20"/>
              </w:rPr>
              <w:t>3．横杆固定在立柱上时，中心自然下垂应小于20mm。</w:t>
            </w:r>
            <w:r>
              <w:rPr>
                <w:rFonts w:hint="eastAsia" w:ascii="宋体" w:hAnsi="宋体" w:cs="宋体"/>
                <w:bCs/>
                <w:sz w:val="20"/>
                <w:szCs w:val="20"/>
              </w:rPr>
              <w:br w:type="textWrapping"/>
            </w:r>
            <w:r>
              <w:rPr>
                <w:rFonts w:hint="eastAsia" w:ascii="宋体" w:hAnsi="宋体" w:cs="宋体"/>
                <w:bCs/>
                <w:sz w:val="20"/>
                <w:szCs w:val="20"/>
              </w:rPr>
              <w:t>4．横杠应具有一定的弹性，在横杠中央悬挂3kg重物时，横杠中心下垂应不超过70mm。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起跑器</w:t>
            </w:r>
          </w:p>
        </w:tc>
        <w:tc>
          <w:tcPr>
            <w:tcW w:w="0" w:type="auto"/>
            <w:vAlign w:val="center"/>
          </w:tcPr>
          <w:p>
            <w:pPr>
              <w:rPr>
                <w:rFonts w:ascii="宋体" w:hAnsi="宋体" w:cs="宋体"/>
                <w:bCs/>
                <w:sz w:val="20"/>
                <w:szCs w:val="20"/>
              </w:rPr>
            </w:pPr>
            <w:r>
              <w:rPr>
                <w:rFonts w:hint="eastAsia" w:ascii="宋体" w:hAnsi="宋体" w:cs="宋体"/>
                <w:bCs/>
                <w:sz w:val="20"/>
                <w:szCs w:val="20"/>
              </w:rPr>
              <w:t>长690mm,宽≥100mm,三角体抵脚板，长160mm,宽120mm,高130mm,倾斜度可调整</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发令枪</w:t>
            </w:r>
          </w:p>
        </w:tc>
        <w:tc>
          <w:tcPr>
            <w:tcW w:w="0" w:type="auto"/>
            <w:vAlign w:val="center"/>
          </w:tcPr>
          <w:p>
            <w:pPr>
              <w:rPr>
                <w:rFonts w:ascii="宋体" w:hAnsi="宋体" w:cs="宋体"/>
                <w:bCs/>
                <w:sz w:val="20"/>
                <w:szCs w:val="20"/>
              </w:rPr>
            </w:pPr>
            <w:r>
              <w:rPr>
                <w:rFonts w:hint="eastAsia" w:ascii="宋体" w:hAnsi="宋体" w:cs="宋体"/>
                <w:bCs/>
                <w:sz w:val="20"/>
                <w:szCs w:val="20"/>
              </w:rPr>
              <w:t>双发式。</w:t>
            </w:r>
            <w:r>
              <w:rPr>
                <w:rFonts w:hint="eastAsia" w:ascii="宋体" w:hAnsi="宋体" w:cs="宋体"/>
                <w:bCs/>
                <w:sz w:val="20"/>
                <w:szCs w:val="20"/>
              </w:rPr>
              <w:br w:type="textWrapping"/>
            </w:r>
            <w:r>
              <w:rPr>
                <w:rFonts w:hint="eastAsia" w:ascii="宋体" w:hAnsi="宋体" w:cs="宋体"/>
                <w:bCs/>
                <w:sz w:val="20"/>
                <w:szCs w:val="20"/>
              </w:rPr>
              <w:t>钢制枪身，手柄为专用塑料材质,5.6mm定装发令弹；</w:t>
            </w:r>
            <w:r>
              <w:rPr>
                <w:rFonts w:hint="eastAsia" w:ascii="宋体" w:hAnsi="宋体" w:cs="宋体"/>
                <w:bCs/>
                <w:sz w:val="20"/>
                <w:szCs w:val="20"/>
              </w:rPr>
              <w:br w:type="textWrapping"/>
            </w:r>
            <w:r>
              <w:rPr>
                <w:rFonts w:hint="eastAsia" w:ascii="宋体" w:hAnsi="宋体" w:cs="宋体"/>
                <w:bCs/>
                <w:sz w:val="20"/>
                <w:szCs w:val="20"/>
              </w:rPr>
              <w:t>击发方式：单发击发；</w:t>
            </w:r>
            <w:r>
              <w:rPr>
                <w:rFonts w:hint="eastAsia" w:ascii="宋体" w:hAnsi="宋体" w:cs="宋体"/>
                <w:bCs/>
                <w:sz w:val="20"/>
                <w:szCs w:val="20"/>
              </w:rPr>
              <w:br w:type="textWrapping"/>
            </w:r>
            <w:r>
              <w:rPr>
                <w:rFonts w:hint="eastAsia" w:ascii="宋体" w:hAnsi="宋体" w:cs="宋体"/>
                <w:bCs/>
                <w:sz w:val="20"/>
                <w:szCs w:val="20"/>
              </w:rPr>
              <w:t>声响：100m处不小于60分贝；烟</w:t>
            </w:r>
            <w:r>
              <w:rPr>
                <w:rFonts w:hint="eastAsia" w:ascii="宋体" w:hAnsi="宋体" w:cs="宋体"/>
                <w:bCs/>
                <w:sz w:val="20"/>
                <w:szCs w:val="20"/>
              </w:rPr>
              <w:br w:type="textWrapping"/>
            </w:r>
            <w:r>
              <w:rPr>
                <w:rFonts w:hint="eastAsia" w:ascii="宋体" w:hAnsi="宋体" w:cs="宋体"/>
                <w:bCs/>
                <w:sz w:val="20"/>
                <w:szCs w:val="20"/>
              </w:rPr>
              <w:t>雾：150m处清晰可见。</w:t>
            </w:r>
            <w:r>
              <w:rPr>
                <w:rFonts w:hint="eastAsia" w:ascii="宋体" w:hAnsi="宋体" w:cs="宋体"/>
                <w:bCs/>
                <w:sz w:val="20"/>
                <w:szCs w:val="20"/>
              </w:rPr>
              <w:br w:type="textWrapping"/>
            </w:r>
            <w:r>
              <w:rPr>
                <w:rFonts w:hint="eastAsia" w:ascii="宋体" w:hAnsi="宋体" w:cs="宋体"/>
                <w:bCs/>
                <w:sz w:val="20"/>
                <w:szCs w:val="20"/>
              </w:rPr>
              <w:t>符合教学标准要求。</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30814002700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钉鞋</w:t>
            </w:r>
          </w:p>
        </w:tc>
        <w:tc>
          <w:tcPr>
            <w:tcW w:w="0" w:type="auto"/>
            <w:vAlign w:val="center"/>
          </w:tcPr>
          <w:p>
            <w:pPr>
              <w:rPr>
                <w:rFonts w:ascii="宋体" w:hAnsi="宋体" w:cs="宋体"/>
                <w:bCs/>
                <w:sz w:val="20"/>
                <w:szCs w:val="20"/>
              </w:rPr>
            </w:pPr>
            <w:r>
              <w:rPr>
                <w:rFonts w:hint="eastAsia" w:ascii="宋体" w:hAnsi="宋体" w:cs="宋体"/>
                <w:bCs/>
                <w:sz w:val="20"/>
                <w:szCs w:val="20"/>
              </w:rPr>
              <w:t>7钉，轻盈透气网面材质，可拆卸跑钉。标准运动鞋码。</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双</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圆周长420mm〜780mm,质量2000g土30g,采用适宜的软性材料，球体表面应进行防滑处理,不应有颗粒脱落、裂缝等缺陷,经过从10m高处自由落体试验后，应无破裂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39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圆周长400mm〜780mm,质量1500g土30g,采用适宜的软性材料，球体表面应进行防滑处理,不应有颗粒脱落、裂缝等缺陷,经过从10m高处自由落体试验后，应无破裂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30814002940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实心球</w:t>
            </w:r>
          </w:p>
        </w:tc>
        <w:tc>
          <w:tcPr>
            <w:tcW w:w="0" w:type="auto"/>
            <w:vAlign w:val="center"/>
          </w:tcPr>
          <w:p>
            <w:pPr>
              <w:rPr>
                <w:rFonts w:ascii="宋体" w:hAnsi="宋体" w:cs="宋体"/>
                <w:bCs/>
                <w:sz w:val="20"/>
                <w:szCs w:val="20"/>
              </w:rPr>
            </w:pPr>
            <w:r>
              <w:rPr>
                <w:rFonts w:hint="eastAsia" w:ascii="宋体" w:hAnsi="宋体" w:cs="宋体"/>
                <w:bCs/>
                <w:sz w:val="20"/>
                <w:szCs w:val="20"/>
              </w:rPr>
              <w:t>圆周长350mm〜780mm,质量1000g土30g,采用适宜的软性材料，球体表面应进行防滑处理,不应有颗粒脱落、裂缝等缺陷,经过从10m高处自由落体试验后，应无破裂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GB/T19851.18-2007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可调节跨栏架</w:t>
            </w:r>
          </w:p>
        </w:tc>
        <w:tc>
          <w:tcPr>
            <w:tcW w:w="0" w:type="auto"/>
            <w:vAlign w:val="center"/>
          </w:tcPr>
          <w:p>
            <w:pPr>
              <w:rPr>
                <w:rFonts w:ascii="宋体" w:hAnsi="宋体" w:cs="宋体"/>
                <w:bCs/>
                <w:sz w:val="20"/>
                <w:szCs w:val="20"/>
              </w:rPr>
            </w:pPr>
            <w:r>
              <w:rPr>
                <w:rFonts w:hint="eastAsia" w:ascii="宋体" w:hAnsi="宋体" w:cs="宋体"/>
                <w:bCs/>
                <w:sz w:val="20"/>
                <w:szCs w:val="20"/>
              </w:rPr>
              <w:t>栏板长度1200mm，宽度70mm；栏架底座长700mm，四档高度调节分别为：550mm、650mm、760mm和840mm，铝合金或塑料等轻材料制成，可拆卸组装，方便搬用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12864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质量400g,长1850mm〜1950mm；枪头和强尾用柔软塑胶材料制成，枪体为铝合金制成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软式标枪</w:t>
            </w:r>
          </w:p>
        </w:tc>
        <w:tc>
          <w:tcPr>
            <w:tcW w:w="0" w:type="auto"/>
            <w:vAlign w:val="center"/>
          </w:tcPr>
          <w:p>
            <w:pPr>
              <w:rPr>
                <w:rFonts w:ascii="宋体" w:hAnsi="宋体" w:cs="宋体"/>
                <w:bCs/>
                <w:sz w:val="20"/>
                <w:szCs w:val="20"/>
              </w:rPr>
            </w:pPr>
            <w:r>
              <w:rPr>
                <w:rFonts w:hint="eastAsia" w:ascii="宋体" w:hAnsi="宋体" w:cs="宋体"/>
                <w:bCs/>
                <w:sz w:val="20"/>
                <w:szCs w:val="20"/>
              </w:rPr>
              <w:t>质量500g,长2000mm〜2100mm,枪头和强尾用柔软塑胶材料制成，枪体为铝合金制成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质量800g,直径180mm~200mm,柔软塑胶材料制成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30814100930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软式铁饼</w:t>
            </w:r>
          </w:p>
        </w:tc>
        <w:tc>
          <w:tcPr>
            <w:tcW w:w="0" w:type="auto"/>
            <w:vAlign w:val="center"/>
          </w:tcPr>
          <w:p>
            <w:pPr>
              <w:rPr>
                <w:rFonts w:ascii="宋体" w:hAnsi="宋体" w:cs="宋体"/>
                <w:bCs/>
                <w:sz w:val="20"/>
                <w:szCs w:val="20"/>
              </w:rPr>
            </w:pPr>
            <w:r>
              <w:rPr>
                <w:rFonts w:hint="eastAsia" w:ascii="宋体" w:hAnsi="宋体" w:cs="宋体"/>
                <w:bCs/>
                <w:sz w:val="20"/>
                <w:szCs w:val="20"/>
              </w:rPr>
              <w:t>质量1000g,直径180mm〜200mm,柔软塑胶材料制成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质量3000g，直径100mm~110mm,球体外胆为柔软塑胶材料制成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软式铅球</w:t>
            </w:r>
          </w:p>
        </w:tc>
        <w:tc>
          <w:tcPr>
            <w:tcW w:w="0" w:type="auto"/>
            <w:vAlign w:val="center"/>
          </w:tcPr>
          <w:p>
            <w:pPr>
              <w:rPr>
                <w:rFonts w:ascii="宋体" w:hAnsi="宋体" w:cs="宋体"/>
                <w:bCs/>
                <w:sz w:val="20"/>
                <w:szCs w:val="20"/>
              </w:rPr>
            </w:pPr>
            <w:r>
              <w:rPr>
                <w:rFonts w:hint="eastAsia" w:ascii="宋体" w:hAnsi="宋体" w:cs="宋体"/>
                <w:bCs/>
                <w:sz w:val="20"/>
                <w:szCs w:val="20"/>
              </w:rPr>
              <w:t>质量4000g，直径100mm~110mm,球体外胆为柔软塑胶材料制成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田径类运动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撑杆跳软式撑杆</w:t>
            </w:r>
          </w:p>
        </w:tc>
        <w:tc>
          <w:tcPr>
            <w:tcW w:w="0" w:type="auto"/>
            <w:vAlign w:val="center"/>
          </w:tcPr>
          <w:p>
            <w:pPr>
              <w:rPr>
                <w:rFonts w:ascii="宋体" w:hAnsi="宋体" w:cs="宋体"/>
                <w:bCs/>
                <w:sz w:val="20"/>
                <w:szCs w:val="20"/>
              </w:rPr>
            </w:pPr>
            <w:r>
              <w:rPr>
                <w:rFonts w:hint="eastAsia" w:ascii="宋体" w:hAnsi="宋体" w:cs="宋体"/>
                <w:bCs/>
                <w:sz w:val="20"/>
                <w:szCs w:val="20"/>
              </w:rPr>
              <w:t>长2000mm,直径25mm〜30mm,玻璃纤维杆体，外部覆软材料包裹</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49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30814102710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体能训练绳梯</w:t>
            </w:r>
          </w:p>
        </w:tc>
        <w:tc>
          <w:tcPr>
            <w:tcW w:w="0" w:type="auto"/>
            <w:vAlign w:val="center"/>
          </w:tcPr>
          <w:p>
            <w:pPr>
              <w:rPr>
                <w:rFonts w:ascii="宋体" w:hAnsi="宋体" w:cs="宋体"/>
                <w:bCs/>
                <w:sz w:val="20"/>
                <w:szCs w:val="20"/>
              </w:rPr>
            </w:pPr>
            <w:r>
              <w:rPr>
                <w:rFonts w:hint="eastAsia" w:ascii="宋体" w:hAnsi="宋体" w:cs="宋体"/>
                <w:bCs/>
                <w:sz w:val="20"/>
                <w:szCs w:val="20"/>
              </w:rPr>
              <w:t>绳梯长度9.5m,宽度可以任意调节，柔软塑胶材料制成</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主要原材料采用木材或其它弹性材料,II型长、宽、高为900mmX500mmX150mm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助跳板</w:t>
            </w:r>
          </w:p>
        </w:tc>
        <w:tc>
          <w:tcPr>
            <w:tcW w:w="0" w:type="auto"/>
            <w:vAlign w:val="center"/>
          </w:tcPr>
          <w:p>
            <w:pPr>
              <w:rPr>
                <w:rFonts w:ascii="宋体" w:hAnsi="宋体" w:cs="宋体"/>
                <w:bCs/>
                <w:sz w:val="20"/>
                <w:szCs w:val="20"/>
              </w:rPr>
            </w:pPr>
            <w:r>
              <w:rPr>
                <w:rFonts w:hint="eastAsia" w:ascii="宋体" w:hAnsi="宋体" w:cs="宋体"/>
                <w:bCs/>
                <w:sz w:val="20"/>
                <w:szCs w:val="20"/>
              </w:rPr>
              <w:t>主要原材料采用木材或其它弹性材料,III型长、宽、高1200mmX600mmX200mm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山羊</w:t>
            </w:r>
          </w:p>
        </w:tc>
        <w:tc>
          <w:tcPr>
            <w:tcW w:w="0" w:type="auto"/>
            <w:vAlign w:val="center"/>
          </w:tcPr>
          <w:p>
            <w:pPr>
              <w:rPr>
                <w:rFonts w:ascii="宋体" w:hAnsi="宋体" w:cs="宋体"/>
                <w:bCs/>
                <w:sz w:val="20"/>
                <w:szCs w:val="20"/>
              </w:rPr>
            </w:pPr>
            <w:r>
              <w:rPr>
                <w:rFonts w:hint="eastAsia" w:ascii="宋体" w:hAnsi="宋体" w:cs="宋体"/>
                <w:bCs/>
                <w:sz w:val="20"/>
                <w:szCs w:val="20"/>
              </w:rPr>
              <w:t>山羊全高：1000mm〜1300mm；山羊头长：500mm〜600mm；头宽：360mm±5mm；头高：260mm〜330mm,立轴升降间距：50mm±3mm,山羊腿外直径≥30mm,山羊腿壁厚≥3mm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30814200420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单杠</w:t>
            </w:r>
          </w:p>
        </w:tc>
        <w:tc>
          <w:tcPr>
            <w:tcW w:w="0" w:type="auto"/>
            <w:vAlign w:val="center"/>
          </w:tcPr>
          <w:p>
            <w:pPr>
              <w:rPr>
                <w:rFonts w:ascii="宋体" w:hAnsi="宋体" w:cs="宋体"/>
                <w:bCs/>
                <w:sz w:val="20"/>
                <w:szCs w:val="20"/>
              </w:rPr>
            </w:pPr>
            <w:r>
              <w:rPr>
                <w:rFonts w:hint="eastAsia" w:ascii="宋体" w:hAnsi="宋体" w:cs="宋体"/>
                <w:bCs/>
                <w:sz w:val="20"/>
                <w:szCs w:val="20"/>
              </w:rPr>
              <w:t>杠面高度：1400mm〜2400mm,两立柱支点中心距：2000mm〜2400mm,横杠材料：弹簧钢,立柱材料：钢管</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895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30814200520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双杠</w:t>
            </w:r>
          </w:p>
        </w:tc>
        <w:tc>
          <w:tcPr>
            <w:tcW w:w="0" w:type="auto"/>
            <w:vAlign w:val="center"/>
          </w:tcPr>
          <w:p>
            <w:pPr>
              <w:rPr>
                <w:rFonts w:ascii="宋体" w:hAnsi="宋体" w:cs="宋体"/>
                <w:bCs/>
                <w:sz w:val="20"/>
                <w:szCs w:val="20"/>
              </w:rPr>
            </w:pPr>
            <w:r>
              <w:rPr>
                <w:rFonts w:hint="eastAsia" w:ascii="宋体" w:hAnsi="宋体" w:cs="宋体"/>
                <w:bCs/>
                <w:sz w:val="20"/>
                <w:szCs w:val="20"/>
              </w:rPr>
              <w:t>杠高1300mm〜1700mm;杠长3000mm〜3500mm,两杠内侧距离410mm〜610mm,纵向立轴中心距2000mm〜2300mm,升降间距50mm</w:t>
            </w:r>
            <w:r>
              <w:rPr>
                <w:rFonts w:hint="eastAsia" w:ascii="宋体" w:hAnsi="宋体" w:cs="宋体"/>
                <w:bCs/>
                <w:sz w:val="20"/>
                <w:szCs w:val="20"/>
              </w:rPr>
              <w:br w:type="textWrapping"/>
            </w:r>
            <w:r>
              <w:rPr>
                <w:rFonts w:hint="eastAsia" w:ascii="宋体" w:hAnsi="宋体" w:cs="宋体"/>
                <w:bCs/>
                <w:sz w:val="20"/>
                <w:szCs w:val="20"/>
              </w:rPr>
              <w:t>（供货前须征求使用单位意见）</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16645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133160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小跳垫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采用泡沫塑料和泡沫乳胶,帆布或人造革外皮，长1200mm±5mm,宽600mm±5mm,厚≥50mm。在长度方向可对半折叠，两侧应各有提手,四周加装粘扣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30814200810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大跳垫</w:t>
            </w:r>
          </w:p>
        </w:tc>
        <w:tc>
          <w:tcPr>
            <w:tcW w:w="0" w:type="auto"/>
            <w:vAlign w:val="center"/>
          </w:tcPr>
          <w:p>
            <w:pPr>
              <w:rPr>
                <w:rFonts w:ascii="宋体" w:hAnsi="宋体" w:cs="宋体"/>
                <w:bCs/>
                <w:sz w:val="20"/>
                <w:szCs w:val="20"/>
              </w:rPr>
            </w:pPr>
            <w:r>
              <w:rPr>
                <w:rFonts w:hint="eastAsia" w:ascii="宋体" w:hAnsi="宋体" w:cs="宋体"/>
                <w:bCs/>
                <w:sz w:val="20"/>
                <w:szCs w:val="20"/>
              </w:rPr>
              <w:t>采用泡沫塑料和泡沫乳胶,帆布或人造革外皮，长2000mm±5mm,宽1000mm±5mm,厚≥100mm。在长度方向可对半折叠,两侧应各有提手,四周加装粘扣</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7</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体操类运动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30814201910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艺术体操球</w:t>
            </w:r>
          </w:p>
        </w:tc>
        <w:tc>
          <w:tcPr>
            <w:tcW w:w="0" w:type="auto"/>
            <w:vAlign w:val="center"/>
          </w:tcPr>
          <w:p>
            <w:pPr>
              <w:rPr>
                <w:rFonts w:ascii="宋体" w:hAnsi="宋体" w:cs="宋体"/>
                <w:bCs/>
                <w:sz w:val="20"/>
                <w:szCs w:val="20"/>
              </w:rPr>
            </w:pPr>
            <w:r>
              <w:rPr>
                <w:rFonts w:hint="eastAsia" w:ascii="宋体" w:hAnsi="宋体" w:cs="宋体"/>
                <w:bCs/>
                <w:sz w:val="20"/>
                <w:szCs w:val="20"/>
              </w:rPr>
              <w:t>直径180mm〜200mm,质量约400g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r>
              <w:rPr>
                <w:rFonts w:ascii="宋体" w:hAnsi="宋体" w:cs="宋体"/>
                <w:bCs/>
                <w:sz w:val="20"/>
                <w:szCs w:val="20"/>
              </w:rPr>
              <w:t>8</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初中生用篮球</w:t>
            </w:r>
          </w:p>
        </w:tc>
        <w:tc>
          <w:tcPr>
            <w:tcW w:w="0" w:type="auto"/>
            <w:vAlign w:val="center"/>
          </w:tcPr>
          <w:p>
            <w:pPr>
              <w:rPr>
                <w:rFonts w:ascii="宋体" w:hAnsi="宋体" w:cs="宋体"/>
                <w:bCs/>
                <w:sz w:val="20"/>
                <w:szCs w:val="20"/>
              </w:rPr>
            </w:pPr>
            <w:r>
              <w:rPr>
                <w:rFonts w:hint="eastAsia" w:ascii="宋体" w:hAnsi="宋体" w:cs="宋体"/>
                <w:bCs/>
                <w:sz w:val="20"/>
                <w:szCs w:val="20"/>
              </w:rPr>
              <w:t>圆周长695mm〜725mm；质量490g〜560g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GB/T19851.4-2005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59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30814300910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篮球网</w:t>
            </w:r>
          </w:p>
        </w:tc>
        <w:tc>
          <w:tcPr>
            <w:tcW w:w="0" w:type="auto"/>
            <w:vAlign w:val="center"/>
          </w:tcPr>
          <w:p>
            <w:pPr>
              <w:rPr>
                <w:rFonts w:ascii="宋体" w:hAnsi="宋体" w:cs="宋体"/>
                <w:bCs/>
                <w:sz w:val="20"/>
                <w:szCs w:val="20"/>
              </w:rPr>
            </w:pPr>
            <w:r>
              <w:rPr>
                <w:rFonts w:hint="eastAsia" w:ascii="宋体" w:hAnsi="宋体" w:cs="宋体"/>
                <w:bCs/>
                <w:sz w:val="20"/>
                <w:szCs w:val="20"/>
              </w:rPr>
              <w:t>篮球网高400mm〜450mm,网口直径450mm±8mm,网底直径350mm±8mm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GB/T19851.3-2005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初中生用排球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圆周长650mm〜670mm；质量230g〜270g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GB/T19851.5-2005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30814301930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软式排球</w:t>
            </w:r>
          </w:p>
        </w:tc>
        <w:tc>
          <w:tcPr>
            <w:tcW w:w="0" w:type="auto"/>
            <w:vAlign w:val="center"/>
          </w:tcPr>
          <w:p>
            <w:pPr>
              <w:rPr>
                <w:rFonts w:ascii="宋体" w:hAnsi="宋体" w:cs="宋体"/>
                <w:bCs/>
                <w:sz w:val="20"/>
                <w:szCs w:val="20"/>
              </w:rPr>
            </w:pPr>
            <w:r>
              <w:rPr>
                <w:rFonts w:hint="eastAsia" w:ascii="宋体" w:hAnsi="宋体" w:cs="宋体"/>
                <w:bCs/>
                <w:sz w:val="20"/>
                <w:szCs w:val="20"/>
              </w:rPr>
              <w:t>5#：圆周长650mm〜670mm,质量220g〜310g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GB/T19851.6-2006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圆周长为610mm〜630mm,质量150g〜170g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3</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30814308920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气排球</w:t>
            </w:r>
          </w:p>
        </w:tc>
        <w:tc>
          <w:tcPr>
            <w:tcW w:w="0" w:type="auto"/>
            <w:vAlign w:val="center"/>
          </w:tcPr>
          <w:p>
            <w:pPr>
              <w:rPr>
                <w:rFonts w:ascii="宋体" w:hAnsi="宋体" w:cs="宋体"/>
                <w:bCs/>
                <w:sz w:val="20"/>
                <w:szCs w:val="20"/>
              </w:rPr>
            </w:pPr>
            <w:r>
              <w:rPr>
                <w:rFonts w:hint="eastAsia" w:ascii="宋体" w:hAnsi="宋体" w:cs="宋体"/>
                <w:bCs/>
                <w:sz w:val="20"/>
                <w:szCs w:val="20"/>
              </w:rPr>
              <w:t>圆周长为760mm〜780mm,质量150g〜170g</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网柱高度：2120mm±5mm,拉网中央高度:2000mm±5mm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930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排球网</w:t>
            </w:r>
          </w:p>
        </w:tc>
        <w:tc>
          <w:tcPr>
            <w:tcW w:w="0" w:type="auto"/>
            <w:vAlign w:val="center"/>
          </w:tcPr>
          <w:p>
            <w:pPr>
              <w:rPr>
                <w:rFonts w:ascii="宋体" w:hAnsi="宋体" w:cs="宋体"/>
                <w:bCs/>
                <w:sz w:val="20"/>
                <w:szCs w:val="20"/>
              </w:rPr>
            </w:pPr>
            <w:r>
              <w:rPr>
                <w:rFonts w:hint="eastAsia" w:ascii="宋体" w:hAnsi="宋体" w:cs="宋体"/>
                <w:bCs/>
                <w:sz w:val="20"/>
                <w:szCs w:val="20"/>
              </w:rPr>
              <w:t>排球网长度9500mm〜10000mm,宽度1000mm±25mm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少年足球</w:t>
            </w:r>
          </w:p>
        </w:tc>
        <w:tc>
          <w:tcPr>
            <w:tcW w:w="0" w:type="auto"/>
            <w:vAlign w:val="center"/>
          </w:tcPr>
          <w:p>
            <w:pPr>
              <w:rPr>
                <w:rFonts w:ascii="宋体" w:hAnsi="宋体" w:cs="宋体"/>
                <w:bCs/>
                <w:sz w:val="20"/>
                <w:szCs w:val="20"/>
              </w:rPr>
            </w:pPr>
            <w:r>
              <w:rPr>
                <w:rFonts w:hint="eastAsia" w:ascii="宋体" w:hAnsi="宋体" w:cs="宋体"/>
                <w:bCs/>
                <w:sz w:val="20"/>
                <w:szCs w:val="20"/>
              </w:rPr>
              <w:t>4#,圆周长615mm〜650mm；质量315g〜405g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成年足球</w:t>
            </w:r>
          </w:p>
        </w:tc>
        <w:tc>
          <w:tcPr>
            <w:tcW w:w="0" w:type="auto"/>
            <w:vAlign w:val="center"/>
          </w:tcPr>
          <w:p>
            <w:pPr>
              <w:rPr>
                <w:rFonts w:ascii="宋体" w:hAnsi="宋体" w:cs="宋体"/>
                <w:bCs/>
                <w:sz w:val="20"/>
                <w:szCs w:val="20"/>
              </w:rPr>
            </w:pPr>
            <w:r>
              <w:rPr>
                <w:rFonts w:hint="eastAsia" w:ascii="宋体" w:hAnsi="宋体" w:cs="宋体"/>
                <w:bCs/>
                <w:sz w:val="20"/>
                <w:szCs w:val="20"/>
              </w:rPr>
              <w:t>5#：圆周长675mm〜710mm；质量382g〜468g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GB/T22892-2008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4号，圆周长615mm〜650mm；质量300g〜340g,充气内胆填充柔性材料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69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30814302930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软式足球</w:t>
            </w:r>
          </w:p>
        </w:tc>
        <w:tc>
          <w:tcPr>
            <w:tcW w:w="0" w:type="auto"/>
            <w:vAlign w:val="center"/>
          </w:tcPr>
          <w:p>
            <w:pPr>
              <w:rPr>
                <w:rFonts w:ascii="宋体" w:hAnsi="宋体" w:cs="宋体"/>
                <w:bCs/>
                <w:sz w:val="20"/>
                <w:szCs w:val="20"/>
              </w:rPr>
            </w:pPr>
            <w:r>
              <w:rPr>
                <w:rFonts w:hint="eastAsia" w:ascii="宋体" w:hAnsi="宋体" w:cs="宋体"/>
                <w:bCs/>
                <w:sz w:val="20"/>
                <w:szCs w:val="20"/>
              </w:rPr>
              <w:t>5号，圆周长675mm〜710mm；质量350g〜390g,充气内胆填充柔性材料</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0</w:t>
            </w:r>
          </w:p>
        </w:tc>
        <w:tc>
          <w:tcPr>
            <w:tcW w:w="0" w:type="auto"/>
            <w:vMerge w:val="restart"/>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1号足球网宽度7320mm，高度2440mm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2号足球网宽度5500mm，高度2000mm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30814303330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足球网</w:t>
            </w:r>
          </w:p>
        </w:tc>
        <w:tc>
          <w:tcPr>
            <w:tcW w:w="0" w:type="auto"/>
            <w:vAlign w:val="center"/>
          </w:tcPr>
          <w:p>
            <w:pPr>
              <w:rPr>
                <w:rFonts w:ascii="宋体" w:hAnsi="宋体" w:cs="宋体"/>
                <w:bCs/>
                <w:sz w:val="20"/>
                <w:szCs w:val="20"/>
              </w:rPr>
            </w:pPr>
            <w:r>
              <w:rPr>
                <w:rFonts w:hint="eastAsia" w:ascii="宋体" w:hAnsi="宋体" w:cs="宋体"/>
                <w:bCs/>
                <w:sz w:val="20"/>
                <w:szCs w:val="20"/>
              </w:rPr>
              <w:t>3号足球网宽度3000mm，高度2000mm；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w:t>
            </w:r>
          </w:p>
        </w:tc>
        <w:tc>
          <w:tcPr>
            <w:tcW w:w="0" w:type="auto"/>
            <w:vAlign w:val="center"/>
          </w:tcPr>
          <w:p>
            <w:pPr>
              <w:rPr>
                <w:rFonts w:ascii="宋体" w:hAnsi="宋体" w:cs="宋体"/>
                <w:bCs/>
                <w:sz w:val="20"/>
                <w:szCs w:val="20"/>
              </w:rPr>
            </w:pPr>
            <w:r>
              <w:rPr>
                <w:rFonts w:hint="eastAsia" w:ascii="宋体" w:hAnsi="宋体" w:cs="宋体"/>
                <w:bCs/>
                <w:sz w:val="20"/>
                <w:szCs w:val="20"/>
              </w:rPr>
              <w:t>直径43.4mm~44.4mm,质量2.20g~2.60g,弹跳220mm~250mm,圆度0.4mm,受冲击不小于700次无破裂</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30814303500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乒乓球拍</w:t>
            </w:r>
          </w:p>
        </w:tc>
        <w:tc>
          <w:tcPr>
            <w:tcW w:w="0" w:type="auto"/>
            <w:vAlign w:val="center"/>
          </w:tcPr>
          <w:p>
            <w:pPr>
              <w:rPr>
                <w:rFonts w:ascii="宋体" w:hAnsi="宋体" w:cs="宋体"/>
                <w:bCs/>
                <w:sz w:val="20"/>
                <w:szCs w:val="20"/>
              </w:rPr>
            </w:pPr>
            <w:r>
              <w:rPr>
                <w:rFonts w:hint="eastAsia" w:ascii="宋体" w:hAnsi="宋体" w:cs="宋体"/>
                <w:bCs/>
                <w:sz w:val="20"/>
                <w:szCs w:val="20"/>
              </w:rPr>
              <w:t>用来击球的拍面应用一层齿粒向外的胶粒片覆盖，连同粘合剂，厚度应不超过2mm,或者用齿粒向内或向外的海绵胶粒片覆盖，连同粘合剂，厚度应不超过4mm。底板与胶粒片或海绵胶粒片的粘接结合力应≥4N</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GB/T19851.8-2005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30814303620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乒乓球网架</w:t>
            </w:r>
          </w:p>
        </w:tc>
        <w:tc>
          <w:tcPr>
            <w:tcW w:w="0" w:type="auto"/>
            <w:vAlign w:val="center"/>
          </w:tcPr>
          <w:p>
            <w:pPr>
              <w:rPr>
                <w:rFonts w:ascii="宋体" w:hAnsi="宋体" w:cs="宋体"/>
                <w:bCs/>
                <w:sz w:val="20"/>
                <w:szCs w:val="20"/>
              </w:rPr>
            </w:pPr>
            <w:r>
              <w:rPr>
                <w:rFonts w:hint="eastAsia" w:ascii="宋体" w:hAnsi="宋体" w:cs="宋体"/>
                <w:bCs/>
                <w:sz w:val="20"/>
                <w:szCs w:val="20"/>
              </w:rPr>
              <w:t>网架长度152.5mm±2mm,网架高度152.5mm±2mm,可夹厚度≥30mm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GB/T23115-2008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乒乓球网</w:t>
            </w:r>
          </w:p>
        </w:tc>
        <w:tc>
          <w:tcPr>
            <w:tcW w:w="0" w:type="auto"/>
            <w:vAlign w:val="center"/>
          </w:tcPr>
          <w:p>
            <w:pPr>
              <w:rPr>
                <w:rFonts w:ascii="宋体" w:hAnsi="宋体" w:cs="宋体"/>
                <w:bCs/>
                <w:sz w:val="20"/>
                <w:szCs w:val="20"/>
              </w:rPr>
            </w:pPr>
            <w:r>
              <w:rPr>
                <w:rFonts w:hint="eastAsia" w:ascii="宋体" w:hAnsi="宋体" w:cs="宋体"/>
                <w:bCs/>
                <w:sz w:val="20"/>
                <w:szCs w:val="20"/>
              </w:rPr>
              <w:t>球网高度≥145mm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QB/T2701-2005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30814303820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乒乓球台</w:t>
            </w:r>
          </w:p>
        </w:tc>
        <w:tc>
          <w:tcPr>
            <w:tcW w:w="0" w:type="auto"/>
            <w:vAlign w:val="center"/>
          </w:tcPr>
          <w:p>
            <w:pPr>
              <w:rPr>
                <w:rFonts w:ascii="宋体" w:hAnsi="宋体" w:cs="宋体"/>
                <w:bCs/>
                <w:sz w:val="20"/>
                <w:szCs w:val="20"/>
              </w:rPr>
            </w:pPr>
            <w:r>
              <w:rPr>
                <w:rFonts w:hint="eastAsia" w:ascii="宋体" w:hAnsi="宋体" w:cs="宋体"/>
                <w:bCs/>
                <w:sz w:val="20"/>
                <w:szCs w:val="20"/>
              </w:rPr>
              <w:t>球台长度2740mm；宽度1525mm；高度680mm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GB/T19851.7-2005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张</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7</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w:t>
            </w:r>
          </w:p>
        </w:tc>
        <w:tc>
          <w:tcPr>
            <w:tcW w:w="0" w:type="auto"/>
            <w:vAlign w:val="center"/>
          </w:tcPr>
          <w:p>
            <w:pPr>
              <w:rPr>
                <w:rFonts w:ascii="宋体" w:hAnsi="宋体" w:cs="宋体"/>
                <w:bCs/>
                <w:sz w:val="20"/>
                <w:szCs w:val="20"/>
              </w:rPr>
            </w:pPr>
            <w:r>
              <w:rPr>
                <w:rFonts w:hint="eastAsia" w:ascii="宋体" w:hAnsi="宋体" w:cs="宋体"/>
                <w:bCs/>
                <w:sz w:val="20"/>
                <w:szCs w:val="20"/>
              </w:rPr>
              <w:t>球口外径65mm~68mm,球头直径25mm~27mm,球头高度24mm~26mm,毛片插长63mm~64mm,质量4.50g~5.80g,毛片数量16片</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GB/T11881-2006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79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30814304220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羽毛球拍</w:t>
            </w:r>
          </w:p>
        </w:tc>
        <w:tc>
          <w:tcPr>
            <w:tcW w:w="0" w:type="auto"/>
            <w:vAlign w:val="center"/>
          </w:tcPr>
          <w:p>
            <w:pPr>
              <w:rPr>
                <w:rFonts w:ascii="宋体" w:hAnsi="宋体" w:cs="宋体"/>
                <w:bCs/>
                <w:sz w:val="20"/>
                <w:szCs w:val="20"/>
              </w:rPr>
            </w:pPr>
            <w:r>
              <w:rPr>
                <w:rFonts w:hint="eastAsia" w:ascii="宋体" w:hAnsi="宋体" w:cs="宋体"/>
                <w:bCs/>
                <w:sz w:val="20"/>
                <w:szCs w:val="20"/>
              </w:rPr>
              <w:t>总长度≤630mm,宽度≤230mm,拍弦面长度≤280mm,质量≤100g,握柄直径23mm〜25mm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GB/T19851.9-2005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30814304320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羽毛球网柱</w:t>
            </w:r>
          </w:p>
        </w:tc>
        <w:tc>
          <w:tcPr>
            <w:tcW w:w="0" w:type="auto"/>
            <w:vAlign w:val="center"/>
          </w:tcPr>
          <w:p>
            <w:pPr>
              <w:rPr>
                <w:rFonts w:ascii="宋体" w:hAnsi="宋体" w:cs="宋体"/>
                <w:bCs/>
                <w:sz w:val="20"/>
                <w:szCs w:val="20"/>
              </w:rPr>
            </w:pPr>
            <w:r>
              <w:rPr>
                <w:rFonts w:hint="eastAsia" w:ascii="宋体" w:hAnsi="宋体" w:cs="宋体"/>
                <w:bCs/>
                <w:sz w:val="20"/>
                <w:szCs w:val="20"/>
              </w:rPr>
              <w:t>不锈钢支架，网柱高度为1550mm±8mm,拉网中央高度1524mm±5mm。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30814304410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羽毛球网</w:t>
            </w:r>
          </w:p>
        </w:tc>
        <w:tc>
          <w:tcPr>
            <w:tcW w:w="0" w:type="auto"/>
            <w:vAlign w:val="center"/>
          </w:tcPr>
          <w:p>
            <w:pPr>
              <w:rPr>
                <w:rFonts w:ascii="宋体" w:hAnsi="宋体" w:cs="宋体"/>
                <w:bCs/>
                <w:sz w:val="20"/>
                <w:szCs w:val="20"/>
              </w:rPr>
            </w:pPr>
            <w:r>
              <w:rPr>
                <w:rFonts w:hint="eastAsia" w:ascii="宋体" w:hAnsi="宋体" w:cs="宋体"/>
                <w:bCs/>
                <w:sz w:val="20"/>
                <w:szCs w:val="20"/>
              </w:rPr>
              <w:t>羽毛球网长度≥6100mm,宽度760mm土25mm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1#软性球，质量46.0g〜53.0g,直径62mm~68.58mm,弹性1100mm~1400mm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30814305940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w:t>
            </w:r>
          </w:p>
        </w:tc>
        <w:tc>
          <w:tcPr>
            <w:tcW w:w="0" w:type="auto"/>
            <w:vAlign w:val="center"/>
          </w:tcPr>
          <w:p>
            <w:pPr>
              <w:rPr>
                <w:rFonts w:ascii="宋体" w:hAnsi="宋体" w:cs="宋体"/>
                <w:bCs/>
                <w:sz w:val="20"/>
                <w:szCs w:val="20"/>
              </w:rPr>
            </w:pPr>
            <w:r>
              <w:rPr>
                <w:rFonts w:hint="eastAsia" w:ascii="宋体" w:hAnsi="宋体" w:cs="宋体"/>
                <w:bCs/>
                <w:sz w:val="20"/>
                <w:szCs w:val="20"/>
              </w:rPr>
              <w:t>慢速球，质量55.0g~60.4g,直径68.58mm~74mm,弹性1250mm~1500mm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GB/T22754-2008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30814306010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网球拍</w:t>
            </w:r>
          </w:p>
        </w:tc>
        <w:tc>
          <w:tcPr>
            <w:tcW w:w="0" w:type="auto"/>
            <w:vAlign w:val="center"/>
          </w:tcPr>
          <w:p>
            <w:pPr>
              <w:rPr>
                <w:rFonts w:ascii="宋体" w:hAnsi="宋体" w:cs="宋体"/>
                <w:bCs/>
                <w:sz w:val="20"/>
                <w:szCs w:val="20"/>
              </w:rPr>
            </w:pPr>
            <w:r>
              <w:rPr>
                <w:rFonts w:hint="eastAsia" w:ascii="宋体" w:hAnsi="宋体" w:cs="宋体"/>
                <w:bCs/>
                <w:sz w:val="20"/>
                <w:szCs w:val="20"/>
              </w:rPr>
              <w:t>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5</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球类运动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网球网柱</w:t>
            </w:r>
          </w:p>
        </w:tc>
        <w:tc>
          <w:tcPr>
            <w:tcW w:w="0" w:type="auto"/>
            <w:vAlign w:val="center"/>
          </w:tcPr>
          <w:p>
            <w:pPr>
              <w:rPr>
                <w:rFonts w:ascii="宋体" w:hAnsi="宋体" w:cs="宋体"/>
                <w:bCs/>
                <w:sz w:val="20"/>
                <w:szCs w:val="20"/>
              </w:rPr>
            </w:pPr>
            <w:r>
              <w:rPr>
                <w:rFonts w:hint="eastAsia" w:ascii="宋体" w:hAnsi="宋体" w:cs="宋体"/>
                <w:bCs/>
                <w:sz w:val="20"/>
                <w:szCs w:val="20"/>
              </w:rPr>
              <w:t>网柱高度：1070mm±5mm,拉网中央高度914mm±5mm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GB/T19851.13-2007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网球网</w:t>
            </w:r>
          </w:p>
        </w:tc>
        <w:tc>
          <w:tcPr>
            <w:tcW w:w="0" w:type="auto"/>
            <w:vAlign w:val="center"/>
          </w:tcPr>
          <w:p>
            <w:pPr>
              <w:rPr>
                <w:rFonts w:ascii="宋体" w:hAnsi="宋体" w:cs="宋体"/>
                <w:bCs/>
                <w:sz w:val="20"/>
                <w:szCs w:val="20"/>
              </w:rPr>
            </w:pPr>
            <w:r>
              <w:rPr>
                <w:rFonts w:hint="eastAsia" w:ascii="宋体" w:hAnsi="宋体" w:cs="宋体"/>
                <w:bCs/>
                <w:sz w:val="20"/>
                <w:szCs w:val="20"/>
              </w:rPr>
              <w:t>网球网长度12800mm±30mm,宽度1070mm±25mm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GB/T19851.14-2007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片</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7</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短式网球拍</w:t>
            </w:r>
          </w:p>
        </w:tc>
        <w:tc>
          <w:tcPr>
            <w:tcW w:w="0" w:type="auto"/>
            <w:vAlign w:val="center"/>
          </w:tcPr>
          <w:p>
            <w:pPr>
              <w:rPr>
                <w:rFonts w:ascii="宋体" w:hAnsi="宋体" w:cs="宋体"/>
                <w:bCs/>
                <w:sz w:val="20"/>
                <w:szCs w:val="20"/>
              </w:rPr>
            </w:pPr>
            <w:r>
              <w:rPr>
                <w:rFonts w:hint="eastAsia" w:ascii="宋体" w:hAnsi="宋体" w:cs="宋体"/>
                <w:bCs/>
                <w:sz w:val="20"/>
                <w:szCs w:val="20"/>
              </w:rPr>
              <w:t>中学：长度66cm〜70cm,质量285g〜315g,拍弦面长度32cm〜34cm,拍弦面宽度24cm〜26cm,拍弦面面积815cm2〜845cm2</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GB/T19851.10-2005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付</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w:t>
            </w:r>
          </w:p>
        </w:tc>
        <w:tc>
          <w:tcPr>
            <w:tcW w:w="0" w:type="auto"/>
            <w:vAlign w:val="center"/>
          </w:tcPr>
          <w:p>
            <w:pPr>
              <w:rPr>
                <w:rFonts w:ascii="宋体" w:hAnsi="宋体" w:cs="宋体"/>
                <w:bCs/>
                <w:sz w:val="20"/>
                <w:szCs w:val="20"/>
              </w:rPr>
            </w:pPr>
            <w:r>
              <w:rPr>
                <w:rFonts w:hint="eastAsia" w:ascii="宋体" w:hAnsi="宋体" w:cs="宋体"/>
                <w:bCs/>
                <w:sz w:val="20"/>
                <w:szCs w:val="20"/>
              </w:rPr>
              <w:t>外壳用皮革或橡胶制成,内装有球胆,表面应有珍珠（白）色。球的圆周长540mm〜560mm,质量300g〜325g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89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30814306810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珍珠球拍</w:t>
            </w:r>
          </w:p>
        </w:tc>
        <w:tc>
          <w:tcPr>
            <w:tcW w:w="0" w:type="auto"/>
            <w:vAlign w:val="center"/>
          </w:tcPr>
          <w:p>
            <w:pPr>
              <w:rPr>
                <w:rFonts w:ascii="宋体" w:hAnsi="宋体" w:cs="宋体"/>
                <w:bCs/>
                <w:sz w:val="20"/>
                <w:szCs w:val="20"/>
              </w:rPr>
            </w:pPr>
            <w:r>
              <w:rPr>
                <w:rFonts w:hint="eastAsia" w:ascii="宋体" w:hAnsi="宋体" w:cs="宋体"/>
                <w:bCs/>
                <w:sz w:val="20"/>
                <w:szCs w:val="20"/>
              </w:rPr>
              <w:t>球拍为蛤蚌壳形状,用具有韧性的树脂材料制成,颜色与蛤蚌壳颜色相仿。球拍部分长350mm,最宽部分250mm,厚度3mm〜5mm</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242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3872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30814306910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珍珠球抄网</w:t>
            </w:r>
          </w:p>
        </w:tc>
        <w:tc>
          <w:tcPr>
            <w:tcW w:w="0" w:type="auto"/>
            <w:vAlign w:val="center"/>
          </w:tcPr>
          <w:p>
            <w:pPr>
              <w:rPr>
                <w:rFonts w:ascii="宋体" w:hAnsi="宋体" w:cs="宋体"/>
                <w:bCs/>
                <w:sz w:val="20"/>
                <w:szCs w:val="20"/>
              </w:rPr>
            </w:pPr>
            <w:r>
              <w:rPr>
                <w:rFonts w:hint="eastAsia" w:ascii="宋体" w:hAnsi="宋体" w:cs="宋体"/>
                <w:bCs/>
                <w:sz w:val="20"/>
                <w:szCs w:val="20"/>
              </w:rPr>
              <w:t>兜口为圆形,网圈用圆形金属条制成。网兜用细绳或尼龙绳织成,网深300mm〜350mm,网眼为30mm〜35mm。网兜颜色应为深色。网柄为圆柱形,长150mm;抄网质量为180g〜250g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GB/T19851.21-2007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件</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1</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30814500210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剑</w:t>
            </w:r>
          </w:p>
        </w:tc>
        <w:tc>
          <w:tcPr>
            <w:tcW w:w="0" w:type="auto"/>
            <w:vAlign w:val="center"/>
          </w:tcPr>
          <w:p>
            <w:pPr>
              <w:rPr>
                <w:rFonts w:ascii="宋体" w:hAnsi="宋体" w:cs="宋体"/>
                <w:bCs/>
                <w:sz w:val="20"/>
                <w:szCs w:val="20"/>
              </w:rPr>
            </w:pPr>
            <w:r>
              <w:rPr>
                <w:rFonts w:hint="eastAsia" w:ascii="宋体" w:hAnsi="宋体" w:cs="宋体"/>
                <w:bCs/>
                <w:sz w:val="20"/>
                <w:szCs w:val="20"/>
              </w:rPr>
              <w:t>木或钢制品。剑总长900mm,箭柄长150mm</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把</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2</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短跳绳，绳长度2600mm〜2800mm,直径6mm~7mm,质量60g~80g,柄长度140mm~170mm,直径26mm~33mm,质量70g~90g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30814600120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短跳绳，绳长度2800mm〜3000mm,直径7mm~8mm,质量90g~120g,柄长度140mm~170mm,直径26mm~33mm,质量70g~90g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30814600130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长跳绳，绳长度4000mm〜6000mm,直径8~9mm,质量140g~235g；柄长度140mm~170mm,直径26mm~33mm,质量70g~90g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30814600140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长跳绳，绳长度7000mm〜8000mm,直径8~9mm,质量230g~300g,柄长度140mm~170mm,直径26mm~33mm,质量70g~90g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30814600150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跳绳</w:t>
            </w:r>
          </w:p>
        </w:tc>
        <w:tc>
          <w:tcPr>
            <w:tcW w:w="0" w:type="auto"/>
            <w:vAlign w:val="center"/>
          </w:tcPr>
          <w:p>
            <w:pPr>
              <w:rPr>
                <w:rFonts w:ascii="宋体" w:hAnsi="宋体" w:cs="宋体"/>
                <w:bCs/>
                <w:sz w:val="20"/>
                <w:szCs w:val="20"/>
              </w:rPr>
            </w:pPr>
            <w:r>
              <w:rPr>
                <w:rFonts w:hint="eastAsia" w:ascii="宋体" w:hAnsi="宋体" w:cs="宋体"/>
                <w:bCs/>
                <w:sz w:val="20"/>
                <w:szCs w:val="20"/>
              </w:rPr>
              <w:t>长跳绳，绳长度9000mm〜10000mm,直径8mm~9mm,质量290g~370g,柄长度140mm~170mm,直径26mm~33mm,质量70g~90g</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GB/T19851.20-2007</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7</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武术与民族民间传统体育类运动</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30814600900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软式飞盘</w:t>
            </w:r>
          </w:p>
        </w:tc>
        <w:tc>
          <w:tcPr>
            <w:tcW w:w="0" w:type="auto"/>
            <w:vAlign w:val="center"/>
          </w:tcPr>
          <w:p>
            <w:pPr>
              <w:rPr>
                <w:rFonts w:ascii="宋体" w:hAnsi="宋体" w:cs="宋体"/>
                <w:bCs/>
                <w:sz w:val="20"/>
                <w:szCs w:val="20"/>
              </w:rPr>
            </w:pPr>
            <w:r>
              <w:rPr>
                <w:rFonts w:hint="eastAsia" w:ascii="宋体" w:hAnsi="宋体" w:cs="宋体"/>
                <w:bCs/>
                <w:sz w:val="20"/>
                <w:szCs w:val="20"/>
              </w:rPr>
              <w:t>直径18cm，硅胶材质柔软易折叠，做工精细边缘润滑，无毛边不扎手，无论你如何折叠放手瞬间立马回复原状。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9</w:t>
            </w:r>
            <w:r>
              <w:rPr>
                <w:rFonts w:ascii="宋体" w:hAnsi="宋体" w:cs="宋体"/>
                <w:bCs/>
                <w:sz w:val="20"/>
                <w:szCs w:val="20"/>
              </w:rPr>
              <w:t>8</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30814600310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拔河绳</w:t>
            </w:r>
          </w:p>
        </w:tc>
        <w:tc>
          <w:tcPr>
            <w:tcW w:w="0" w:type="auto"/>
            <w:vAlign w:val="center"/>
          </w:tcPr>
          <w:p>
            <w:pPr>
              <w:rPr>
                <w:rFonts w:ascii="宋体" w:hAnsi="宋体" w:cs="宋体"/>
                <w:bCs/>
                <w:sz w:val="20"/>
                <w:szCs w:val="20"/>
              </w:rPr>
            </w:pPr>
            <w:r>
              <w:rPr>
                <w:rFonts w:hint="eastAsia" w:ascii="宋体" w:hAnsi="宋体" w:cs="宋体"/>
                <w:bCs/>
                <w:sz w:val="20"/>
                <w:szCs w:val="20"/>
              </w:rPr>
              <w:t>30m,质量10kg左右，采用天然麻棕线绞制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根</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ascii="宋体" w:hAnsi="宋体" w:cs="宋体"/>
                <w:bCs/>
                <w:sz w:val="20"/>
                <w:szCs w:val="20"/>
              </w:rPr>
              <w:t>99</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30814602710</w:t>
            </w:r>
          </w:p>
        </w:tc>
        <w:tc>
          <w:tcPr>
            <w:tcW w:w="0" w:type="auto"/>
            <w:vAlign w:val="center"/>
          </w:tcPr>
          <w:p>
            <w:pPr>
              <w:jc w:val="center"/>
              <w:rPr>
                <w:rFonts w:ascii="宋体" w:hAnsi="宋体" w:cs="宋体"/>
                <w:bCs/>
                <w:sz w:val="20"/>
                <w:szCs w:val="20"/>
              </w:rPr>
            </w:pPr>
            <w:r>
              <w:rPr>
                <w:rFonts w:hint="eastAsia" w:ascii="宋体" w:hAnsi="宋体" w:cs="宋体"/>
                <w:bCs/>
                <w:sz w:val="20"/>
                <w:szCs w:val="20"/>
              </w:rPr>
              <w:t>射弩</w:t>
            </w:r>
          </w:p>
        </w:tc>
        <w:tc>
          <w:tcPr>
            <w:tcW w:w="0" w:type="auto"/>
            <w:vAlign w:val="center"/>
          </w:tcPr>
          <w:p>
            <w:pPr>
              <w:rPr>
                <w:rFonts w:ascii="宋体" w:hAnsi="宋体" w:cs="宋体"/>
                <w:bCs/>
                <w:sz w:val="20"/>
                <w:szCs w:val="20"/>
              </w:rPr>
            </w:pPr>
            <w:r>
              <w:rPr>
                <w:rFonts w:hint="eastAsia" w:ascii="宋体" w:hAnsi="宋体" w:cs="宋体"/>
                <w:bCs/>
                <w:sz w:val="20"/>
                <w:szCs w:val="20"/>
              </w:rPr>
              <w:t>包括弩、箭、靶</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0</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铁环</w:t>
            </w:r>
          </w:p>
        </w:tc>
        <w:tc>
          <w:tcPr>
            <w:tcW w:w="0" w:type="auto"/>
            <w:vAlign w:val="center"/>
          </w:tcPr>
          <w:p>
            <w:pPr>
              <w:rPr>
                <w:rFonts w:ascii="宋体" w:hAnsi="宋体" w:cs="宋体"/>
                <w:bCs/>
                <w:sz w:val="20"/>
                <w:szCs w:val="20"/>
              </w:rPr>
            </w:pPr>
            <w:r>
              <w:rPr>
                <w:rFonts w:hint="eastAsia" w:ascii="宋体" w:hAnsi="宋体" w:cs="宋体"/>
                <w:bCs/>
                <w:sz w:val="20"/>
                <w:szCs w:val="20"/>
              </w:rPr>
              <w:t>铁环直径约50cm,附特制的铁钩。用铁钩推着,铁环可向前滚动</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1</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高跷</w:t>
            </w:r>
          </w:p>
        </w:tc>
        <w:tc>
          <w:tcPr>
            <w:tcW w:w="0" w:type="auto"/>
            <w:vAlign w:val="center"/>
          </w:tcPr>
          <w:p>
            <w:pPr>
              <w:rPr>
                <w:rFonts w:ascii="宋体" w:hAnsi="宋体" w:cs="宋体"/>
                <w:bCs/>
                <w:sz w:val="20"/>
                <w:szCs w:val="20"/>
              </w:rPr>
            </w:pPr>
            <w:r>
              <w:rPr>
                <w:rFonts w:hint="eastAsia" w:ascii="宋体" w:hAnsi="宋体" w:cs="宋体"/>
                <w:bCs/>
                <w:sz w:val="20"/>
                <w:szCs w:val="20"/>
              </w:rPr>
              <w:t>适用于踩高跷项目</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副</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2</w:t>
            </w:r>
          </w:p>
        </w:tc>
        <w:tc>
          <w:tcPr>
            <w:tcW w:w="0" w:type="auto"/>
            <w:vMerge w:val="restart"/>
            <w:vAlign w:val="center"/>
          </w:tcPr>
          <w:p>
            <w:pPr>
              <w:jc w:val="center"/>
              <w:rPr>
                <w:rFonts w:ascii="宋体" w:hAnsi="宋体" w:cs="宋体"/>
                <w:bCs/>
                <w:sz w:val="20"/>
                <w:szCs w:val="20"/>
              </w:rPr>
            </w:pPr>
            <w:r>
              <w:rPr>
                <w:rFonts w:hint="eastAsia" w:ascii="宋体" w:hAnsi="宋体" w:cs="宋体"/>
                <w:bCs/>
                <w:sz w:val="20"/>
                <w:szCs w:val="20"/>
              </w:rPr>
              <w:t>通用</w:t>
            </w: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划线器</w:t>
            </w:r>
          </w:p>
        </w:tc>
        <w:tc>
          <w:tcPr>
            <w:tcW w:w="0" w:type="auto"/>
            <w:vAlign w:val="center"/>
          </w:tcPr>
          <w:p>
            <w:pPr>
              <w:rPr>
                <w:rFonts w:ascii="宋体" w:hAnsi="宋体" w:cs="宋体"/>
                <w:bCs/>
                <w:sz w:val="20"/>
                <w:szCs w:val="20"/>
              </w:rPr>
            </w:pPr>
            <w:r>
              <w:rPr>
                <w:rFonts w:hint="eastAsia" w:ascii="宋体" w:hAnsi="宋体" w:cs="宋体"/>
                <w:bCs/>
                <w:sz w:val="20"/>
                <w:szCs w:val="20"/>
              </w:rPr>
              <w:t>干粉划线器，总高730mm长500mm宽300mm</w:t>
            </w:r>
            <w:r>
              <w:rPr>
                <w:rFonts w:hint="eastAsia" w:ascii="宋体" w:hAnsi="宋体" w:cs="宋体"/>
                <w:bCs/>
                <w:sz w:val="20"/>
                <w:szCs w:val="20"/>
              </w:rPr>
              <w:br w:type="textWrapping"/>
            </w:r>
            <w:r>
              <w:rPr>
                <w:rFonts w:hint="eastAsia" w:ascii="宋体" w:hAnsi="宋体" w:cs="宋体"/>
                <w:bCs/>
                <w:sz w:val="20"/>
                <w:szCs w:val="20"/>
              </w:rPr>
              <w:t>轮子φ100mm，扶手铁管φ25mm线宽45mm</w:t>
            </w:r>
            <w:r>
              <w:rPr>
                <w:rFonts w:hint="eastAsia" w:ascii="宋体" w:hAnsi="宋体" w:cs="宋体"/>
                <w:bCs/>
                <w:sz w:val="20"/>
                <w:szCs w:val="20"/>
              </w:rPr>
              <w:br w:type="textWrapping"/>
            </w:r>
            <w:r>
              <w:rPr>
                <w:rFonts w:hint="eastAsia" w:ascii="宋体" w:hAnsi="宋体" w:cs="宋体"/>
                <w:bCs/>
                <w:sz w:val="20"/>
                <w:szCs w:val="20"/>
              </w:rPr>
              <w:t>可装粉15升</w:t>
            </w:r>
            <w:r>
              <w:rPr>
                <w:rFonts w:hint="eastAsia" w:ascii="宋体" w:hAnsi="宋体" w:cs="宋体"/>
                <w:bCs/>
                <w:sz w:val="20"/>
                <w:szCs w:val="20"/>
              </w:rPr>
              <w:br w:type="textWrapping"/>
            </w:r>
            <w:r>
              <w:rPr>
                <w:rFonts w:hint="eastAsia" w:ascii="宋体" w:hAnsi="宋体" w:cs="宋体"/>
                <w:bCs/>
                <w:sz w:val="20"/>
                <w:szCs w:val="20"/>
              </w:rPr>
              <w:t>三轮车斗式，带手推把柄，推手处圆管直径22mm</w:t>
            </w:r>
            <w:r>
              <w:rPr>
                <w:rFonts w:hint="eastAsia" w:ascii="宋体" w:hAnsi="宋体" w:cs="宋体"/>
                <w:bCs/>
                <w:sz w:val="20"/>
                <w:szCs w:val="20"/>
              </w:rPr>
              <w:br w:type="textWrapping"/>
            </w:r>
            <w:r>
              <w:rPr>
                <w:rFonts w:hint="eastAsia" w:ascii="宋体" w:hAnsi="宋体" w:cs="宋体"/>
                <w:bCs/>
                <w:sz w:val="20"/>
                <w:szCs w:val="20"/>
              </w:rPr>
              <w:t>带轮，可移动，滑轮设置合理，推动灵活，放置平稳，漏石灰均匀。</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198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3</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标志碟</w:t>
            </w:r>
          </w:p>
        </w:tc>
        <w:tc>
          <w:tcPr>
            <w:tcW w:w="0" w:type="auto"/>
            <w:vAlign w:val="center"/>
          </w:tcPr>
          <w:p>
            <w:pPr>
              <w:rPr>
                <w:rFonts w:ascii="宋体" w:hAnsi="宋体" w:cs="宋体"/>
                <w:bCs/>
                <w:sz w:val="20"/>
                <w:szCs w:val="20"/>
              </w:rPr>
            </w:pPr>
            <w:r>
              <w:rPr>
                <w:rFonts w:hint="eastAsia" w:ascii="宋体" w:hAnsi="宋体" w:cs="宋体"/>
                <w:bCs/>
                <w:sz w:val="20"/>
                <w:szCs w:val="20"/>
              </w:rPr>
              <w:t>直径不小于250mm,4种颜色</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套</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66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4</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手动记分牌</w:t>
            </w:r>
          </w:p>
        </w:tc>
        <w:tc>
          <w:tcPr>
            <w:tcW w:w="0" w:type="auto"/>
            <w:vAlign w:val="center"/>
          </w:tcPr>
          <w:p>
            <w:pPr>
              <w:rPr>
                <w:rFonts w:ascii="宋体" w:hAnsi="宋体" w:cs="宋体"/>
                <w:bCs/>
                <w:sz w:val="20"/>
                <w:szCs w:val="20"/>
              </w:rPr>
            </w:pPr>
            <w:r>
              <w:rPr>
                <w:rFonts w:hint="eastAsia" w:ascii="宋体" w:hAnsi="宋体" w:cs="宋体"/>
                <w:bCs/>
                <w:sz w:val="20"/>
                <w:szCs w:val="20"/>
              </w:rPr>
              <w:t>手动翻分，局分0〜5,比分0〜999</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8</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36</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5</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电子记分牌</w:t>
            </w:r>
          </w:p>
        </w:tc>
        <w:tc>
          <w:tcPr>
            <w:tcW w:w="0" w:type="auto"/>
            <w:vAlign w:val="center"/>
          </w:tcPr>
          <w:p>
            <w:pPr>
              <w:rPr>
                <w:rFonts w:ascii="宋体" w:hAnsi="宋体" w:cs="宋体"/>
                <w:bCs/>
                <w:sz w:val="20"/>
                <w:szCs w:val="20"/>
              </w:rPr>
            </w:pPr>
            <w:r>
              <w:rPr>
                <w:rFonts w:hint="eastAsia" w:ascii="宋体" w:hAnsi="宋体" w:cs="宋体"/>
                <w:bCs/>
                <w:sz w:val="20"/>
                <w:szCs w:val="20"/>
              </w:rPr>
              <w:t>电子式,可显示队名、大比分、局比分、犯规、球权</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台</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5000</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0" w:type="auto"/>
            <w:noWrap/>
            <w:vAlign w:val="center"/>
          </w:tcPr>
          <w:p>
            <w:pPr>
              <w:jc w:val="center"/>
              <w:rPr>
                <w:rFonts w:ascii="宋体" w:hAnsi="宋体" w:cs="宋体"/>
                <w:bCs/>
                <w:sz w:val="20"/>
                <w:szCs w:val="20"/>
              </w:rPr>
            </w:pPr>
            <w:r>
              <w:rPr>
                <w:rFonts w:hint="eastAsia" w:ascii="宋体" w:hAnsi="宋体" w:cs="宋体"/>
                <w:bCs/>
                <w:sz w:val="20"/>
                <w:szCs w:val="20"/>
              </w:rPr>
              <w:t>10</w:t>
            </w:r>
            <w:r>
              <w:rPr>
                <w:rFonts w:ascii="宋体" w:hAnsi="宋体" w:cs="宋体"/>
                <w:bCs/>
                <w:sz w:val="20"/>
                <w:szCs w:val="20"/>
              </w:rPr>
              <w:t>6</w:t>
            </w:r>
          </w:p>
        </w:tc>
        <w:tc>
          <w:tcPr>
            <w:tcW w:w="0" w:type="auto"/>
            <w:vMerge w:val="continue"/>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p>
        </w:tc>
        <w:tc>
          <w:tcPr>
            <w:tcW w:w="0" w:type="auto"/>
            <w:vAlign w:val="center"/>
          </w:tcPr>
          <w:p>
            <w:pPr>
              <w:jc w:val="center"/>
              <w:rPr>
                <w:rFonts w:ascii="宋体" w:hAnsi="宋体" w:cs="宋体"/>
                <w:bCs/>
                <w:sz w:val="20"/>
                <w:szCs w:val="20"/>
              </w:rPr>
            </w:pPr>
            <w:r>
              <w:rPr>
                <w:rFonts w:hint="eastAsia" w:ascii="宋体" w:hAnsi="宋体" w:cs="宋体"/>
                <w:bCs/>
                <w:sz w:val="20"/>
                <w:szCs w:val="20"/>
              </w:rPr>
              <w:t>口哨</w:t>
            </w:r>
          </w:p>
        </w:tc>
        <w:tc>
          <w:tcPr>
            <w:tcW w:w="0" w:type="auto"/>
            <w:vAlign w:val="center"/>
          </w:tcPr>
          <w:p>
            <w:pPr>
              <w:rPr>
                <w:rFonts w:ascii="宋体" w:hAnsi="宋体" w:cs="宋体"/>
                <w:bCs/>
                <w:sz w:val="20"/>
                <w:szCs w:val="20"/>
              </w:rPr>
            </w:pPr>
            <w:r>
              <w:rPr>
                <w:rFonts w:hint="eastAsia" w:ascii="宋体" w:hAnsi="宋体" w:cs="宋体"/>
                <w:bCs/>
                <w:sz w:val="20"/>
                <w:szCs w:val="20"/>
              </w:rPr>
              <w:t>不锈钢、无核,带挂绳</w:t>
            </w:r>
          </w:p>
        </w:tc>
        <w:tc>
          <w:tcPr>
            <w:tcW w:w="0" w:type="auto"/>
            <w:vAlign w:val="center"/>
          </w:tcPr>
          <w:p>
            <w:pPr>
              <w:jc w:val="center"/>
              <w:rPr>
                <w:rFonts w:ascii="宋体" w:hAnsi="宋体" w:cs="宋体"/>
                <w:bCs/>
                <w:sz w:val="20"/>
                <w:szCs w:val="20"/>
              </w:rPr>
            </w:pP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个</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12</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w:t>
            </w:r>
          </w:p>
        </w:tc>
        <w:tc>
          <w:tcPr>
            <w:tcW w:w="0" w:type="auto"/>
            <w:noWrap/>
            <w:vAlign w:val="center"/>
          </w:tcPr>
          <w:p>
            <w:pPr>
              <w:jc w:val="center"/>
              <w:rPr>
                <w:rFonts w:ascii="宋体" w:hAnsi="宋体" w:cs="宋体"/>
                <w:bCs/>
                <w:sz w:val="20"/>
                <w:szCs w:val="20"/>
              </w:rPr>
            </w:pPr>
            <w:r>
              <w:rPr>
                <w:rFonts w:hint="eastAsia" w:ascii="宋体" w:hAnsi="宋体" w:cs="宋体"/>
                <w:bCs/>
                <w:sz w:val="20"/>
                <w:szCs w:val="20"/>
              </w:rPr>
              <w:t>48</w:t>
            </w:r>
          </w:p>
        </w:tc>
      </w:tr>
    </w:tbl>
    <w:p>
      <w:pPr>
        <w:rPr>
          <w:b/>
          <w:bCs/>
          <w:sz w:val="28"/>
          <w:szCs w:val="28"/>
        </w:rPr>
      </w:pPr>
      <w:r>
        <w:rPr>
          <w:rFonts w:hint="eastAsia"/>
          <w:b/>
          <w:bCs/>
          <w:sz w:val="28"/>
          <w:szCs w:val="28"/>
        </w:rPr>
        <w:t>三、食堂设备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193"/>
        <w:gridCol w:w="3903"/>
        <w:gridCol w:w="578"/>
        <w:gridCol w:w="1002"/>
        <w:gridCol w:w="12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序号</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名  称</w:t>
            </w:r>
          </w:p>
        </w:tc>
        <w:tc>
          <w:tcPr>
            <w:tcW w:w="195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技术参数及规格</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一、一层设备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（一）更衣间、检验间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更衣柜(九门)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规格：1000*350*1800㎜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1.柜身用采用1.0mm优质雪花不锈钢板                                     2.柜内层板用0.8mm优质雪花不锈钢板                                                                               3.支架柱横梁用38×25mm不锈钢方管                                        4.支架管用25×13mm不锈钢方管，Ф38mm不锈钢可调脚。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规格：700*750*950㎜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内尺寸：500*500*280mm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多通道农药残留检测仪</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1.规格参数显示屏： 5寸彩色触摸屏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吸光度范围：0~3.5(OD)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灵敏度： 0.001(OD)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单孔重复性：≤±0.002(OD)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通道差异： ≤±0.04(OD)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环境温度： 10℃~30℃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相对湿度：  ≤70%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外接电源：  DC12V /2A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额定功率：  5W1、主控芯片：采用32位ARM处理器，运转速度更快，稳定性强。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2、显示方式：5英寸触摸屏，人性化操作界面，操作直观、简单。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3、打印功能：高速热敏打印机，检测完成可自动打印检测报告。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4、分析光源：采用进口单波长冷光源，具有功耗低、精度高、稳定性强、响应速度快等优点。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5、移动存储：可外接U盘保存检测结果，方便数据管理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6、便携电源：直流12V供电，安全便捷，可直接和车载电源连接。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7、检测速度：三分钟出结果，并可根据实际情况调整检测时间。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8、汉字录入：内置拼音输入法，可编辑相关中英文信息。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9、菜名管理：内置常见蔬菜水果数据库，可继续添加和删除。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10、可配通道：各通道独立工作，不用的可关闭，每个通道可选择不同种类蔬菜名称。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11、用户登录：可设置用户名密码、防止非工作人员操作仪器。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12、打印格式：打印格式可调整，多种可选打印项。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13、试剂活性：检测结果可显示酶活性强度，帮助判定有效性。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14、检测标准：支持国家标准和行业标准，并可扩展第三方标准。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15、结果管理：检测结果可单条删除，可批量打印。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▲要求：12通道检测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（二）主食库、副食库</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米架，面架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规格：1800*900*200㎜                                                       1.采用50*50方通厚2.0制作成骨架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2.采用3㎜厚钢板制作成垫板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3.面板采用1.0mm优质雪花不锈钢板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平板车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规格：600*800㎜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换气装置等杂项及辅材、安装。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（三）蔬菜加工区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瓜果切片切丝机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功率(KW):≥1.1kw/220V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产量:切丝、切片200-300千克/小时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整机重量(kg):400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外形尺寸(CM):630*330*600mm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薯仔脱皮机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规格：590*530*1030mm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1.生产能力：30千克/次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4.净重：87kg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中水槽切配台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规格：1800*1500*800㎜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6.台面中部设有沥水槽。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（四）肉类加工、水产加工间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双切肉机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规格:426×360×795mm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1.额定功率:220V/1.5KW                                                    2.切肉能力: ≥150KG/H                                            3.切片厚度：3.5㎜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4.净重：65kg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5.一切成片，2切成丝，多切成末</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绞肉机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规格:800×500×718mm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1.额定功率:380V/2.2KW                                                    2.生产能力：≥1000KG/H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4.净重：89kg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靠背双层沥水台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6.台面设有前置沥水槽，打造无水厨房。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7.配不锈钢隔渣槽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双星工作台(中平台)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四门双机双温冷柜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（标准型铜管）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2.箱内温度:+5℃～-18℃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3.磨砂不锈钢外壳、钢内胆，名牌无氟压缩机、蒸发器精铜管制作、双显示器、双冷凝器、双电机风扇、不锈钢直线型拉手</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砧板刀具消毒柜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规格：1200*700*1500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材料：整体采用优质正材不锈钢制作； 电压/功率：220V/2KW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（五）烹饪区、煲汤区、蒸饭区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双通打荷台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规格:1800*800*800㎜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1.台面采用优质雪花不锈钢板厚1.2mm加15mm木板夹层                                              2.侧板用1.0mm不锈钢板                                                                              3.柜内层板用0.8mm优质不锈钢板                                                                        4.趟门用1.0mm不锈钢板                                                                              5.支架柱横梁用1.0mm不锈钢板折弯；                                       6.支架管用25×13mm不锈钢方管，Ф51mm不锈钢可调脚。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密闭送餐车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炉拼台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规格：400*1100*1200㎜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电磁单头大炒炉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规格：1100*1200*800+350㎜，Φ900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1、功率/电压：25kw/380v，采用3mm厚专用锅，炉面使用1.25mm厚#201材质油膜不锈钢板材，焊接处采用满焊工艺，炉面一体拉伸成型；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电磁单头单尾小炒炉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规格：1000*1100*800+350㎜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电磁双头平头炉</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（含煲汤桶）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规格：1400*750*500+700㎜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1、功率/电压：15kw*2/380v，采用3mm厚专用锅，炉面使用1.25mm厚#201材质油膜不锈钢板材，焊接处采用满焊工艺，炉面一体拉伸成型；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2、使用磁感8档位周旋火力调节开关，档位对应精确功率调节；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3、全密封模块化机芯，分层负压散热设计，杜绝漏电、散热好，有效防虫、防水、防油污侵蚀，机芯更耐用；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4、配置耐高温、防漏电高压电源，运行平稳；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5、背面使用变频防水风机，节能、清洗炉灶安全；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6、配置耐高压、耐腐蚀、耐高温线盘，聚能设计，均匀加热，节能明显；</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7、采用 200*130mm 大屏设计，功能信息清楚明了；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8、屏显锅具加热弧度同步功能、屏显锅具温度同步功能、屏显瞬间火力大小模拟同步功能、屏显电量累计功能，全屏显示，厨师轻松掌握火力大小、用电量。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双瓶组灭火系统及控制箱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1、灭火装置具备自动和手动两种操作模式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2、灭火装置需与消防水（或者自来水）管路相连，系统启动后，自控水阀等灭火剂喷洒完全后，再自动喷水；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3、系统装置包括：控制箱（机械式）、管路、喷嘴、探测器、易熔连接片、金属拉索、滑轮三通、滑轮弯头等组成。其中控制箱由自动释放机构、驱动用高压氮气瓶、水流控制 阀、液体药剂罐以及连接软管、单向阀、减压阀等构成；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4、灭火药剂需无毒，无污染，无腐蚀性，并应有灭火剂试验报告和毒性试验报告，灭火剂有效期为8年。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5、厨房设备灭火装置具有中国消防产品认证证书。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6、灭火装置箱体内应配有水流控制阀，灭火装置启动方式和水流控制阀启动方式，要求为纯机械式启动，（不能使用电磁阀，避免因电路故障造成装置无法运转的可能性）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7、连接喷嘴的安装管路全部使用SUS304不锈钢管，全部使用螺纹套丝连接。不得使用卡压的连接方式（避免因长时间高温高热的工作环境产生管路变形、泄漏等情况产生）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8、连接喷嘴的安装管路SUS304的不锈钢管，3分管壁304#厚度等于或优于1.2mm；4分管壁304#厚度等于或优于2.0mm。不锈钢弯头、直接为SUS304材质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9、安装规范：下喷嘴安装高度1100-1200mm、对灶台危险区域实现无死角的全覆盖保护。每个烟道口都需布置上喷喷嘴。烟罩内布置水平安装的侧喷喷嘴。　　　　　　　　　　　　　　　　　　　　　　　　　　　　　　10、厨房设备灭火装置产品买有产品责任险，保险额度最高５００万元人民币。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豪华无指纹节能型蒸饭柜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规格：1430*640*1550mm   平门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1.功率：24KW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3.采用整体发泡保温、节能、高效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4.新型多气囊，嵌入式硅胶门封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5.采用全不锈钢发热管装置，不生锈，高效发热，有效防干烧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6.自动进水，缺水断电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7.选用无指纹板材，全不锈钢机体，耐腐蚀清洁方便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洗米机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50公斤/次  水压式   高压喷咀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使用水压：1.5kg/cm3；进水量：25-35L/min；</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双层沥水台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规格：1800*800*950㎜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2.支架、通脚用Φ51x1.0mm不锈钢管；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3.可调子弹脚用Φ51mm不锈钢子弹脚；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6.台面设有前置沥水口，打造无水厨房。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大单星洗物盆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规格：1000*750*950㎜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留样柜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规格：1200*700*1900㎜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 源:～220V/50Hz                                     2.箱内温度:+2℃～10℃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3.不锈钢外壳、钢内胆，名牌无氟压缩机、双电子显示器、双冷凝器、双电机风扇、不锈钢直线型拉手、不锈钢贴膜内胆、中空玻璃拉门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4.带温度显示，带锁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板式货架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3、柱脚采用Φ38不锈钢管及可调高低不锈钢子弹脚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规格：900*700*800㎜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（七）消毒保洁间（洗碗间+餐具消毒存放间）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沥水收残台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托水盆货架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规格：1500*500*1500㎜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1、层架整体采用框架嵌入式结构；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2、主框架采用38*25管厚H=1.2mm 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3、层架间隔条采用25x13mm优质不锈钢方管；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4、柱脚采用Φ38不锈钢管及可调高低不锈钢子弹脚。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5、配不锈钢托水盆用1.2mm优质雪花不锈钢板制作 。打造无水厨房。</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三层餐车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规格：1000*600*950㎜                                            1.采用优质雪花不锈钢板厚1.2mm制作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2.配万向刹车轮，U型弯管手把；</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规格：1200*500*1800㎜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（八）餐厅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（九）排油烟系-烹饪区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规格：L*1200*600㎜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（九）排油烟系-蒸饭区</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（九）排油烟系-洗碗间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不锈钢烟罩吊杆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规格：110*60*L(mm)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板勾采用1.2mm优质雪花不锈钢板制作,吊杆为Φ25×1.2mm优质不锈钢管。顶装饰圆形盖封。</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（十）油烟管道类</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主烟管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规格：L*900*900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 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规格：现场制作采用0.8mm镀锌板制作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排油烟防火阀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规格：900*900 mm采用1.0mm镀锌板制作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280度排烟防火阀。具有排烟阀的功能外还具有当排烟温度超过280℃时熔断，使阀门关闭，排烟机同时停机。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超静音柜式离心风柜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功率：15KW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规格：1630*1270*1280㎜                                          1.全压:798-844pa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2.静压:560-675pa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3.风量：38000-45000m3/h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4.转速：650pa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5.出口风速:16.8-19.9M/S</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低空油烟净化器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1.、规格：980*2025*1360mm，功率：800W/220v，风量：30000m3/小时；</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2、外壳采用不锈钢材质，不锈钢原色机身，清洁美观，结构合理，使用寿命长；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▲3、电极采用1.5mm高密度铝合金制作，电场复合式设计,解决出风带静电问题，使用更安全；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4、配置LED多功能彩屏，电压、电流、清洗、运行状态信息一目了然；        </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▲5、产品配置多功能控制器（带智能控制系统），具有：定时、学习、运行、停止、有实时电压显示功能、除油功能，屏幕提示功能；                                             ▲6、配置专用耐高温、防漏电高压电源，运行平稳；                                                                                                 7、产品专用高低压电源符合GB/T 2423.2-2008、GB/T 2423.5-2019、GB/T 2423.10-2019、GB 4706.1-2005、GB/T 4208-2017、GB/T 4343.2-2009标准，供货时提供高低压电源通过国家认可的检测机构出具的：高温试验、接地电阻、IP6X防护等级、IPX8防护等级合格检测报告；                                                                                                            8、产品多功能控制器（带智能控制系统）符合GB4706.1-2005 、多功能控制器（带智能控制系统）产品技术要求及试验方法，供货时提供产品多功能控制器（带智能控制系统）通过国家认可的检测机构出具的：功能要求（定时、学习、运行、停止、有实时电压显示功能、除油功能，屏幕提示功能等以上功能）、电气安全要求、外壳防护IP66等级 合格检测报告；                                                                                                        9、供货时提供产品参数确认书复印件。    </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静电器架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避震胶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1"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风柜保护器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1、箱体采用1.2mm厚304不锈钢专用板材，采用烤漆绝缘处理；</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2、采用防水、高亮度运行指示灯；                                                     ▲3、面板配置智能开关（控制）模块，多按键控制，功率自由调节、时间自由设定、运行模式自由选择；</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4、内置耐湿热、防振动、防碰撞控制板，信号稳定，运行平稳；                                                                         5、产品智能开关（控制）模块符合：GB/T 4208-2017检测标准， 供货时提供智能开关（控制）模块）通过国家认可的检测机构出具的：IP6X(试具不能触及危险带电部件）、IPX8（外壳防水）合格检测报告复印件；                                                                                               6、产品用304#1.2mm材质符合GB/T 228.1-2021《金属材料 拉伸试验 第一部分：室温拉伸试验方法》、GB/T 26572-2011《电子电气产品中限用物质的限量要求》标</w:t>
            </w:r>
            <w:r>
              <w:rPr>
                <w:rFonts w:hint="eastAsia" w:asciiTheme="minorEastAsia" w:hAnsiTheme="minorEastAsia" w:eastAsiaTheme="minorEastAsia"/>
                <w:bCs/>
                <w:color w:val="auto"/>
                <w:sz w:val="22"/>
                <w:szCs w:val="22"/>
              </w:rPr>
              <w:t>准</w:t>
            </w:r>
            <w:r>
              <w:rPr>
                <w:rFonts w:hint="eastAsia" w:asciiTheme="minorEastAsia" w:hAnsiTheme="minorEastAsia"/>
                <w:bCs/>
                <w:color w:val="auto"/>
                <w:sz w:val="22"/>
                <w:szCs w:val="22"/>
                <w:lang w:eastAsia="zh-CN"/>
              </w:rPr>
              <w:t>，</w:t>
            </w:r>
            <w:r>
              <w:rPr>
                <w:rFonts w:hint="eastAsia" w:asciiTheme="minorEastAsia" w:hAnsiTheme="minorEastAsia"/>
                <w:bCs/>
                <w:color w:val="auto"/>
                <w:sz w:val="22"/>
                <w:szCs w:val="22"/>
                <w:lang w:val="en-US" w:eastAsia="zh-CN"/>
              </w:rPr>
              <w:t>供货时</w:t>
            </w:r>
            <w:r>
              <w:rPr>
                <w:rFonts w:hint="eastAsia" w:asciiTheme="minorEastAsia" w:hAnsiTheme="minorEastAsia"/>
                <w:bCs/>
                <w:color w:val="auto"/>
                <w:sz w:val="22"/>
                <w:szCs w:val="22"/>
                <w:lang w:eastAsia="zh-CN"/>
              </w:rPr>
              <w:t>提供产品通过</w:t>
            </w:r>
            <w:r>
              <w:rPr>
                <w:rFonts w:hint="eastAsia" w:asciiTheme="minorEastAsia" w:hAnsiTheme="minorEastAsia"/>
                <w:bCs/>
                <w:color w:val="auto"/>
                <w:sz w:val="22"/>
                <w:szCs w:val="22"/>
                <w:lang w:val="en-US" w:eastAsia="zh-CN"/>
              </w:rPr>
              <w:t>国家认可的</w:t>
            </w:r>
            <w:r>
              <w:rPr>
                <w:rFonts w:hint="eastAsia" w:asciiTheme="minorEastAsia" w:hAnsiTheme="minorEastAsia"/>
                <w:bCs/>
                <w:color w:val="auto"/>
                <w:sz w:val="22"/>
                <w:szCs w:val="22"/>
                <w:lang w:eastAsia="zh-CN"/>
              </w:rPr>
              <w:t>检测机构出具的：焊接处抗拉强度680N/mm²以上、银色金属检出限量合格检测报告；</w:t>
            </w:r>
          </w:p>
          <w:p>
            <w:p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7、产品控制板符合GB/T 2423.10-2019、GB/T 2423.5-2019标准，供货时提供产品控制板通过国家认可的检测机构出具的：耐湿热、振动试验、碰撞试验合格检测报告。</w:t>
            </w:r>
          </w:p>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8、供货时提供产品参数确认书复印件。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规格：现场定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性能参数：40×40×3.5㎜角钢等。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（十一）糕点间（烫粉间）排油烟系统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不锈钢油网烟罩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规格：L*1000*500㎜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采用1.0mm优质雪花不锈钢板制作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不锈钢隔油网</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采用1.0mm优质不锈钢板制作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不锈钢墙幕</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规格：L*1000*20㎜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采用1.2mm优质雪花不锈钢板制作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集烟管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轴流风机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1100W/380V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  天方地园</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出风百叶窗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规格：500*500mm 性能参数 1.采用1.0mm优质不锈钢钢板加工成型。上下送风方式。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风机架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磁力启动风机保护开关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（十二）送新风系统</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蒸发式冷风机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规格：1100*1100*950㎜                                                      1.功率1.5KW /380V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2.风量：22000m3/h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3.风压：180Pa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4.耗水量：20/H。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5.出风口：670*670mm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变头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规格：500*500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规格：L*800*800 mm采用0.8mm镀锌板制作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鲜风管</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规格：L*500*500mm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采用0.8mm镀锌板制作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米</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送鲜风嘴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规格：φ200  性能参数 1.采用1.0mm优质不锈钢钢板加工成型。万向送风方式。</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法兰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鲜风柜机架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采用角钢，槽钢，现场制作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防震软接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高强度防火纤维、现场制作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磁力启动保护开关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与风机配套；磁力起动装置，电机过压、过流保护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（十三）糕点间（面点间）设施设备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搅拌机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3、容积：≥20L；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4、最大和面量：≥20kg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双速双动和面机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规格：770x550x850mm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1.功率：2.2KW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2.和面量：15Kg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3.机重:97KG                                        4.电压：220V</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压面机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1、功率：1.5KW/380V；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2、压面棍转速：60r/min;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3、压面棍长度：320mm；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4、工作效率：32-40KG/H;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5、可调厚度：2-32mm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不锈钢面粉台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规格：2000*1000*800㎜                                                   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饼盘架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规格：600*400*1800㎜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1.采用1.2mm优质雪花不锈钢板折弯；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2.配万向轮带刹车；                                                  3.优质不锈钢38x25mm方通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面粉车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规格：500*500*550㎜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1.面板采用1.0mm优质雪花不锈钢板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2.加强筋采用1.0mm优质雪花不锈钢板折                                       3.配万向轮带刹车</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双星水池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规格：1200x700x（800+150）mm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1、板采用厚1.5mm优质SUS304#不锈钢磨砂贴塑板；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2、支架、通脚用Φ38x1.2mm的优质SUS304#不锈钢管；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3、可调子弹脚用Φ38x1.2mm的优质SUS304#不锈钢子弹脚。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4、星盆池采用SUS 304#厚1.5mm优质SUS304#不锈钢磨砂贴塑板；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5、落水口配备带过滤网的下水器，不易堵塞，易清洗残渣；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6、配单温，陶瓷阀芯龙头、金属软连接管；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单通工作台（打荷台）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参考规格：1800x700x800mm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1、工作台面板采用优质SUS304#不锈钢磨砂贴塑板，面板厚≥1.2mm，加垫18mm大芯夹板；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2、层、侧、门板用≥1.0mm优质SUS304#不锈钢磨砂贴塑板；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3、可调圆柱脚，用φ60x1.0mm优质SUS304#不锈钢圆柱脚；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4、加强筋采用1.0mm优质SUS304#不锈钢管。</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发酵箱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1.规格：1010*670*1520mm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2.功率：2.8KW/220V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3.含24个托盘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烤箱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1.规格：1800*800*1550mm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2.功率：25KW/380V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3.3层9盘式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4.含9个托盘</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14400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电饼铛</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规格:840*810*640㎜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1.功率:5KW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2.电压:220V/380V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3.温度范围：50-250℃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4.产量：30kg/h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5.外形材质：全钢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6.净重：39kg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炸炉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规格：660*600*435㎜                                                1.电源:220V 50HZ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2.功率:3.8KW*2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3.容量:12.5L*2</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4.双缸双筛</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电热平扒炉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规格：730*500*230㎜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1.电源:220V 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2.功率:4.4KW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双头蒸包炉</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1.规格：1600*800*700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2.功率/电压：24kW/380V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3.要求：外层指纹板磨砂不锈钢制作，中层加厚高密度整体发泡层，内层采用一次性成型整体拉伸食品级不锈钢，全自动进水装置S304锈钢浮球，黄铜水阀，工业级环形发热管。配DN20口径S316不锈钢蒸汽进汽口。</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六门冰箱</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参考规格：1820x692x1910mm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1、工程款全不锈钢板；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2、高品质压缩机、全铜管、双机双温；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3、温度要求冷冻：-15~-5℃  冷藏：-5~10；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4、容积：≥790L；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5、电压/功率：220V/320W；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6、符合HACCP国际卫生标准设计，有效保证食品安全；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7、整体式顶置制冷系统，辅以独特的风道设计，制冷迅速均匀且方便维修；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8、四门带锁牌,自动回归门；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9、采用无CFC的环保雪种（R134a)；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10、外箱、门、内箱材料、：SUS304不锈钢；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11、整体高密度发泡，超厚保温层，柜体厚度60MM，更加节能；</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（十四）其它</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手推式洗地机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吸头数量：8个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吸头类型：多功能吸拖一体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清洁效率：2800㎡/h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刷盘直径：530mm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吸水扒宽度：770mm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刷盘转速：195rmp</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刷盘电机功率：600W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吸水电机功率：550W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清/污水箱容量：50L</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工作时间：3-4h</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整机重量：118Kg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高压清洗设备</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电源类型：220v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功率：≥2.2KW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配15米钢丝管+长喷枪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商品毛重：35.0kg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水源类型：自吸，水龙头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额定压力：71~110bar</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电机冷却：风冷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水管长度：10~20m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外观类型：推车式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电机类型：感应电机</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五金配件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含所有区、间设施设备挖槽、恢复、增长管线等所有安装辅材、配件。</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安装费</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安装人工、调试费及其它不可预见但施工中可能发生的费用；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安装前先将所有地面设备摆放，经使用单位签字确认后方可安装。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二、二层设备</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（一）预进间、配餐间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规格：1000*500*950㎜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6、脚踏开关</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双层工作台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规格：1800*600*950㎜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碗柜</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规格：1200*500*1800㎜                                   1.柜面采用1.2mm优质雪花不锈钢板                                  2.柜身用采用1.2mm优质雪花不锈钢板                                     3.柜内层板用0.8mm优质雪花不锈钢板                                      4.趟门用1.0mm优质不锈钢磨砂板                                    5.加强筋用1.0不锈钢板折弯Φ51可调子弹脚</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规格：1200*600*950㎜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不锈钢保温桶车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1.采用1.0不锈钢板厚制作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2.配万向刹车轮；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电热保温售卖台（5格）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规格：1800*700*800㎜                                              1.面板采用1.2mm优质不锈钢板；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2.支架、通脚：Φ38mm×1.2mm不锈钢管；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3.加强筋1.0mm不锈钢板材折弯而成；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4.可调子弹脚：Φ38mm×1.2 mm锈钢子弹脚；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5.功率3KW。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6.配防干烧装置</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（二）碗碟回收间、洗消间</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三星洗物池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4、星盆斗用1.2mm不锈钢板；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热风循环消毒柜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（经济款）</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规格：1190*650*1750㎜  双门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1.功率：3KW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2.电压：220V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3.消毒温度：110°</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（三）餐厅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双层调料台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规格：1800*750*950㎜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1.工作台面板采用1.2mm优质雪花不锈钢板加垫20mm大芯夹板；或起模灌浆固定紧贴面板并以0.8mm的优质不锈钢板做底板封板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2.支架、通脚用Φ38x1.0mm不锈钢管；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3.可调子弹脚用Φ38mm不锈钢子弹脚；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4.层板用1.0mm优质雪花不锈钢磨砂贴塑板；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5.加强筋采用1.0mm优质雪花不锈钢板折弯</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不锈钢保温汤桶(带龙头)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规格：φ500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1.采用1.0不锈钢板厚制作</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收碗收残车</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规格：1650*600*850㎜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1、面板采用优质1.2mm不锈钢板；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2、支架、柱横梁用38不锈钢管；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3、推车支架管用Φ25mm不锈钢管；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4、固定轮及万向轮。收碗及收渣可分开。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注：活动收渣面板500*500mm。收渣孔为园梯形，大园直径400mm。小圆直径230mm（可根据潲水桶的尺寸定制）。餐盘尺寸370*270mm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八人餐桌</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规格：2000*600㎜  玻璃钢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台面、椅子为厚度35mm玻璃钢，桌面用玻璃钢一体铸造；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桌脚、支架为：50*50㎜方形管，表面喷防锈漆加面漆。</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69</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不锈钢洗手池</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规格：2400*510*1000㎜                                    1、面板采用1.2mm优质雪花不锈钢板；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2、支架、通脚用38x38mm不锈钢管；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3、可调子弹脚用38x38mm不锈钢子弹脚   ；                                   4.拉脚用38x25mm不锈钢子弹脚；</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5、星盆斗用1.2mm不锈钢板；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6、每盆配不锈钢ND16mm高身摇摆式水龙头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noWrap/>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三、厨房杂项</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1.2两手打壳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规格：1.2两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砍骨刀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规格：刃长约224mm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厨片刀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规格：刃长约242</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桑刀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材质：优质正材不锈钢 规格：刃长约206mm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大白桶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材质：加厚优质PP     容量：100L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不锈钢汤桶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 容量：95L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 45*35cm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不锈钢钢盆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铁木砧板</w:t>
            </w:r>
          </w:p>
        </w:tc>
        <w:tc>
          <w:tcPr>
            <w:tcW w:w="1959" w:type="pct"/>
            <w:vAlign w:val="center"/>
          </w:tcPr>
          <w:p>
            <w:pPr>
              <w:numPr>
                <w:ilvl w:val="0"/>
                <w:numId w:val="4"/>
              </w:numPr>
              <w:jc w:val="left"/>
              <w:rPr>
                <w:rFonts w:hint="eastAsia" w:asciiTheme="minorEastAsia" w:hAnsiTheme="minorEastAsia" w:eastAsiaTheme="minorEastAsia"/>
                <w:bCs/>
                <w:sz w:val="22"/>
                <w:szCs w:val="22"/>
              </w:rPr>
            </w:pPr>
            <w:r>
              <w:rPr>
                <w:rFonts w:hint="eastAsia" w:asciiTheme="minorEastAsia" w:hAnsiTheme="minorEastAsia" w:eastAsiaTheme="minorEastAsia"/>
                <w:bCs/>
                <w:sz w:val="22"/>
                <w:szCs w:val="22"/>
              </w:rPr>
              <w:t>规格：直径42cm，厚度10cm；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2.基础材质：正宗铁木（非拼接木），密度≥1.15g/cm³，供货时提供国家认可的第三方检测机构出具的检测报告复印件，检测报告中体现该项性能；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3.含水率：≤10%（恒温烘干处理）；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4.加工工艺：整木横向切割（可见年轮纹）；360°手工抛光（粗糙度Ra≤3.2μm）；食品级木蜡油浸渍处理；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5.物理性能：抗压强度≥85MPa；抗弯强度≥120MPa；耐磨度≥8000转（Taber磨耗测试）；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6.防裂处理：边缘加装304不锈钢防裂箍（宽度≥3cm，厚度1.5mm）；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7.安全标准：通过GB 4806.12-2022食品接触材料检测（重金属迁移量符合标准），供货时提供国家认可的检测机构出具的检测报告；</w:t>
            </w:r>
          </w:p>
          <w:p>
            <w:pPr>
              <w:numPr>
                <w:ilvl w:val="0"/>
                <w:numId w:val="0"/>
              </w:num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最终验收通过之日起，半年内开裂免费换新。</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砧板围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规格：大号</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腰斗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规格：30*14*11CM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粗铁捞厘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规格：13英寸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不锈钢捞厘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钢水勺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规格：5斤</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油鼓</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磨刀石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材质：优质耐磨石     规格：27CM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八格调味盒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规格：44*29*7cm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规格：605*420*250mm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规格：556*408*171mm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菜篮</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规格：510*393*171mm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规格：345*230*120mm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保鲜盒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材质：加厚耐摔PP材质  规格：385*250*125mm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不锈钢味盅</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规格：20cm 容量：2.5L</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塑料方托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材质：加厚耐摔塑料材质 规格：545*385*150mm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防水围裙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材质：耐磨耐用防水塑胶 规格：110*75CM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条</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14"打蛋器</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规格：14寸</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厨匙</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材质：优质加厚不锈钢       规格：35cm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规格：33*34*12cm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电子称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规格：30*40*70cm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克称</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材质：加厚板材、耐用蓄电池 规格：5KG</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竹锅刷</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材质：优质竹质       规格：30cm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带盖刀盒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规格：28*20*12cm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不锈钢留样盒</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规格：9*9*7cm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马斗</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规格：20cm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手打铲</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规格：80cm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手打壳</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油格</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厨师工服</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材质：优质布料、耐穿耐洗       尺码自选</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厨师专用口罩</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材质：PP材质  规格： 6.5*4.5cm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厨师帽</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常规码    材质：棉质</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可伸缩吹地机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三速调档、极速吹干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功率：1000W</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厨房尘拖</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材质：耐用棉线拖布 规格：90*16cm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把</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粉厘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规格：14cm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剪刀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规格：25cm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不锈钢蒸孔托盘</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规格：60*40cm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饭勺</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材质：优质不锈钢     规格： 23*8cm</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317" w:type="pct"/>
            <w:gridSpan w:val="6"/>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三、水电安装</w:t>
            </w:r>
          </w:p>
        </w:tc>
        <w:tc>
          <w:tcPr>
            <w:tcW w:w="683" w:type="pct"/>
            <w:vAlign w:val="center"/>
          </w:tcPr>
          <w:p>
            <w:pPr>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冷给水管PPR32Φ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冷给水PPR32Φ直接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76</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冷给水管PPR25Φ</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M</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冷给水PPR25Φ弯头</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280</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冷给水PPR25Φ直接</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冷给水PPR25Φ内牙三通</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规格：Φ25mm/1.6MPa冷水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75</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角阀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国标，人工安装</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67</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PPR32Φ水阀</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规格：Φ32mm/1.6MPa冷水</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只</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32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599"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其它配件</w:t>
            </w:r>
          </w:p>
        </w:tc>
        <w:tc>
          <w:tcPr>
            <w:tcW w:w="1959" w:type="pct"/>
            <w:vAlign w:val="center"/>
          </w:tcPr>
          <w:p>
            <w:pPr>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1.铜线耳、线盒、膨胀螺丝，木牙螺丝斤，绝缘胶布卷，生料带、波纹管等五金件。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2.水电安装部分所需电线、线管、排插、纲丝绳、水管、三通、弯头、角阀等以实际施工所需为准，所有材料包干。</w:t>
            </w:r>
          </w:p>
        </w:tc>
        <w:tc>
          <w:tcPr>
            <w:tcW w:w="290"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50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637"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c>
          <w:tcPr>
            <w:tcW w:w="683" w:type="pct"/>
            <w:vAlign w:val="center"/>
          </w:tcPr>
          <w:p>
            <w:pPr>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4500</w:t>
            </w:r>
          </w:p>
        </w:tc>
      </w:tr>
    </w:tbl>
    <w:p>
      <w:pPr>
        <w:rPr>
          <w:b/>
          <w:bCs/>
          <w:sz w:val="28"/>
          <w:szCs w:val="28"/>
        </w:rPr>
      </w:pPr>
      <w:r>
        <w:rPr>
          <w:rFonts w:hint="eastAsia"/>
          <w:b/>
          <w:bCs/>
          <w:sz w:val="28"/>
          <w:szCs w:val="28"/>
        </w:rPr>
        <w:t>四、心理辅导室设施设备</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1016"/>
        <w:gridCol w:w="4667"/>
        <w:gridCol w:w="616"/>
        <w:gridCol w:w="61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0" w:hRule="atLeast"/>
        </w:trPr>
        <w:tc>
          <w:tcPr>
            <w:tcW w:w="271"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项号</w:t>
            </w:r>
          </w:p>
        </w:tc>
        <w:tc>
          <w:tcPr>
            <w:tcW w:w="272"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货物名称</w:t>
            </w:r>
          </w:p>
        </w:tc>
        <w:tc>
          <w:tcPr>
            <w:tcW w:w="3416"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技术参数</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单位</w:t>
            </w:r>
          </w:p>
        </w:tc>
        <w:tc>
          <w:tcPr>
            <w:tcW w:w="197"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数量</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单价（元）</w:t>
            </w:r>
          </w:p>
        </w:tc>
        <w:tc>
          <w:tcPr>
            <w:tcW w:w="324" w:type="pct"/>
            <w:noWrap/>
            <w:vAlign w:val="center"/>
          </w:tcPr>
          <w:p>
            <w:pPr>
              <w:spacing w:line="400" w:lineRule="exact"/>
              <w:jc w:val="center"/>
              <w:rPr>
                <w:rFonts w:ascii="宋体" w:hAnsi="宋体" w:cs="宋体"/>
                <w:bCs/>
                <w:sz w:val="20"/>
                <w:szCs w:val="20"/>
              </w:rPr>
            </w:pPr>
            <w:r>
              <w:rPr>
                <w:rFonts w:hint="eastAsia" w:ascii="宋体" w:hAnsi="宋体" w:cs="宋体"/>
                <w:bCs/>
                <w:sz w:val="20"/>
                <w:szCs w:val="20"/>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沙盘器材</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一、沙盘：2个标准沙盘（内侧尺寸57×72×7cm±0.5cm，外侧60.5×75×9.5cm±0.5cm，内侧蓝色）</w:t>
            </w:r>
            <w:r>
              <w:rPr>
                <w:rFonts w:hint="eastAsia" w:ascii="宋体" w:hAnsi="宋体" w:cs="宋体"/>
                <w:bCs/>
                <w:sz w:val="20"/>
                <w:szCs w:val="20"/>
              </w:rPr>
              <w:br w:type="textWrapping"/>
            </w:r>
            <w:r>
              <w:rPr>
                <w:rFonts w:hint="eastAsia" w:ascii="宋体" w:hAnsi="宋体" w:cs="宋体"/>
                <w:bCs/>
                <w:sz w:val="20"/>
                <w:szCs w:val="20"/>
              </w:rPr>
              <w:t>二、沙具：≥800个（18大类：宗教/交通/人物/自然物等，材质含木质/陶瓷/塑料）</w:t>
            </w:r>
            <w:r>
              <w:rPr>
                <w:rFonts w:hint="eastAsia" w:ascii="宋体" w:hAnsi="宋体" w:cs="宋体"/>
                <w:bCs/>
                <w:sz w:val="20"/>
                <w:szCs w:val="20"/>
              </w:rPr>
              <w:br w:type="textWrapping"/>
            </w:r>
            <w:r>
              <w:rPr>
                <w:rFonts w:hint="eastAsia" w:ascii="宋体" w:hAnsi="宋体" w:cs="宋体"/>
                <w:bCs/>
                <w:sz w:val="20"/>
                <w:szCs w:val="20"/>
              </w:rPr>
              <w:t>三、实木沙具柜×3个：175×59.2×25cm（5层，自然木纹色）</w:t>
            </w:r>
            <w:r>
              <w:rPr>
                <w:rFonts w:hint="eastAsia" w:ascii="宋体" w:hAnsi="宋体" w:cs="宋体"/>
                <w:bCs/>
                <w:sz w:val="20"/>
                <w:szCs w:val="20"/>
              </w:rPr>
              <w:br w:type="textWrapping"/>
            </w:r>
            <w:r>
              <w:rPr>
                <w:rFonts w:hint="eastAsia" w:ascii="宋体" w:hAnsi="宋体" w:cs="宋体"/>
                <w:bCs/>
                <w:sz w:val="20"/>
                <w:szCs w:val="20"/>
              </w:rPr>
              <w:t>四、专用细沙：12.5kg×2袋</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团体活动训练包</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一、活动方案：15个（含环境适应/人际交往/学习管理等5大主题）</w:t>
            </w:r>
            <w:r>
              <w:rPr>
                <w:rFonts w:hint="eastAsia" w:ascii="宋体" w:hAnsi="宋体" w:cs="宋体"/>
                <w:bCs/>
                <w:sz w:val="20"/>
                <w:szCs w:val="20"/>
              </w:rPr>
              <w:br w:type="textWrapping"/>
            </w:r>
            <w:r>
              <w:rPr>
                <w:rFonts w:hint="eastAsia" w:ascii="宋体" w:hAnsi="宋体" w:cs="宋体"/>
                <w:bCs/>
                <w:sz w:val="20"/>
                <w:szCs w:val="20"/>
              </w:rPr>
              <w:t>二、工具箱：A/B/C/D箱（室内箱43×30×20cm，室外箱89.5×34×15cm），配户外应急包（不含医疗物资）</w:t>
            </w:r>
            <w:r>
              <w:rPr>
                <w:rFonts w:hint="eastAsia" w:ascii="宋体" w:hAnsi="宋体" w:cs="宋体"/>
                <w:bCs/>
                <w:sz w:val="20"/>
                <w:szCs w:val="20"/>
              </w:rPr>
              <w:br w:type="textWrapping"/>
            </w:r>
            <w:r>
              <w:rPr>
                <w:rFonts w:hint="eastAsia" w:ascii="宋体" w:hAnsi="宋体" w:cs="宋体"/>
                <w:bCs/>
                <w:sz w:val="20"/>
                <w:szCs w:val="20"/>
              </w:rPr>
              <w:t>三、教学录像光盘：含团体活动示范</w:t>
            </w:r>
            <w:r>
              <w:rPr>
                <w:rFonts w:hint="eastAsia" w:ascii="宋体" w:hAnsi="宋体" w:cs="宋体"/>
                <w:bCs/>
                <w:sz w:val="20"/>
                <w:szCs w:val="20"/>
              </w:rPr>
              <w:br w:type="textWrapping"/>
            </w:r>
            <w:r>
              <w:rPr>
                <w:rFonts w:hint="eastAsia" w:ascii="宋体" w:hAnsi="宋体" w:cs="宋体"/>
                <w:bCs/>
                <w:sz w:val="20"/>
                <w:szCs w:val="20"/>
              </w:rPr>
              <w:t>四、使用手册：含活动程序/注意事项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16,500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智能击打宣泄系统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w:t>
            </w:r>
            <w:r>
              <w:rPr>
                <w:rFonts w:hint="eastAsia" w:ascii="宋体" w:hAnsi="宋体" w:cs="宋体"/>
                <w:kern w:val="0"/>
                <w:sz w:val="20"/>
                <w:szCs w:val="20"/>
              </w:rPr>
              <w:t>★</w:t>
            </w:r>
            <w:r>
              <w:rPr>
                <w:rFonts w:hint="eastAsia" w:ascii="宋体" w:hAnsi="宋体" w:cs="宋体"/>
                <w:bCs/>
                <w:sz w:val="20"/>
                <w:szCs w:val="20"/>
              </w:rPr>
              <w:t>主机：50英寸显示器（1920×1080，HDMI）</w:t>
            </w:r>
            <w:r>
              <w:rPr>
                <w:rFonts w:hint="eastAsia" w:ascii="宋体" w:hAnsi="宋体" w:cs="宋体"/>
                <w:bCs/>
                <w:sz w:val="20"/>
                <w:szCs w:val="20"/>
              </w:rPr>
              <w:br w:type="textWrapping"/>
            </w:r>
            <w:r>
              <w:rPr>
                <w:rFonts w:hint="eastAsia" w:ascii="宋体" w:hAnsi="宋体" w:cs="宋体"/>
                <w:bCs/>
                <w:sz w:val="20"/>
                <w:szCs w:val="20"/>
              </w:rPr>
              <w:t>二、靶柱：注沙式底座（H1600mm±5%，直径320mm）</w:t>
            </w:r>
            <w:r>
              <w:rPr>
                <w:rFonts w:hint="eastAsia" w:ascii="宋体" w:hAnsi="宋体" w:cs="宋体"/>
                <w:bCs/>
                <w:sz w:val="20"/>
                <w:szCs w:val="20"/>
              </w:rPr>
              <w:br w:type="textWrapping"/>
            </w:r>
            <w:r>
              <w:rPr>
                <w:rFonts w:hint="eastAsia" w:ascii="宋体" w:hAnsi="宋体" w:cs="宋体"/>
                <w:bCs/>
                <w:sz w:val="20"/>
                <w:szCs w:val="20"/>
              </w:rPr>
              <w:t>三、宣泄主题：≥20种（工作/学习/情绪类）</w:t>
            </w:r>
            <w:r>
              <w:rPr>
                <w:rFonts w:hint="eastAsia" w:ascii="宋体" w:hAnsi="宋体" w:cs="宋体"/>
                <w:bCs/>
                <w:sz w:val="20"/>
                <w:szCs w:val="20"/>
              </w:rPr>
              <w:br w:type="textWrapping"/>
            </w:r>
            <w:r>
              <w:rPr>
                <w:rFonts w:hint="eastAsia" w:ascii="宋体" w:hAnsi="宋体" w:cs="宋体"/>
                <w:bCs/>
                <w:sz w:val="20"/>
                <w:szCs w:val="20"/>
              </w:rPr>
              <w:t>四、安全防护：靶柱防倒装置+墙面缓冲层，靶柱含安全地桩固定装置</w:t>
            </w:r>
            <w:r>
              <w:rPr>
                <w:rFonts w:hint="eastAsia" w:ascii="宋体" w:hAnsi="宋体" w:cs="宋体"/>
                <w:bCs/>
                <w:sz w:val="20"/>
                <w:szCs w:val="20"/>
              </w:rPr>
              <w:br w:type="textWrapping"/>
            </w:r>
            <w:r>
              <w:rPr>
                <w:rFonts w:hint="eastAsia" w:ascii="宋体" w:hAnsi="宋体" w:cs="宋体"/>
                <w:bCs/>
                <w:sz w:val="20"/>
                <w:szCs w:val="20"/>
              </w:rPr>
              <w:t>五、监控摄像头（1080P广角，存储≥7天）</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19,800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4</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身心反馈训练系统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kern w:val="0"/>
                <w:sz w:val="20"/>
                <w:szCs w:val="20"/>
              </w:rPr>
              <w:t>★</w:t>
            </w:r>
            <w:r>
              <w:rPr>
                <w:rFonts w:hint="eastAsia" w:ascii="宋体" w:hAnsi="宋体" w:cs="宋体"/>
                <w:bCs/>
                <w:sz w:val="20"/>
                <w:szCs w:val="20"/>
              </w:rPr>
              <w:t>一、主机：10.1英寸平板（分辨率1280×800，电容触控）</w:t>
            </w:r>
            <w:r>
              <w:rPr>
                <w:rFonts w:hint="eastAsia" w:ascii="宋体" w:hAnsi="宋体" w:cs="宋体"/>
                <w:bCs/>
                <w:sz w:val="20"/>
                <w:szCs w:val="20"/>
              </w:rPr>
              <w:br w:type="textWrapping"/>
            </w:r>
            <w:r>
              <w:rPr>
                <w:rFonts w:hint="eastAsia" w:ascii="宋体" w:hAnsi="宋体" w:cs="宋体"/>
                <w:bCs/>
                <w:sz w:val="20"/>
                <w:szCs w:val="20"/>
              </w:rPr>
              <w:t>二、训练椅：PU皮质（尺寸95×95×98cm，角度90-150°可调）</w:t>
            </w:r>
            <w:r>
              <w:rPr>
                <w:rFonts w:hint="eastAsia" w:ascii="宋体" w:hAnsi="宋体" w:cs="宋体"/>
                <w:bCs/>
                <w:sz w:val="20"/>
                <w:szCs w:val="20"/>
              </w:rPr>
              <w:br w:type="textWrapping"/>
            </w:r>
            <w:r>
              <w:rPr>
                <w:rFonts w:hint="eastAsia" w:ascii="宋体" w:hAnsi="宋体" w:cs="宋体"/>
                <w:bCs/>
                <w:sz w:val="20"/>
                <w:szCs w:val="20"/>
              </w:rPr>
              <w:t>三、传感器：指套式红外脉搏传感器（精度±2%）、腹式呼吸带（精度±3.5%）</w:t>
            </w:r>
            <w:r>
              <w:rPr>
                <w:rFonts w:hint="eastAsia" w:ascii="宋体" w:hAnsi="宋体" w:cs="宋体"/>
                <w:bCs/>
                <w:sz w:val="20"/>
                <w:szCs w:val="20"/>
              </w:rPr>
              <w:br w:type="textWrapping"/>
            </w:r>
            <w:r>
              <w:rPr>
                <w:rFonts w:hint="eastAsia" w:ascii="宋体" w:hAnsi="宋体" w:cs="宋体"/>
                <w:bCs/>
                <w:sz w:val="20"/>
                <w:szCs w:val="20"/>
              </w:rPr>
              <w:t>四、身心反馈训练舱（半封闭式，保障隐私）：尺寸1800×1200×2200mm，（内部净高≥1900mm）；结构：钢架+阻燃布艺（透光率≤30%），配通风百叶窗。</w:t>
            </w:r>
            <w:r>
              <w:rPr>
                <w:rFonts w:hint="eastAsia" w:ascii="宋体" w:hAnsi="宋体" w:cs="宋体"/>
                <w:bCs/>
                <w:sz w:val="20"/>
                <w:szCs w:val="20"/>
              </w:rPr>
              <w:br w:type="textWrapping"/>
            </w:r>
            <w:r>
              <w:rPr>
                <w:rFonts w:hint="eastAsia" w:ascii="宋体" w:hAnsi="宋体" w:cs="宋体"/>
                <w:bCs/>
                <w:sz w:val="20"/>
                <w:szCs w:val="20"/>
              </w:rPr>
              <w:t>五、软件：11种放松方法+5种应激训练场景</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38,000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心理测评系统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一、量表：≥65个（含MHT中小学生心理健康量表/SCL-90症状自评量表等国标量表）</w:t>
            </w:r>
            <w:r>
              <w:rPr>
                <w:rFonts w:hint="eastAsia" w:ascii="宋体" w:hAnsi="宋体" w:cs="宋体"/>
                <w:bCs/>
                <w:sz w:val="20"/>
                <w:szCs w:val="20"/>
              </w:rPr>
              <w:br w:type="textWrapping"/>
            </w:r>
            <w:r>
              <w:rPr>
                <w:rFonts w:hint="eastAsia" w:ascii="宋体" w:hAnsi="宋体" w:cs="宋体"/>
                <w:bCs/>
                <w:sz w:val="20"/>
                <w:szCs w:val="20"/>
              </w:rPr>
              <w:t>二、架构：B/S网络版（支持200用户并发）</w:t>
            </w:r>
            <w:r>
              <w:rPr>
                <w:rFonts w:hint="eastAsia" w:ascii="宋体" w:hAnsi="宋体" w:cs="宋体"/>
                <w:bCs/>
                <w:sz w:val="20"/>
                <w:szCs w:val="20"/>
              </w:rPr>
              <w:br w:type="textWrapping"/>
            </w:r>
            <w:r>
              <w:rPr>
                <w:rFonts w:hint="eastAsia" w:ascii="宋体" w:hAnsi="宋体" w:cs="宋体"/>
                <w:bCs/>
                <w:sz w:val="20"/>
                <w:szCs w:val="20"/>
              </w:rPr>
              <w:t>三、功能：危机预警（阈值可调）、数据本地存储（禁止网络云存储）、支持断点续评</w:t>
            </w:r>
            <w:r>
              <w:rPr>
                <w:rFonts w:hint="eastAsia" w:ascii="宋体" w:hAnsi="宋体" w:cs="宋体"/>
                <w:bCs/>
                <w:sz w:val="20"/>
                <w:szCs w:val="20"/>
              </w:rPr>
              <w:br w:type="textWrapping"/>
            </w:r>
            <w:r>
              <w:rPr>
                <w:rFonts w:hint="eastAsia" w:ascii="宋体" w:hAnsi="宋体" w:cs="宋体"/>
                <w:bCs/>
                <w:sz w:val="20"/>
                <w:szCs w:val="20"/>
              </w:rPr>
              <w:t>四、</w:t>
            </w:r>
            <w:r>
              <w:rPr>
                <w:rFonts w:hint="eastAsia" w:ascii="宋体" w:hAnsi="宋体" w:cs="宋体"/>
                <w:kern w:val="0"/>
                <w:sz w:val="20"/>
                <w:szCs w:val="20"/>
              </w:rPr>
              <w:t>★</w:t>
            </w:r>
            <w:r>
              <w:rPr>
                <w:rFonts w:hint="eastAsia" w:ascii="宋体" w:hAnsi="宋体" w:cs="宋体"/>
                <w:bCs/>
                <w:sz w:val="20"/>
                <w:szCs w:val="20"/>
              </w:rPr>
              <w:t>硬件配套：i5/8G/500G主机+23寸显示器</w:t>
            </w:r>
            <w:r>
              <w:rPr>
                <w:rFonts w:hint="eastAsia" w:ascii="宋体" w:hAnsi="宋体" w:cs="宋体"/>
                <w:bCs/>
                <w:sz w:val="20"/>
                <w:szCs w:val="20"/>
              </w:rPr>
              <w:br w:type="textWrapping"/>
            </w:r>
            <w:r>
              <w:rPr>
                <w:rFonts w:hint="eastAsia" w:ascii="宋体" w:hAnsi="宋体" w:cs="宋体"/>
                <w:bCs/>
                <w:sz w:val="20"/>
                <w:szCs w:val="20"/>
              </w:rPr>
              <w:t>五、</w:t>
            </w:r>
            <w:r>
              <w:rPr>
                <w:rFonts w:hint="eastAsia" w:ascii="宋体" w:hAnsi="宋体" w:cs="宋体"/>
                <w:kern w:val="0"/>
                <w:sz w:val="20"/>
                <w:szCs w:val="20"/>
              </w:rPr>
              <w:t>★</w:t>
            </w:r>
            <w:r>
              <w:rPr>
                <w:rFonts w:hint="eastAsia" w:ascii="宋体" w:hAnsi="宋体" w:cs="宋体"/>
                <w:bCs/>
                <w:sz w:val="20"/>
                <w:szCs w:val="20"/>
              </w:rPr>
              <w:t>双屏显示屏（23寸×2）（咨询师/来访者双视角）。</w:t>
            </w:r>
            <w:r>
              <w:rPr>
                <w:rFonts w:hint="eastAsia" w:ascii="宋体" w:hAnsi="宋体" w:cs="宋体"/>
                <w:bCs/>
                <w:sz w:val="20"/>
                <w:szCs w:val="20"/>
              </w:rPr>
              <w:br w:type="textWrapping"/>
            </w:r>
            <w:r>
              <w:rPr>
                <w:rFonts w:hint="eastAsia" w:ascii="宋体" w:hAnsi="宋体" w:cs="宋体"/>
                <w:bCs/>
                <w:sz w:val="20"/>
                <w:szCs w:val="20"/>
              </w:rPr>
              <w:t xml:space="preserve">    主屏（咨询师）：23寸IPS屏（1920×1080），显示统计分析报告</w:t>
            </w:r>
            <w:r>
              <w:rPr>
                <w:rFonts w:hint="eastAsia" w:ascii="宋体" w:hAnsi="宋体" w:cs="宋体"/>
                <w:bCs/>
                <w:sz w:val="20"/>
                <w:szCs w:val="20"/>
              </w:rPr>
              <w:br w:type="textWrapping"/>
            </w:r>
            <w:r>
              <w:rPr>
                <w:rFonts w:hint="eastAsia" w:ascii="宋体" w:hAnsi="宋体" w:cs="宋体"/>
                <w:bCs/>
                <w:sz w:val="20"/>
                <w:szCs w:val="20"/>
              </w:rPr>
              <w:t xml:space="preserve">    副屏（来访者）：23寸触控屏，支持手势翻页答题</w:t>
            </w:r>
            <w:r>
              <w:rPr>
                <w:rFonts w:hint="eastAsia" w:ascii="宋体" w:hAnsi="宋体" w:cs="宋体"/>
                <w:bCs/>
                <w:sz w:val="20"/>
                <w:szCs w:val="20"/>
              </w:rPr>
              <w:br w:type="textWrapping"/>
            </w:r>
            <w:r>
              <w:rPr>
                <w:rFonts w:hint="eastAsia" w:ascii="宋体" w:hAnsi="宋体" w:cs="宋体"/>
                <w:bCs/>
                <w:sz w:val="20"/>
                <w:szCs w:val="20"/>
              </w:rPr>
              <w:t>六、供应商供货时需提供心理设备《软件著作权证书》及《质检报告》。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52,000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6</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手眼脑认知训练系统</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一、软件：6大训练模块（视觉/听觉反应时、划消训练、记忆力训练等）</w:t>
            </w:r>
            <w:r>
              <w:rPr>
                <w:rFonts w:hint="eastAsia" w:ascii="宋体" w:hAnsi="宋体" w:cs="宋体"/>
                <w:bCs/>
                <w:sz w:val="20"/>
                <w:szCs w:val="20"/>
              </w:rPr>
              <w:br w:type="textWrapping"/>
            </w:r>
            <w:r>
              <w:rPr>
                <w:rFonts w:hint="eastAsia" w:ascii="宋体" w:hAnsi="宋体" w:cs="宋体"/>
                <w:kern w:val="0"/>
                <w:sz w:val="20"/>
                <w:szCs w:val="20"/>
              </w:rPr>
              <w:t>★</w:t>
            </w:r>
            <w:r>
              <w:rPr>
                <w:rFonts w:hint="eastAsia" w:ascii="宋体" w:hAnsi="宋体" w:cs="宋体"/>
                <w:bCs/>
                <w:sz w:val="20"/>
                <w:szCs w:val="20"/>
              </w:rPr>
              <w:t>二、硬件：i5/8G/兼容的操作系统主机+23寸显示器（1440×900）</w:t>
            </w:r>
            <w:r>
              <w:rPr>
                <w:rFonts w:hint="eastAsia" w:ascii="宋体" w:hAnsi="宋体" w:cs="宋体"/>
                <w:bCs/>
                <w:sz w:val="20"/>
                <w:szCs w:val="20"/>
              </w:rPr>
              <w:br w:type="textWrapping"/>
            </w:r>
            <w:r>
              <w:rPr>
                <w:rFonts w:hint="eastAsia" w:ascii="宋体" w:hAnsi="宋体" w:cs="宋体"/>
                <w:bCs/>
                <w:sz w:val="20"/>
                <w:szCs w:val="20"/>
              </w:rPr>
              <w:t>三、训练响应手柄×2</w:t>
            </w:r>
            <w:r>
              <w:rPr>
                <w:rFonts w:hint="eastAsia" w:ascii="宋体" w:hAnsi="宋体" w:cs="宋体"/>
                <w:bCs/>
                <w:sz w:val="20"/>
                <w:szCs w:val="20"/>
              </w:rPr>
              <w:br w:type="textWrapping"/>
            </w:r>
            <w:r>
              <w:rPr>
                <w:rFonts w:hint="eastAsia" w:ascii="宋体" w:hAnsi="宋体" w:cs="宋体"/>
                <w:bCs/>
                <w:sz w:val="20"/>
                <w:szCs w:val="20"/>
              </w:rPr>
              <w:t>四、功能：实时反馈训练结果、支持在线升级</w:t>
            </w:r>
            <w:r>
              <w:rPr>
                <w:rFonts w:hint="eastAsia" w:ascii="宋体" w:hAnsi="宋体" w:cs="宋体"/>
                <w:bCs/>
                <w:sz w:val="20"/>
                <w:szCs w:val="20"/>
              </w:rPr>
              <w:br w:type="textWrapping"/>
            </w:r>
            <w:r>
              <w:rPr>
                <w:rFonts w:hint="eastAsia" w:ascii="宋体" w:hAnsi="宋体" w:cs="宋体"/>
                <w:bCs/>
                <w:sz w:val="20"/>
                <w:szCs w:val="20"/>
              </w:rPr>
              <w:t>五、供应商供货时需提供心理设备《软件著作权证书》及《质检报告》。</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基础家具</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一、办公区：长1.8m办公桌+椅×1、办公保密档案柜（配电子密码锁，H180cm）×1</w:t>
            </w:r>
            <w:r>
              <w:rPr>
                <w:rFonts w:hint="eastAsia" w:ascii="宋体" w:hAnsi="宋体" w:cs="宋体"/>
                <w:bCs/>
                <w:sz w:val="20"/>
                <w:szCs w:val="20"/>
              </w:rPr>
              <w:br w:type="textWrapping"/>
            </w:r>
            <w:r>
              <w:rPr>
                <w:rFonts w:hint="eastAsia" w:ascii="宋体" w:hAnsi="宋体" w:cs="宋体"/>
                <w:bCs/>
                <w:sz w:val="20"/>
                <w:szCs w:val="20"/>
              </w:rPr>
              <w:t>二、个体辅导区：布艺沙发（含扶手）×2、茶几×1</w:t>
            </w:r>
            <w:r>
              <w:rPr>
                <w:rFonts w:hint="eastAsia" w:ascii="宋体" w:hAnsi="宋体" w:cs="宋体"/>
                <w:bCs/>
                <w:sz w:val="20"/>
                <w:szCs w:val="20"/>
              </w:rPr>
              <w:br w:type="textWrapping"/>
            </w:r>
            <w:r>
              <w:rPr>
                <w:rFonts w:hint="eastAsia" w:ascii="宋体" w:hAnsi="宋体" w:cs="宋体"/>
                <w:bCs/>
                <w:sz w:val="20"/>
                <w:szCs w:val="20"/>
              </w:rPr>
              <w:t>三、团体区：平衡椅×8（承重≥100kg）</w:t>
            </w:r>
            <w:r>
              <w:rPr>
                <w:rFonts w:hint="eastAsia" w:ascii="宋体" w:hAnsi="宋体" w:cs="宋体"/>
                <w:bCs/>
                <w:sz w:val="20"/>
                <w:szCs w:val="20"/>
              </w:rPr>
              <w:br w:type="textWrapping"/>
            </w:r>
            <w:r>
              <w:rPr>
                <w:rFonts w:hint="eastAsia" w:ascii="宋体" w:hAnsi="宋体" w:cs="宋体"/>
                <w:bCs/>
                <w:sz w:val="20"/>
                <w:szCs w:val="20"/>
              </w:rPr>
              <w:t>四、饮水机：柜式冷热型（容量18L）</w:t>
            </w:r>
            <w:r>
              <w:rPr>
                <w:rFonts w:hint="eastAsia" w:ascii="宋体" w:hAnsi="宋体" w:cs="宋体"/>
                <w:bCs/>
                <w:sz w:val="20"/>
                <w:szCs w:val="20"/>
              </w:rPr>
              <w:br w:type="textWrapping"/>
            </w:r>
            <w:r>
              <w:rPr>
                <w:rFonts w:hint="eastAsia" w:ascii="宋体" w:hAnsi="宋体" w:cs="宋体"/>
                <w:bCs/>
                <w:sz w:val="20"/>
                <w:szCs w:val="20"/>
              </w:rPr>
              <w:t>五、沙盘专用操作凳×2（H45cm可升降）</w:t>
            </w:r>
            <w:r>
              <w:rPr>
                <w:rFonts w:hint="eastAsia" w:ascii="宋体" w:hAnsi="宋体" w:cs="宋体"/>
                <w:bCs/>
                <w:sz w:val="20"/>
                <w:szCs w:val="20"/>
              </w:rPr>
              <w:br w:type="textWrapping"/>
            </w:r>
            <w:r>
              <w:rPr>
                <w:rFonts w:hint="eastAsia" w:ascii="宋体" w:hAnsi="宋体" w:cs="宋体"/>
                <w:bCs/>
                <w:sz w:val="20"/>
                <w:szCs w:val="20"/>
              </w:rPr>
              <w:t>所有家具无锐角（圆角R≥10mm）</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26,000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0"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装修工程</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一、空间改造与隔断</w:t>
            </w:r>
            <w:r>
              <w:rPr>
                <w:rFonts w:hint="eastAsia" w:ascii="宋体" w:hAnsi="宋体" w:cs="宋体"/>
                <w:bCs/>
                <w:sz w:val="20"/>
                <w:szCs w:val="20"/>
              </w:rPr>
              <w:br w:type="textWrapping"/>
            </w:r>
            <w:r>
              <w:rPr>
                <w:rFonts w:hint="eastAsia" w:ascii="宋体" w:hAnsi="宋体" w:cs="宋体"/>
                <w:bCs/>
                <w:sz w:val="20"/>
                <w:szCs w:val="20"/>
              </w:rPr>
              <w:t>1、大教室（66㎡）分区：</w:t>
            </w:r>
            <w:r>
              <w:rPr>
                <w:rFonts w:hint="eastAsia" w:ascii="宋体" w:hAnsi="宋体" w:cs="宋体"/>
                <w:bCs/>
                <w:sz w:val="20"/>
                <w:szCs w:val="20"/>
              </w:rPr>
              <w:br w:type="textWrapping"/>
            </w:r>
            <w:r>
              <w:rPr>
                <w:rFonts w:hint="eastAsia" w:ascii="宋体" w:hAnsi="宋体" w:cs="宋体"/>
                <w:bCs/>
                <w:sz w:val="20"/>
                <w:szCs w:val="20"/>
              </w:rPr>
              <w:t>　- 团体活动区：35㎡（含防撞墙柱包边）</w:t>
            </w:r>
            <w:r>
              <w:rPr>
                <w:rFonts w:hint="eastAsia" w:ascii="宋体" w:hAnsi="宋体" w:cs="宋体"/>
                <w:bCs/>
                <w:sz w:val="20"/>
                <w:szCs w:val="20"/>
              </w:rPr>
              <w:br w:type="textWrapping"/>
            </w:r>
            <w:r>
              <w:rPr>
                <w:rFonts w:hint="eastAsia" w:ascii="宋体" w:hAnsi="宋体" w:cs="宋体"/>
                <w:bCs/>
                <w:sz w:val="20"/>
                <w:szCs w:val="20"/>
              </w:rPr>
              <w:t>　- 办公接待区：21㎡</w:t>
            </w:r>
            <w:r>
              <w:rPr>
                <w:rFonts w:hint="eastAsia" w:ascii="宋体" w:hAnsi="宋体" w:cs="宋体"/>
                <w:bCs/>
                <w:sz w:val="20"/>
                <w:szCs w:val="20"/>
              </w:rPr>
              <w:br w:type="textWrapping"/>
            </w:r>
            <w:r>
              <w:rPr>
                <w:rFonts w:hint="eastAsia" w:ascii="宋体" w:hAnsi="宋体" w:cs="宋体"/>
                <w:bCs/>
                <w:sz w:val="20"/>
                <w:szCs w:val="20"/>
              </w:rPr>
              <w:t>　- 独立宣泄室：10㎡（开独立门洞，门洞加装防火隔音门）</w:t>
            </w:r>
            <w:r>
              <w:rPr>
                <w:rFonts w:hint="eastAsia" w:ascii="宋体" w:hAnsi="宋体" w:cs="宋体"/>
                <w:bCs/>
                <w:sz w:val="20"/>
                <w:szCs w:val="20"/>
              </w:rPr>
              <w:br w:type="textWrapping"/>
            </w:r>
            <w:r>
              <w:rPr>
                <w:rFonts w:hint="eastAsia" w:ascii="宋体" w:hAnsi="宋体" w:cs="宋体"/>
                <w:bCs/>
                <w:sz w:val="20"/>
                <w:szCs w:val="20"/>
              </w:rPr>
              <w:t>2、小教室（28㎡）分区：</w:t>
            </w:r>
            <w:r>
              <w:rPr>
                <w:rFonts w:hint="eastAsia" w:ascii="宋体" w:hAnsi="宋体" w:cs="宋体"/>
                <w:bCs/>
                <w:sz w:val="20"/>
                <w:szCs w:val="20"/>
              </w:rPr>
              <w:br w:type="textWrapping"/>
            </w:r>
            <w:r>
              <w:rPr>
                <w:rFonts w:hint="eastAsia" w:ascii="宋体" w:hAnsi="宋体" w:cs="宋体"/>
                <w:bCs/>
                <w:sz w:val="20"/>
                <w:szCs w:val="20"/>
              </w:rPr>
              <w:t>　- 个体辅导区：15㎡</w:t>
            </w:r>
            <w:r>
              <w:rPr>
                <w:rFonts w:hint="eastAsia" w:ascii="宋体" w:hAnsi="宋体" w:cs="宋体"/>
                <w:bCs/>
                <w:sz w:val="20"/>
                <w:szCs w:val="20"/>
              </w:rPr>
              <w:br w:type="textWrapping"/>
            </w:r>
            <w:r>
              <w:rPr>
                <w:rFonts w:hint="eastAsia" w:ascii="宋体" w:hAnsi="宋体" w:cs="宋体"/>
                <w:bCs/>
                <w:sz w:val="20"/>
                <w:szCs w:val="20"/>
              </w:rPr>
              <w:t>　- 沙盘放松区：13㎡</w:t>
            </w:r>
            <w:r>
              <w:rPr>
                <w:rFonts w:hint="eastAsia" w:ascii="宋体" w:hAnsi="宋体" w:cs="宋体"/>
                <w:bCs/>
                <w:sz w:val="20"/>
                <w:szCs w:val="20"/>
              </w:rPr>
              <w:br w:type="textWrapping"/>
            </w:r>
            <w:r>
              <w:rPr>
                <w:rFonts w:hint="eastAsia" w:ascii="宋体" w:hAnsi="宋体" w:cs="宋体"/>
                <w:bCs/>
                <w:sz w:val="20"/>
                <w:szCs w:val="20"/>
              </w:rPr>
              <w:t>3、隔断：轻钢龙骨+12mm石膏板（双面，含隔音棉填充）</w:t>
            </w:r>
            <w:r>
              <w:rPr>
                <w:rFonts w:hint="eastAsia" w:ascii="宋体" w:hAnsi="宋体" w:cs="宋体"/>
                <w:bCs/>
                <w:sz w:val="20"/>
                <w:szCs w:val="20"/>
              </w:rPr>
              <w:br w:type="textWrapping"/>
            </w:r>
            <w:r>
              <w:rPr>
                <w:rFonts w:hint="eastAsia" w:ascii="宋体" w:hAnsi="宋体" w:cs="宋体"/>
                <w:bCs/>
                <w:sz w:val="20"/>
                <w:szCs w:val="20"/>
              </w:rPr>
              <w:t>二、墙面工程</w:t>
            </w:r>
            <w:r>
              <w:rPr>
                <w:rFonts w:hint="eastAsia" w:ascii="宋体" w:hAnsi="宋体" w:cs="宋体"/>
                <w:bCs/>
                <w:sz w:val="20"/>
                <w:szCs w:val="20"/>
              </w:rPr>
              <w:br w:type="textWrapping"/>
            </w:r>
            <w:r>
              <w:rPr>
                <w:rFonts w:hint="eastAsia" w:ascii="宋体" w:hAnsi="宋体" w:cs="宋体"/>
                <w:bCs/>
                <w:sz w:val="20"/>
                <w:szCs w:val="20"/>
              </w:rPr>
              <w:t>1、宣泄室：</w:t>
            </w:r>
            <w:r>
              <w:rPr>
                <w:rFonts w:hint="eastAsia" w:ascii="宋体" w:hAnsi="宋体" w:cs="宋体"/>
                <w:bCs/>
                <w:sz w:val="20"/>
                <w:szCs w:val="20"/>
              </w:rPr>
              <w:br w:type="textWrapping"/>
            </w:r>
            <w:r>
              <w:rPr>
                <w:rFonts w:hint="eastAsia" w:ascii="宋体" w:hAnsi="宋体" w:cs="宋体"/>
                <w:bCs/>
                <w:sz w:val="20"/>
                <w:szCs w:val="20"/>
              </w:rPr>
              <w:t>　- 防撞墙面：环保PVC软包（厚度≥20mm±2mm，耐冲击力：50J钢球1m高度冲击无裂痕。供货时提供</w:t>
            </w:r>
            <w:r>
              <w:rPr>
                <w:rFonts w:hint="eastAsia" w:ascii="宋体" w:hAnsi="宋体" w:cs="宋体"/>
                <w:bCs/>
                <w:sz w:val="20"/>
                <w:szCs w:val="20"/>
                <w:lang w:val="en-US" w:eastAsia="zh-CN"/>
              </w:rPr>
              <w:t>国家认可的检测机构出具的</w:t>
            </w:r>
            <w:r>
              <w:rPr>
                <w:rFonts w:hint="eastAsia" w:ascii="宋体" w:hAnsi="宋体" w:cs="宋体"/>
                <w:bCs/>
                <w:sz w:val="20"/>
                <w:szCs w:val="20"/>
              </w:rPr>
              <w:t>防火检测报告，符合GB 8624-2012 B1级防火）</w:t>
            </w:r>
            <w:r>
              <w:rPr>
                <w:rFonts w:hint="eastAsia" w:ascii="宋体" w:hAnsi="宋体" w:cs="宋体"/>
                <w:bCs/>
                <w:sz w:val="20"/>
                <w:szCs w:val="20"/>
              </w:rPr>
              <w:br w:type="textWrapping"/>
            </w:r>
            <w:r>
              <w:rPr>
                <w:rFonts w:hint="eastAsia" w:ascii="宋体" w:hAnsi="宋体" w:cs="宋体"/>
                <w:bCs/>
                <w:sz w:val="20"/>
                <w:szCs w:val="20"/>
              </w:rPr>
              <w:t>　- 施工范围：墙面+天花板满铺（接缝处热熔焊接，无裸露基层）</w:t>
            </w:r>
            <w:r>
              <w:rPr>
                <w:rFonts w:hint="eastAsia" w:ascii="宋体" w:hAnsi="宋体" w:cs="宋体"/>
                <w:bCs/>
                <w:sz w:val="20"/>
                <w:szCs w:val="20"/>
              </w:rPr>
              <w:br w:type="textWrapping"/>
            </w:r>
            <w:r>
              <w:rPr>
                <w:rFonts w:hint="eastAsia" w:ascii="宋体" w:hAnsi="宋体" w:cs="宋体"/>
                <w:bCs/>
                <w:sz w:val="20"/>
                <w:szCs w:val="20"/>
              </w:rPr>
              <w:t>2、其他区域：乳胶漆墙面（净味漆，一底两面）</w:t>
            </w:r>
            <w:r>
              <w:rPr>
                <w:rFonts w:hint="eastAsia" w:ascii="宋体" w:hAnsi="宋体" w:cs="宋体"/>
                <w:bCs/>
                <w:sz w:val="20"/>
                <w:szCs w:val="20"/>
              </w:rPr>
              <w:br w:type="textWrapping"/>
            </w:r>
            <w:r>
              <w:rPr>
                <w:rFonts w:hint="eastAsia" w:ascii="宋体" w:hAnsi="宋体" w:cs="宋体"/>
                <w:bCs/>
                <w:sz w:val="20"/>
                <w:szCs w:val="20"/>
              </w:rPr>
              <w:t>三、地面工程</w:t>
            </w:r>
            <w:r>
              <w:rPr>
                <w:rFonts w:hint="eastAsia" w:ascii="宋体" w:hAnsi="宋体" w:cs="宋体"/>
                <w:bCs/>
                <w:sz w:val="20"/>
                <w:szCs w:val="20"/>
              </w:rPr>
              <w:br w:type="textWrapping"/>
            </w:r>
            <w:r>
              <w:rPr>
                <w:rFonts w:hint="eastAsia" w:ascii="宋体" w:hAnsi="宋体" w:cs="宋体"/>
                <w:bCs/>
                <w:sz w:val="20"/>
                <w:szCs w:val="20"/>
              </w:rPr>
              <w:t>1、团体活动区/办公区：2.0mmPVC同质透心防滑地胶（耐磨层≥0.3mm，防滑系数R≥10）</w:t>
            </w:r>
            <w:r>
              <w:rPr>
                <w:rFonts w:hint="eastAsia" w:ascii="宋体" w:hAnsi="宋体" w:cs="宋体"/>
                <w:bCs/>
                <w:sz w:val="20"/>
                <w:szCs w:val="20"/>
              </w:rPr>
              <w:br w:type="textWrapping"/>
            </w:r>
            <w:r>
              <w:rPr>
                <w:rFonts w:hint="eastAsia" w:ascii="宋体" w:hAnsi="宋体" w:cs="宋体"/>
                <w:bCs/>
                <w:sz w:val="20"/>
                <w:szCs w:val="20"/>
              </w:rPr>
              <w:t>2、宣泄室：5.0mm橡胶宣泄地板（耐砸击，底层EPDM缓冲层）</w:t>
            </w:r>
            <w:r>
              <w:rPr>
                <w:rFonts w:hint="eastAsia" w:ascii="宋体" w:hAnsi="宋体" w:cs="宋体"/>
                <w:bCs/>
                <w:sz w:val="20"/>
                <w:szCs w:val="20"/>
              </w:rPr>
              <w:br w:type="textWrapping"/>
            </w:r>
            <w:r>
              <w:rPr>
                <w:rFonts w:hint="eastAsia" w:ascii="宋体" w:hAnsi="宋体" w:cs="宋体"/>
                <w:bCs/>
                <w:sz w:val="20"/>
                <w:szCs w:val="20"/>
              </w:rPr>
              <w:t>3、沙盘/个体区：强化复合木地板（E0级）</w:t>
            </w:r>
            <w:r>
              <w:rPr>
                <w:rFonts w:hint="eastAsia" w:ascii="宋体" w:hAnsi="宋体" w:cs="宋体"/>
                <w:bCs/>
                <w:sz w:val="20"/>
                <w:szCs w:val="20"/>
              </w:rPr>
              <w:br w:type="textWrapping"/>
            </w:r>
            <w:r>
              <w:rPr>
                <w:rFonts w:hint="eastAsia" w:ascii="宋体" w:hAnsi="宋体" w:cs="宋体"/>
                <w:bCs/>
                <w:sz w:val="20"/>
                <w:szCs w:val="20"/>
              </w:rPr>
              <w:t>四、电气与照明</w:t>
            </w:r>
            <w:r>
              <w:rPr>
                <w:rFonts w:hint="eastAsia" w:ascii="宋体" w:hAnsi="宋体" w:cs="宋体"/>
                <w:bCs/>
                <w:sz w:val="20"/>
                <w:szCs w:val="20"/>
              </w:rPr>
              <w:br w:type="textWrapping"/>
            </w:r>
            <w:r>
              <w:rPr>
                <w:rFonts w:hint="eastAsia" w:ascii="宋体" w:hAnsi="宋体" w:cs="宋体"/>
                <w:bCs/>
                <w:sz w:val="20"/>
                <w:szCs w:val="20"/>
              </w:rPr>
              <w:t>1、独立配电箱（含漏电保护）</w:t>
            </w:r>
            <w:r>
              <w:rPr>
                <w:rFonts w:hint="eastAsia" w:ascii="宋体" w:hAnsi="宋体" w:cs="宋体"/>
                <w:bCs/>
                <w:sz w:val="20"/>
                <w:szCs w:val="20"/>
              </w:rPr>
              <w:br w:type="textWrapping"/>
            </w:r>
            <w:r>
              <w:rPr>
                <w:rFonts w:hint="eastAsia" w:ascii="宋体" w:hAnsi="宋体" w:cs="宋体"/>
                <w:bCs/>
                <w:sz w:val="20"/>
                <w:szCs w:val="20"/>
              </w:rPr>
              <w:t>2、防爆筒灯×18</w:t>
            </w:r>
            <w:r>
              <w:rPr>
                <w:rFonts w:hint="eastAsia" w:ascii="宋体" w:hAnsi="宋体" w:cs="宋体"/>
                <w:bCs/>
                <w:sz w:val="20"/>
                <w:szCs w:val="20"/>
              </w:rPr>
              <w:br w:type="textWrapping"/>
            </w:r>
            <w:r>
              <w:rPr>
                <w:rFonts w:hint="eastAsia" w:ascii="宋体" w:hAnsi="宋体" w:cs="宋体"/>
                <w:bCs/>
                <w:sz w:val="20"/>
                <w:szCs w:val="20"/>
              </w:rPr>
              <w:t>3、网络端口：办公区×4、团体区×2、沙盘区×2</w:t>
            </w:r>
            <w:r>
              <w:rPr>
                <w:rFonts w:hint="eastAsia" w:ascii="宋体" w:hAnsi="宋体" w:cs="宋体"/>
                <w:bCs/>
                <w:sz w:val="20"/>
                <w:szCs w:val="20"/>
              </w:rPr>
              <w:br w:type="textWrapping"/>
            </w:r>
            <w:r>
              <w:rPr>
                <w:rFonts w:hint="eastAsia" w:ascii="宋体" w:hAnsi="宋体" w:cs="宋体"/>
                <w:bCs/>
                <w:sz w:val="20"/>
                <w:szCs w:val="20"/>
              </w:rPr>
              <w:t>4、通风系统：宣泄室独立排风</w:t>
            </w:r>
            <w:r>
              <w:rPr>
                <w:rFonts w:hint="eastAsia" w:ascii="宋体" w:hAnsi="宋体" w:cs="宋体"/>
                <w:bCs/>
                <w:sz w:val="20"/>
                <w:szCs w:val="20"/>
              </w:rPr>
              <w:br w:type="textWrapping"/>
            </w:r>
            <w:r>
              <w:rPr>
                <w:rFonts w:hint="eastAsia" w:ascii="宋体" w:hAnsi="宋体" w:cs="宋体"/>
                <w:bCs/>
                <w:sz w:val="20"/>
                <w:szCs w:val="20"/>
              </w:rPr>
              <w:t xml:space="preserve">   风机：离心式（功率≥150W，风量300m³/h）</w:t>
            </w:r>
            <w:r>
              <w:rPr>
                <w:rFonts w:hint="eastAsia" w:ascii="宋体" w:hAnsi="宋体" w:cs="宋体"/>
                <w:bCs/>
                <w:sz w:val="20"/>
                <w:szCs w:val="20"/>
              </w:rPr>
              <w:br w:type="textWrapping"/>
            </w:r>
            <w:r>
              <w:rPr>
                <w:rFonts w:hint="eastAsia" w:ascii="宋体" w:hAnsi="宋体" w:cs="宋体"/>
                <w:bCs/>
                <w:sz w:val="20"/>
                <w:szCs w:val="20"/>
              </w:rPr>
              <w:t xml:space="preserve">   噪音：≤45dB（测试标准GB/T 2888-2008）</w:t>
            </w:r>
            <w:r>
              <w:rPr>
                <w:rFonts w:hint="eastAsia" w:ascii="宋体" w:hAnsi="宋体" w:cs="宋体"/>
                <w:bCs/>
                <w:sz w:val="20"/>
                <w:szCs w:val="20"/>
              </w:rPr>
              <w:br w:type="textWrapping"/>
            </w:r>
            <w:r>
              <w:rPr>
                <w:rFonts w:hint="eastAsia" w:ascii="宋体" w:hAnsi="宋体" w:cs="宋体"/>
                <w:bCs/>
                <w:sz w:val="20"/>
                <w:szCs w:val="20"/>
              </w:rPr>
              <w:t>五、门窗与窗帘</w:t>
            </w:r>
            <w:r>
              <w:rPr>
                <w:rFonts w:hint="eastAsia" w:ascii="宋体" w:hAnsi="宋体" w:cs="宋体"/>
                <w:bCs/>
                <w:sz w:val="20"/>
                <w:szCs w:val="20"/>
              </w:rPr>
              <w:br w:type="textWrapping"/>
            </w:r>
            <w:r>
              <w:rPr>
                <w:rFonts w:hint="eastAsia" w:ascii="宋体" w:hAnsi="宋体" w:cs="宋体"/>
                <w:bCs/>
                <w:sz w:val="20"/>
                <w:szCs w:val="20"/>
              </w:rPr>
              <w:t>1、隔音门：宣泄室1樘（甲级防火门，隔音≥35dB）</w:t>
            </w:r>
            <w:r>
              <w:rPr>
                <w:rFonts w:hint="eastAsia" w:ascii="宋体" w:hAnsi="宋体" w:cs="宋体"/>
                <w:bCs/>
                <w:sz w:val="20"/>
                <w:szCs w:val="20"/>
              </w:rPr>
              <w:br w:type="textWrapping"/>
            </w:r>
            <w:r>
              <w:rPr>
                <w:rFonts w:hint="eastAsia" w:ascii="宋体" w:hAnsi="宋体" w:cs="宋体"/>
                <w:bCs/>
                <w:sz w:val="20"/>
                <w:szCs w:val="20"/>
              </w:rPr>
              <w:t>2、双层窗帘：纱帘+100%遮光布（3套）</w:t>
            </w:r>
            <w:r>
              <w:rPr>
                <w:rFonts w:hint="eastAsia" w:ascii="宋体" w:hAnsi="宋体" w:cs="宋体"/>
                <w:bCs/>
                <w:sz w:val="20"/>
                <w:szCs w:val="20"/>
              </w:rPr>
              <w:br w:type="textWrapping"/>
            </w:r>
            <w:r>
              <w:rPr>
                <w:rFonts w:hint="eastAsia" w:ascii="宋体" w:hAnsi="宋体" w:cs="宋体"/>
                <w:bCs/>
                <w:sz w:val="20"/>
                <w:szCs w:val="20"/>
              </w:rPr>
              <w:t>六、所有辅材全部包干</w:t>
            </w:r>
            <w:r>
              <w:rPr>
                <w:rFonts w:hint="eastAsia" w:ascii="宋体" w:hAnsi="宋体" w:cs="宋体"/>
                <w:bCs/>
                <w:sz w:val="20"/>
                <w:szCs w:val="20"/>
              </w:rPr>
              <w:br w:type="textWrapping"/>
            </w:r>
            <w:r>
              <w:rPr>
                <w:rFonts w:hint="eastAsia" w:ascii="宋体" w:hAnsi="宋体" w:cs="宋体"/>
                <w:bCs/>
                <w:sz w:val="20"/>
                <w:szCs w:val="20"/>
              </w:rPr>
              <w:t>七、供货时提供装修材料《环保检测报告》（GB 18580-2017甲醛释放量≤0.124mg/m³）</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72,370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9</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多媒体设备</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一、团体区：蓝牙音箱（功率≥20W，支持AUX/USB）、</w:t>
            </w:r>
            <w:r>
              <w:rPr>
                <w:rFonts w:hint="eastAsia" w:ascii="宋体" w:hAnsi="宋体" w:cs="宋体"/>
                <w:kern w:val="0"/>
                <w:sz w:val="20"/>
                <w:szCs w:val="20"/>
              </w:rPr>
              <w:t>★</w:t>
            </w:r>
            <w:r>
              <w:rPr>
                <w:rFonts w:hint="eastAsia" w:ascii="宋体" w:hAnsi="宋体" w:cs="宋体"/>
                <w:bCs/>
                <w:sz w:val="20"/>
                <w:szCs w:val="20"/>
              </w:rPr>
              <w:t>65寸教学一体机（4K触控，含壁挂架+移动支架）</w:t>
            </w:r>
            <w:r>
              <w:rPr>
                <w:rFonts w:hint="eastAsia" w:ascii="宋体" w:hAnsi="宋体" w:cs="宋体"/>
                <w:bCs/>
                <w:sz w:val="20"/>
                <w:szCs w:val="20"/>
              </w:rPr>
              <w:br w:type="textWrapping"/>
            </w:r>
            <w:r>
              <w:rPr>
                <w:rFonts w:hint="eastAsia" w:ascii="宋体" w:hAnsi="宋体" w:cs="宋体"/>
                <w:bCs/>
                <w:sz w:val="20"/>
                <w:szCs w:val="20"/>
              </w:rPr>
              <w:t>二、办公区：</w:t>
            </w:r>
            <w:r>
              <w:rPr>
                <w:rFonts w:hint="eastAsia" w:ascii="宋体" w:hAnsi="宋体" w:cs="宋体"/>
                <w:kern w:val="0"/>
                <w:sz w:val="20"/>
                <w:szCs w:val="20"/>
              </w:rPr>
              <w:t>★</w:t>
            </w:r>
            <w:r>
              <w:rPr>
                <w:rFonts w:hint="eastAsia" w:ascii="宋体" w:hAnsi="宋体" w:cs="宋体"/>
                <w:bCs/>
                <w:sz w:val="20"/>
                <w:szCs w:val="20"/>
              </w:rPr>
              <w:t>激光打印机（打印速度≥22ppm，分辨率1200×1200dpi）</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套</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13,500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安装调试</w:t>
            </w:r>
          </w:p>
        </w:tc>
        <w:tc>
          <w:tcPr>
            <w:tcW w:w="3416" w:type="pct"/>
            <w:vAlign w:val="center"/>
          </w:tcPr>
          <w:p>
            <w:pPr>
              <w:spacing w:line="400" w:lineRule="exact"/>
              <w:jc w:val="left"/>
              <w:rPr>
                <w:rFonts w:ascii="宋体" w:hAnsi="宋体" w:cs="宋体"/>
                <w:bCs/>
                <w:sz w:val="20"/>
                <w:szCs w:val="20"/>
              </w:rPr>
            </w:pPr>
            <w:r>
              <w:rPr>
                <w:rFonts w:hint="eastAsia" w:ascii="宋体" w:hAnsi="宋体" w:cs="宋体"/>
                <w:bCs/>
                <w:sz w:val="20"/>
                <w:szCs w:val="20"/>
              </w:rPr>
              <w:t>设备安装+系统培训</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85" w:hRule="atLeast"/>
        </w:trPr>
        <w:tc>
          <w:tcPr>
            <w:tcW w:w="271"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11</w:t>
            </w:r>
          </w:p>
        </w:tc>
        <w:tc>
          <w:tcPr>
            <w:tcW w:w="272"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其他不可预见费</w:t>
            </w:r>
          </w:p>
        </w:tc>
        <w:tc>
          <w:tcPr>
            <w:tcW w:w="3416" w:type="pct"/>
            <w:vAlign w:val="center"/>
          </w:tcPr>
          <w:p>
            <w:pPr>
              <w:spacing w:line="400" w:lineRule="exact"/>
              <w:jc w:val="left"/>
              <w:rPr>
                <w:rFonts w:ascii="宋体" w:hAnsi="宋体" w:cs="宋体"/>
                <w:bCs/>
                <w:sz w:val="20"/>
                <w:szCs w:val="20"/>
              </w:rPr>
            </w:pP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项</w:t>
            </w:r>
          </w:p>
        </w:tc>
        <w:tc>
          <w:tcPr>
            <w:tcW w:w="197"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c>
          <w:tcPr>
            <w:tcW w:w="324" w:type="pct"/>
            <w:vAlign w:val="center"/>
          </w:tcPr>
          <w:p>
            <w:pPr>
              <w:spacing w:line="400" w:lineRule="exact"/>
              <w:jc w:val="center"/>
              <w:rPr>
                <w:rFonts w:ascii="宋体" w:hAnsi="宋体" w:cs="宋体"/>
                <w:bCs/>
                <w:sz w:val="20"/>
                <w:szCs w:val="20"/>
              </w:rPr>
            </w:pPr>
            <w:r>
              <w:rPr>
                <w:rFonts w:hint="eastAsia" w:ascii="宋体" w:hAnsi="宋体" w:cs="宋体"/>
                <w:bCs/>
                <w:sz w:val="20"/>
                <w:szCs w:val="20"/>
              </w:rPr>
              <w:t>10,000</w:t>
            </w:r>
          </w:p>
        </w:tc>
      </w:tr>
    </w:tbl>
    <w:p>
      <w:pPr>
        <w:rPr>
          <w:b/>
          <w:bCs/>
          <w:sz w:val="28"/>
          <w:szCs w:val="28"/>
        </w:rPr>
      </w:pPr>
      <w:r>
        <w:rPr>
          <w:rFonts w:hint="eastAsia"/>
          <w:b/>
          <w:bCs/>
          <w:sz w:val="28"/>
          <w:szCs w:val="28"/>
        </w:rPr>
        <w:t>五、精品录播室</w:t>
      </w:r>
    </w:p>
    <w:tbl>
      <w:tblPr>
        <w:tblStyle w:val="2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
        <w:gridCol w:w="582"/>
        <w:gridCol w:w="5653"/>
        <w:gridCol w:w="434"/>
        <w:gridCol w:w="580"/>
        <w:gridCol w:w="1014"/>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项号</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货物名称</w:t>
            </w:r>
          </w:p>
        </w:tc>
        <w:tc>
          <w:tcPr>
            <w:tcW w:w="2837"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技术参数</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单位</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数量</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单价（元）</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合价（元）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一、教室设备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智慧黑板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一、智慧黑板整体设计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（一）黑板拼接设计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全金属外壳，三拼接平面一体化设计，屏幕边缘采用金属圆角包边防护，整机背板采用金属材质。无推拉式结构，外部无任何可见内部功能模块连接线。主副屏过渡平滑并在同一平面，中间无单独边框阻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体外观尺寸：宽≥4200mm，高≥1200mm，厚≤95mm。整机采用三拼接平面一体化设计，无推拉式结构及外露连接线，外观简洁。整机屏幕边缘采用金属圆角包边防护，整机背板采用金属材质，有效屏蔽内部电路器件辐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3.主屏支持普通粉笔直接书写。整机两侧副屏可支持以下普通粉笔、液体粉笔、成膜笔进行板书书写。钢化玻璃表面硬度≥9H。</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4.整机设备副屏支持磁吸附功能，可以满足带有磁吸的板擦等教具进行吸附在副屏上。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5.接口设计：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（1）侧置输入接口具备≥2路HDMI、≥1路RS232、≥1路USB接口；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（2）侧置输出接口具备≥1路音频输出、≥1路触控USB输出；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（3）前置输入接口包含≥1路Type-C、≥2路USB。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▲6.整机表面覆盖玻璃选用国标优等品，光学变形、点状缺陷、尺寸偏差、弯曲度、透射比等均符合GB 11614-2022平板玻璃标准。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7.整机书写面板采用防眩光全钢化防爆玻璃面板，面板的碎片状态、抗冲击性、霰弹袋冲击性能、耐热冲击性能均通过国家强制玻璃标准，表面应力≥100Mpa，适应学校复杂环境，保障教学安全。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8.机身具备防盐雾锈蚀特性。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9.整机具备抗振动、防跌落特性，保证整机运输或使用过程中不易受损。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10.整机在0℃—40℃环境下可正常工作，在-20℃—60℃的环境下可正常贮存且贮存后功能无损。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（二）屏显和护眼设计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▲1.整机屏幕采用≥86英寸UHD超高清LED液晶屏，显示比例16:9，屏幕图像分辨率≥3840*2160。灰阶等级≥256级。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2.纸质护眼模式下，显示画面各像素点灰度不规则，减少背景干扰。（供货时提供国家认可的检测机构出具的检测报告）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3.整机支持色彩空间可选，包含标准模式和sRGB模式，在sRGB模式下可做到高色准△E≤1.5。（供货时提供国家认可的检测机构出具的检测报告）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4.整机采用硬件低蓝光背光技术，在源头减少有害蓝光波段能量，蓝光占比（有害蓝光415～455nm能量综合）/（整体蓝光400～500能量综合）＜50%，低蓝光保护显示不偏色、不泛黄。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5.支持标准、多媒体和节能三种图像模式调节。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6.支持可自定义图像设置，可对对比度、屏幕色温、图像亮度、亮度范围、色彩空间进行更进一步调节设置。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7.整机视网膜蓝光危害（蓝光加权辐射亮度LB）满足IEC TR 62778:2014蓝光危害RG0级别。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支持纸质护眼模式，可以在任意通道任意画面任意软件所有显示内容下实现画面纹理的实时调整；支持纸质纹理：牛皮纸、素描纸、宣纸、水彩纸、水纹纸；支持透明度调节；支持色温调节。（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二、OPS电脑模块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▲（一）核心配置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1.CPU要求：≥8核心、≥12线程，≥2.0Ghz主频。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2.内存：≥16GB DDR4内存或以上配置。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3.硬盘：≥512GB或以上SSD固态硬盘。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（二）电脑结构配置</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1.电脑模块可抽拉式插入整机，可实现无单独接线的插拔。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2.和整机的连接采用万兆级接口，传输速率≥10Gbps。</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3.为保证便捷维护，采用按压式卡扣，无需工具就可快速拆卸电脑模块。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4.电脑模块支持不断电情况下热插拔，以便快速维护或替换模块。</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5.具有独立非外扩展的视频输出接口：≥1路HDMI 。≥3路USB。具有标准电脑模块防盗锁孔。</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三、智慧板书记忆功能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1.支持单侧彩色笔触控丝印按键自定义功能：多色笔、分享、加页。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2.整机支持通过点击侧边黑板物理丝印，启动板书软件。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3.整机支持通过副屏按键进行设定笔的颜色和粗细，彩色笔颜色支持红、黄、蓝等10种以上。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整机支持通过黑板物理丝印按钮一键切换为彩色笔，一键切换为白色笔，切换后主屏板书软件的笔迹颜色随之改变；方便教师停留在黑板前就可以在白笔和彩色笔之间切换颜色，勾画重点教学内容，且保证教师板书电子化的还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5.整机支持记忆板书悬浮窗口，支持此窗口在桌面上任意位置的拖动，副屏板书书写同时，浮窗内同步显示书写轨迹。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6.整机支持记忆板书悬浮窗口状态提示：板书记录中、自动保存成功。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7.整机记忆板书悬浮窗口支持：收起、最大化、关闭窗口、保存、设置、账号登录。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8.整机板书软件支持开启、退出副屏电子化板书记录功能，支持记录倒计时提示、停止记录功能。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9.整机支持副屏书写的板书在主屏板书软件中进行同步展示并且支持使用手掌、板擦擦除并在主屏板书软件中同步显示。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10.整机板书软件支持在设备一侧，同时进行粉笔书写和板擦擦除并在主屏同步显示。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11.整机支持在左右两侧黑板同时吸附板擦、图钉、三角尺（直角边为57cm、斜边为65cm、厚1cm，或两个直角边均为 40cm、厚1cm 的三角尺）教具后，该两侧黑板吸附物半径10cm范围进行上下左右书写、擦除内容可在主屏同步显示，不会出现书写断线、无触控；同时进行主屏及两侧黑板书写、擦除同步操作时，板书记录同步显示正常。</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12.整机支持左右两侧黑板同时进行书写，且支持同时进行一侧擦除、另一侧书写。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13.整机支持板书软件将已经书写的板书笔迹进行：选择、拖动、缩放、置顶、删除、复制、颜色更换。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14.整机设备只用一路电源进行供电，即可支持主、副屏的电子功能，无需针对副屏电子化功能再增加电源进行单独供电。</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15.整机板书记录功能，支持副屏黑板与主屏同步显示，支持加页，清除单页板书内容。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16.整机支持副屏左右两侧板书内容在主屏上进行左右对调，教室一侧的学生查看对侧黑板的板书。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17.整机支持左右两侧副屏分别进行10点书写触控，并在主屏上以电子化形式同步显示。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18.整机支持在课件播放后，自动开始记录副屏黑板内容，无需用户手动点击记录功能。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19.整机支持将副屏书写轨迹进行部分选中，选中的内容可以插入到授课课件中，方便老师结合课件和板书笔迹一起进行讲解。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20.整机支持左右两侧记录内容，生成图片并保存。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21.整机板书电子化保存方式：支持手动存储，支持自动存储。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22.整机板书电子化保存路径：支持本地保存以及用户云空间保存。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23.整机支持黑屏记录模式，可以实现副屏板书与主屏板书内容均以电子化同时保存，在两侧黑板和主屏均可以使用粉笔书写，主屏粉笔书写时，不因主屏显示效果影响学生查看粉笔板书。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24.黑板板书图片可通过二维码进行分享，用户只需用手机扫描二维码即可在手机端获取图片。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四、整机整体功能设计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1.三合一电源按键，同一电源物理按键完成Android系统和Windows系统的开机、节能熄屏、关机操作；关机状态下按按键开机；开机状态下按按键实现节能熄屏/唤醒，长按按键实现关机。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▲2.整机具备至少6个前置按键，可实现老师开关机、调出中控菜单、音量+/-、护眼、录屏操作。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▲3.支持经典护眼模式，可通过前置面板物理功能按键一键启用经典护眼模式。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▲4.设备支持通过前置面板物理按键一键启动录屏功能，可将屏幕中显示的课件、音频内容与人声同时录制。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设备支持自定义前置设置按键，可通过自定义设置实现前置面板功能按键一键启用任一全局小工具（批注、截屏、计时、降半屏、放大镜、倒数日、日历）、快捷开关（节能模式、纸质护眼模式、经典护眼模式、自动亮度模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6.整机支持传屏，无线传屏发射器与整机匹配后即可实现传屏功能，将外部电脑的屏幕画面通过无线方式传输到整机上显示。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7.整机无需外接无线网卡，在Windows系统下可实现Wi-Fi无线上网连接、AP无线热点发射和BT蓝牙连接功能。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8.Wi-Fi和AP热点工作距离≥12m。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9.整机支持搭配具有NFC功能的手机、平板，通过接触整机设备上的NFC标签，即可实现手机、平板与大屏的连接并同步手机、平板的画面到设备上，无需其他操作设置，支持不少于4台手机、平板同时连接并显示。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10.整机内置摄像头（非外扩），电脑模块通道下支持通过视频展台软件调用摄像头进行二维码扫码识别。</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11.具备摄像头工作指示灯，摄像头运行时，有指示灯提示。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▲12.整机内置非独立摄像头，拍摄照片像素数≥1300万。</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13.摄像头视场角≥135度。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内置非独立的高清摄像头，可用于远程巡课，拍摄范围可以涵盖整机距离摄像头垂直法线左右水平距离各大于等于4米，左右最边缘深度大于等于2.3米范围内，并且可以AI识别人像。（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15.整机摄像头支持大于等于10米距离时实现AI识别人像。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▲16.整机摄像头支持人脸识别、快速点人数、随机抽人；识别所有学生，显示标记，然后随机抽选，同时显示标记不少于60人。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17.整机支持通过人脸识别进行解锁设备以及人脸识别进行登录账号。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18.整机摄像头支持环境色温判断，根据环境调节合适的显示图像效果。（供货时提供国家认可的检测机构出具的检测报告）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19.整机具备前置Type-C接口，通过Type-C接口实现音视频输入，外接电脑设备经双头Type-C线连接至整机，即可把外接电脑设备画面投到整机上，同时在整机上操作画面，可实现触摸电脑的操作，无需再连接触控USB线。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20.外接电脑设备经双头Type-C线连接至整机，可调用整机内置的摄像头、麦克风、扬声器，在外接电脑即可控制整机拍摄教室画面。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21.前置Type-C接口，支持通过不带转换转置的外部线缆，实现外接电脑HDMI信号的接入显示。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▲22.整机内置2.2声道扬声器，位于设备上边框，顶置朝前发声，前朝向10W高音扬声器2个，上朝向20W中低音扬声器2个，额定总功率60W，支持Dolby Audio/DTS HD。</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23.整机支持高级音效设置，可以调节左右声道平衡；在中低频段125Hz～1KHz，高频段2KHz～16KHz，分别有-12dB～12dB范围的调节功能。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24.整机内置非独立外扩展的4阵列麦克风，可用于对教室环境音频进行采集，拾音距离≥12m。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25.整机内置扬声器采用缝隙发声技术，喇叭采用槽式开口设计，不大于5.8mm。</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26.整机扬声器在100%音量下，可做到1米处声压级≥88db，10米处声压级≥73dB。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27.内置摄像头、麦克风无需外接线材连接，无任何可见外接线材及模块化拼接痕迹，未占用整机设备端口。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28.支持标准、听力、观影三种音效模式调节。</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29.整机设备开机启动后，自动进入教学桌面，支持账号登录、退出，自动获取个人云端教学课件列表、并可进入校本资源库。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30.设备支持多种身份识别方式，支持通过账号登录、手机扫码登录，并支持账号安全登录检测。</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31.支持统一互通的用户身份认证服务，账号登录后，打开教学白板软件、学生行为评价软件的教学应用工具时无需再次输入账号密码重复登录。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32.教学桌面支持教学常用的教学白板软件、文件管理软件、学生行为评价软件、随机抽选软件，以便于快速开启授课；并提供快速进入本机所有应用的入口，满足不同教师授课需要。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33.整机设备教学桌面的教师登录账号后，可自动获取并在桌面显示最近使用的教学课件，点击任意课件可直接进入授课模式；并支持查看所有个人教学课件资源。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34.整机设备教学桌面中的文件管理，支持同时显示本地磁盘、移动类存储设备、学校资源库、教师个人云空间的文件资源。</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35.整机支持在设备上获取并自动识别教室内所有人员，通过随机算法抽选1人。</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五、嵌入式系统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▲1.嵌入式系统版本不低于Android 13，内存≥2GB，存储空间≥8GB。</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2.无电脑模块状态下，嵌入式Android操作系统下可实现windows系统中常用的教学应用功能，支持云端在线系统固件升级。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3.在嵌入式Android操作系统下，能对TV多媒体USB所读取到的文件进行自动归类，可分类查找文档、板书、图片、音视频，检索后可直接在界面中打开。</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4.嵌入式Android操作系统下，白板支持对已经书写的笔迹和形状的颜色进行更换。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5.在嵌入式系统下使用白板软件时，整机可根据用户书写操作智能调节屏幕亮度。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6.嵌入式Android操作系统下，互动白板支持不同背景颜色，同时提供学科背景，如：五线谱、信纸、田字格、英文格、篮球和足球场地平面图。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无电脑模块状态下，嵌入式系统内置互动白板支持十笔书写及手掌擦除（手掌擦除面积根据手掌与屏幕的接触面大小自动调整），白板书写内容可以PDF、IWB和SVG格式导出。支持10种以上平面图形工具。支持8种以上立体图形工具。（供货时提供国家认可的检测机构出具的检测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8.无电脑模块状态下，嵌入式系统内置互动白板支持全局漫游，并能在工具栏中对全局内容进行预览和移动。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9.无电脑模块状态下，嵌入式Android操作系统下可实现windows系统中常用的教学应用功能，如白板书写、WPS软件使用和网页浏览。</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六、侧边栏快捷菜单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1.整机内置全通道侧边栏快捷菜单，实时显示天气情况、日期、小工具、快捷设置、应用软件、亮度/音量调节、教室物联入口，在任意显示通道下均可通过侧边栏一键进入该触摸菜单。</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2.侧边栏快捷菜单包含如下小工具：批注、截屏、计时、降半屏、放大镜、日历（在Android及其他非电脑模块通道时，还具备答题、倒数日、节拍器小工具）。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3.全通道侧边栏快捷菜单中可以随时调起切换智能息屏、经典护眼模式、纸质护眼模式、自动亮度模式，并可支持快捷调节音量、亮度。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4.全通道侧边栏快捷菜单中应用软件可以进行实时切换并打开，无需在已经开启任意应用软件全屏模式下退出当前应用再选择更换。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5.全通道侧边栏快捷菜单中可以实时查看物联设备的连接情况，点击任意一台设备图标即可调出中控菜单进行管控。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6.全通道侧边栏支持在任意通道、页面使用批注小工具进行批注讲解，可切换书写笔颜色、截屏保存批注内容、快速清屏，可根据手与屏幕的接触面积自动调整板擦工具的大小。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7.整机全通道侧边栏支持自行选择所需截取屏幕范围，点击截屏即可成功截取屏幕，并自动保存。</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8.全通道侧边栏提供秒表正计时，点击开始计时便自动开始，并实时显示时间；支持倒计时，输入某特定时间值，可精确到秒，点击开始即进入倒计时。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9.全通道侧边栏支持快速将设备屏幕降低为半屏幕状态，点击上半屏幕可以快速返回全屏状态。</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10.全通道侧边栏支持放大任意区域内容；并可支持对未选中区域关灯处理，实现聚光灯效果。</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11.整机安卓和全部外接通道（HDMI、type-c）下侧边栏支持设置任意倒数日。</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12.整机全通道侧边栏支持打开日历，快速查看日期。</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13.整机安卓和全部外接通道（HDMI、Type-c）下侧边栏支持通过扫描二维码加入班级，老师设置题型，学生回答后提交，教师查看正确率比例及详细讲解；支持随机抽选、实时弹幕；支持管理当前班级成员；支持导出学生报告。</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14.整机全通道侧边栏支持在音乐课，学生跟随节拍器打节奏；支持设置节拍、轻重、节拍播放速度。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七、互动白板软件：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（一）课堂互动功能</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判断题竞赛游戏：支持创建判断题竞赛游戏，教师可设置正确项／干扰项，让两组学生进行判断对错游戏竞争。提供多种预设游戏背景模板，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互动分类游戏：支持创建互动分类游戏，可自定义不同类别及相对应对象，将不同对象拖拽到对应类别容器中系统自动辨识分类，分类正误均有相应提示；竞争模式下可记录不同操作者的动作和用时并自动排名。类别和对象的样式、数量均支持自定义修改。系统需提供不少于10种游戏模板，直接选择并输入相应内容即可轻松生成互动分类游戏，提升课堂趣味性。</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智能选词填空：支持创建智能选词填空游戏，填空选项支持并列选项，并列选项支持答案互换，教师可随意编辑填空题题干以及相应的答案选项，将选项拖到对应题干空白处，系统自动判断答案正误，系统需提供不少于10种游戏模板，且模板样式支持自定义修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智能配对游戏：支持创建配对游戏，教师可随意将知识点进行配对。当开始配对游戏时，拖动知识点进行配对，系统将自动判断是否正确。系统至少提供10种游戏模板，且模板样式支持自定义修改，同时支持设置干扰项。</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分组竞争游戏：支持创建分组竞争游戏，教师可设置正确项／干扰项，让两组学生开展竞争游戏。提供不少于3种难度、10种游戏模板供选择，且模板样式支持自定义修改。支持记录和展示学生作答结果，便于课堂知识点对比讲解。</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6.课堂互动游戏支持云储存，编辑完成的活动可一键存储至教师云空间，便于在不同课件中直接调用，无需反复编辑。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（二）学科工具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1.语文工具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提供覆盖各学段的古诗词、古文教学资源：包含原文、翻译、背景介绍、作者介绍、朗诵音频。内嵌诗词百科链接，一键跳转展示诗词及作者详细背景介绍；全部古诗词资源按照年级学段、朝代、诗人进行精细分类，教师仅需点击分类关键词即可快速跳转至对应诗词资源，无需输入诗词名称即可快速检索，支持教师直接搜索诗词、古文名称或作者名称进行查找；支持教师自由添加古诗词教学资源，教师可使用模板三步创建古诗词内容和翻译自主创建的古诗词，并自动保存至云端供教学复用。备课时可对原文进行注释、标重点等操作；提供原文朗读音频，全部诗词、古文均配备专业朗读配音，朗读音频支持关键帧打点标记。</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（1）立体几何工具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①可自由绘制长方体、立方体、圆柱体、圆锥等立体几何图形。任意调节几何体的大小尺寸，支持几何图形按比例放大缩小和通过单独调整长宽高（半径/高）改变几何体大小。</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支持为长方体、圆柱体、圆锥等几何体的各面、棱分别填涂颜色，并且可通过360°旋转观察涂色面与未涂色面；几何体支持平面展开，预置长方体、立方体141、132、222、33型展开方式，展开后可对涂色面进行查看，有助于学生的空间想象。</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③具备几何体智能吸附功能：同类几何体相互靠近时，可智能识别吸附。</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（2）数学画板工具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支持课件中插入在线数学画板，授课时一键打开使用。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提供不少于500个数学画板资源，按照小学、初中、高中学段数学学科主要知识点分类，便于教师查找使用。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③ 内置画板课件展示生动直观，可动态展示平面几何的变化：如小学几何四边形，可动态演示四边形的不同形态间的变化；中学函数的平方差公式讲解，可将平方差公式通过图形具象展示其计算原理。</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提供个人画板供教师自由创作，具备点、线、面等基础元素和线段中点、椭圆焦点、极坐标方程等数十种数学常用工具。创建后可一键将画板无缝嵌入课件。</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函数公式：支持中英文、数学公式的编辑输入，可快速输入方程组、脱式运算，提供总数不少于60个数学符号及模板；预置不少于20个常用数学公式，无需编辑一键插入，输入内容可用不同颜色标记及重复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数学函数图像：可快速生成包含一次函数、二次函数、幂函数、指数函数、对数函数、三角函数等图像，也可自定义输入函数表达式生成图像；在同一坐标轴上支持同时绘制6个及以上函数表达式，可显示函数与函数图像彼此相交、函数与坐标轴相交的交点坐标。可缩放函数图像与坐标轴，可显示坐标网格，函数图生成后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平面几何工具：可自由绘制线条、线段及射线；可自由绘制任意边数及角度的图形，自动显示内角角度，支持编辑内角角度对图形进行精细调整；可自由绘制扇形及圆形，并显示圆心角、圆周角角度；可自由标注几何图形的顶点字母，支持大小写字母输入，便于授课讲解。提供具有智能吸附的辅助线工具，教师可快速自由绘制所需辅助线。</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（6）尺规工具：提供直尺、三角板、量角器及圆规工具，尺工具支持旋转、伸缩，可实时显示绘制线条长度；圆规工具可更换笔触颜色，模拟真实圆规作图。</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3.英语工具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（1）AI智能纠错：软件内置的AI智能语义分析模块，可对输入的英文文本的拼写、句型、语法进行错误检查，并支持一键纠错。</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且提供不少于6种详解页背景模板供选择。</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（3）四线三格：配置英语学科四线三格，可直接键入人教版英语辅助教材配套的手写字体。</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（4）听写：配置英语学科听写工具，覆盖小初高不少于8000个英语单词，支持自定义选择单词。自定义听写频率和次数，一键生成听写卡；授课模式支持一键开启听写朗读。</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4.地理工具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（1）书写工具具备地图图示（如铁路、城墙、山峰、港口、机场等）笔迹，可直接进行图示标注。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提供三维立体星球模型，内含太阳系全览模型、行星模型、卫星模型，支持360°自由旋转、缩放。太阳系全览模型、行星、卫星使用模型嵌套设计，无需切换界面，可从太阳系逐层定位至卫星；提供丰富的地理教学图集，可查看行星的详细数据信息（包括名称、赤道直径、质量、自转周期、日心轨道周期、表面重力、温度等）和内部结构信息（地壳、地幔、外核、内核等），支持地球模型直接进行平面/立体转换，清晰展现地球表面的六大板块、降水分布、气温分布、气候分布、人口分布、表层洋流、陆地自然带、海平面等压线等内容，方便教学。</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5.化学工具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（1）化学方程式编辑器：提供化学方程式快速编辑工具，当输入一个化学元素时，软件界面将自动显示出和该元素相关的多个常用化学反应方程式，可直接选择使用。插入后的化学方程式可重新编辑。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（2）化学视频：</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① 支持课件中插入在线化学视频，授课时一键打开使用。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② 提供不少于300个化学视频资源，按照初中、高中学段数学学科主要知识点分类，便于教师查找使用。</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④ 视频内提供多种清晰度播放选择以适配教室网络环境，教师可切换播放速度的快慢。</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6.美术工具</w:t>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（1）内置专用美术画板工具，提供铅笔、毛笔、油画笔等笔触，具备符合绘画调色教学需求的模拟调色盘，可选择不同颜色混合调色，便于学生理解调色合成过程。</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视频展台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1.铝合金外壳，无锐角无利边设计，塑胶包裹，有效防止师生碰伤、划伤。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2.内置机箱锁，壁挂式安装，防盗防破坏。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3.采用三折叠开合式托板，展开后托板尺寸≥A4面积，收起时小巧不占空间，高效利用挂墙面积。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4.采用USB3.0高速接口，单根USB线实现供电、高清数据传输需求。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5.采用800W像素自动对焦摄像头，可拍摄A4画幅。</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6.解析度：中间1600线，四周1400线。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7.展台按键采用电容式触摸按键，可实现一键启动展台画面、画面放大、画面缩小、画面旋转、拍照截图等功能，同时也支持在一体机或电脑上进行同样的操作。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8.整机自带均光罩LED补光灯，光线不足时可进行亮度补充，亮度均匀。</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9.支持对展台实时画面进行放大、缩小、旋转、自适应、冻结画面等操作。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10.支持展台画面实时批注，预设多种笔划粗细及颜色供选择，且支持对展台画面连同批注内容进行同步缩放、移动。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11.支持展台画面拍照截图并进行多图预览，可对任一图片进行全屏显示。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12.可选择图像、文本或动态等多种情景模式，适应不同展示内容。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13.具备图像增强功能，可自动裁剪背景并增强文字显示，使文档画面更清晰。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 分辨率≥3840×2160。</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2.输出额定功率≥ 2x15W。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3.音箱灵敏度≥85dB，1W/1M。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4.信噪比≥80dB@额定功率、A计权。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5.全频喇叭单元尺寸≥5英寸。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6.THD+N≤1%。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7.声频响110Hz-16kHz。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8.距离音箱10米处声压级≥75dB。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9.具备≥1路电源开关、1路LINE IN、1路USB 接口。USB接口可外接U盘设备对音箱固件进行升级。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▲10.支持无线麦克风扩音接收，采用Wi-Fi射频2.4GHz与 5GHz双频段传输，有效避免环境中运营商U段（700MHz）的信号干扰。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11.采用红外对码方式，避免连接到其他教室音箱。可快速完成与教学扩声麦克风对码，无需繁琐操作。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13.支持蓝牙无线接收，可分享移动设备上的音频。支持密码模式，防止学生连接。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14.支持安卓手机通过蓝牙无线连接音箱，实现控制有源音箱的音量、设置蓝牙名称、设置蓝牙密码等功能，方便教师对音箱的管控。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15.支持交互智能平板显示设备通过蓝牙无线连接音箱，实现控制有源音箱的音量的功能。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16.主音箱与副音箱采用有线连接，音箱采用木质材质，保证声音还原度。</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无线麦克风</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1.无线麦克风集音频发射处理器、天线、电池、拾音麦克风于一体，配合一体化有源音箱，无需任何外接辅助设备即可实现本地扩声功能。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2.采样率≥48KHz，16bit；扩音增益≥15dB；声频响150Hz-16kHz，声信噪比≥60dB；配合一体化有源音箱，扩音延时≤35ms。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3.用Wi-Fi射频频段传输，有效避免环境中运营商U段（700MHz）信号干扰。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4.支持2.4GHz与5GHz双频段工作，信道数量≥26个。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5.电续航时间≥7小时，满电状态可满足一天内10节课（45分钟/一节课）的高频授课，充电10分钟满足一节课（45分钟/一节课）授课时间。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6.采用红外对码方式连接，避免连接到其他教室音箱。可在5S内快速完成与教学扩声音箱对码。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7.支持两个无线麦克风同时配对一套一体化有源音箱使用，实现两个麦克风混音输出进行扩音。具备3.5mm外置麦克风接口，可搭配其他麦克风进行使用，比如头戴式、挂耳式的外置麦克风。</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8.空旷无干扰的环境，无线传输有效距离≥15 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9.外壳防火等级≥V1。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 需保证无线麦克风与一体化有源音箱的兼容性及稳定性。</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智能笔</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1、笔身造型采用圆润一体化笔型设计，表面采用手感漆工艺便于握持；笔身长度≤17cm,笔身直径≤13mm，笔身重量≤18g；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2、笔身配置不少于五个按键，具备上下翻页，智能语音，远程聚光灯/放大，书写颜色切换，兼顾触摸书写以及远程操控的握持姿态；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3、采用锥型笔尖设计，直径≤3mm；同时支持电容，红外触控设备书写，书写最小精度2mm；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4、支持唤醒语音识别时，可直接通过语音打开已安装的应用，可直接通过语音调用网络搜索引擎搜索查询相应资料，可进行语音转写输入，支持语音控制系统操作、音量大小调整、返回桌面、截屏、关机等操作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5、支持按键调起批注功能，可通过按键实现批注颜色切换，长按按键可实现橡皮擦功能；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6、内置锂电池，支持type-c充电，待机时间≥60h,连续书写时间≥8h，从无电到满电的充电时长≤1小时；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7、无线dongle&amp;蓝牙连接距离≥12m，上下翻页/语音控制/远程批注实现距离≥12m，覆盖标准教室。</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集中控制管理软件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1、后台控制端采用B/S架构设计，可在Windows、Linux、Android、IOS等多种不同的操作系统上通过网页浏览器登录进行操作，可控制在局域网或互联网内的一体机终端设备。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教室受控端：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2、使用校园集控系统的每个学校/区域拥有专属代码，该学校/区域的一体机设备只需接入互联网，并在受控端输入该代码进行连接，管理员即可在后台对设备进行远程管理。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3、可在一体机桌面查看设备基本信息，如：尺寸、分辨率、系统、CPU、安卓版本等信息，方便授课老师管理设备。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4、支持按照一体机安装的年级、班级，设置教室受控端的名称，方便管理员对应管理。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校园控制：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5、远程监控：在控制端网页可实时监控已连接的一体机，可远程查看开关机状态、使用状态评估、整机温度、以及系统内存、硬盘空间等设备信息。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6、远程设备控制：在控制端网页可对已连接的一体机进行实时控制，包括开关机、切换通道、更改图像及声音模式、锁屏等功能。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锁定时段控制：控制端可远程设置设备锁屏时间段，如“周一至周五中午12点至14点锁屏”，在锁屏时间段内，设备功能按键及触摸均无法使用，方便管理员保证一体机在非正常使用时间段内，不被无关人员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8、远程桌面控制：在控制端网页可实时查看已连接并处于开机状态下的一体机桌面，同时可在控制端远程操作桌面内容。</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9、信息发布：可远程对选定的一体机即时发布走马灯文字信息和屏幕常驻信息，可设置播放次数。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10、倒计时日历：控制端可远程设置倒计时事件，并设定时间开始倒计时，提供便捷有效的信息提醒工具。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11、操作反馈：远程控制及信息发布操作均可获得实时反馈，方便用户及时获取操作情况。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12、文件推送：支持老师远程推送音频、视频等文件到受控端，方便用户快速发布文件。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13、数据统计：控制端可根据设备使用情况，生成多个数据报表，包括开机次数、使用人数累计、活跃人数、软件使用次数、学科使用率等，方便管理员检查设备使用情况。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14、管理员分组：系统可将管理权限分配给多个管理员，共同管理受控范围内设备；顶级管理员可查看普通管理员进行的操作，并可对普通管理员进行权限管理，根据不同管理员职责开放适当权限。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15、分组管理：顶级管理员可按照年级、楼层等，将一体机控制、监控等权限分配给对应的普通管理员，进行分组管理。</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区域控制：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16、支持区域集控功能：可实现本区域跨校跨网段远程数据管理，系统自动生成各学校对应的专属代码，各校一体机接入互联网输入对应代码，即可自动完成与区级数据平台的对接，实现数据的远程搜集和分析，以便了解一体机设备整体的使用情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17、整体数据汇总分析：区域数据平台可自动汇总各学校入网一体机的使用数据，对各学校总体数据进行横向对比，并输出数据图表，提供多维度包括各学校使用活跃度总体排行、一体机使用总时长、各类软件使用总体分布情况等在内的各学校整体运行数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18、区域设备管理：区域控制端可实时监控区域内已连接的一体机开关机状态，并可实时同步查看其桌面画面。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19、一体机在内置电脑或外置电脑模式下都可实现集控功能。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4"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教学讲台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1.智能讲台结构：木结构部分均采用E0级木质板材结构，甲醛释放量≤0.05mg/m</w:t>
            </w:r>
            <w:r>
              <w:rPr>
                <w:rFonts w:cs="Calibri" w:asciiTheme="minorEastAsia" w:hAnsiTheme="minorEastAsia" w:eastAsiaTheme="minorEastAsia"/>
                <w:bCs/>
                <w:sz w:val="22"/>
                <w:szCs w:val="22"/>
              </w:rPr>
              <w:t>³</w:t>
            </w:r>
            <w:r>
              <w:rPr>
                <w:rFonts w:hint="eastAsia" w:cs="仿宋_GB2312" w:asciiTheme="minorEastAsia" w:hAnsiTheme="minorEastAsia" w:eastAsiaTheme="minorEastAsia"/>
                <w:bCs/>
                <w:sz w:val="22"/>
                <w:szCs w:val="22"/>
              </w:rPr>
              <w:t>，桌面防静电。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2.智能讲台底座尺寸及外观：（长×宽×高）≥ 1100×550×1030 ±5mm，讲台三面环抱式设计，根据人体力学设计，讲台桌面高度合适老师放置教学用品，讲台产品外观桌面平整，悬浮式设计，边缘光滑，无棱角处理，保护师生安全。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3.智能讲台底座提供大容量收纳空间，可供老师放置无线麦克风、粉笔、键盘、鼠标、作业试卷等，时刻保持讲台桌面干净整洁。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4.智能讲台底座自带4只脚杯，脚杯支持地钉锁定，可确保讲台安装更稳固、牢靠，避免师生椅靠、挪动等行为造成人身伤害。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5.智能讲台底座转角拼接处采用不少于1000mm长度的铝合金型材材质，过渡圆滑且精度高。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6.样图：</w:t>
            </w:r>
          </w:p>
          <w:p>
            <w:pPr>
              <w:spacing w:line="400" w:lineRule="exact"/>
              <w:jc w:val="left"/>
              <w:rPr>
                <w:rFonts w:asciiTheme="minorEastAsia" w:hAnsiTheme="minorEastAsia" w:eastAsiaTheme="minorEastAsia"/>
                <w:bCs/>
                <w:sz w:val="22"/>
                <w:szCs w:val="22"/>
              </w:rPr>
            </w:pPr>
            <w:r>
              <w:drawing>
                <wp:anchor distT="0" distB="0" distL="0" distR="0" simplePos="0" relativeHeight="251667456" behindDoc="0" locked="0" layoutInCell="1" allowOverlap="1">
                  <wp:simplePos x="0" y="0"/>
                  <wp:positionH relativeFrom="column">
                    <wp:posOffset>2025650</wp:posOffset>
                  </wp:positionH>
                  <wp:positionV relativeFrom="paragraph">
                    <wp:posOffset>50165</wp:posOffset>
                  </wp:positionV>
                  <wp:extent cx="1854835" cy="1918970"/>
                  <wp:effectExtent l="0" t="0" r="0" b="0"/>
                  <wp:wrapTopAndBottom/>
                  <wp:docPr id="63" name="图片 2"/>
                  <wp:cNvGraphicFramePr/>
                  <a:graphic xmlns:a="http://schemas.openxmlformats.org/drawingml/2006/main">
                    <a:graphicData uri="http://schemas.openxmlformats.org/drawingml/2006/picture">
                      <pic:pic xmlns:pic="http://schemas.openxmlformats.org/drawingml/2006/picture">
                        <pic:nvPicPr>
                          <pic:cNvPr id="63" name="图片 2"/>
                          <pic:cNvPicPr/>
                        </pic:nvPicPr>
                        <pic:blipFill>
                          <a:blip r:embed="rId42" cstate="print">
                            <a:extLst>
                              <a:ext uri="{28A0092B-C50C-407E-A947-70E740481C1C}">
                                <a14:useLocalDpi xmlns:a14="http://schemas.microsoft.com/office/drawing/2010/main" val="0"/>
                              </a:ext>
                            </a:extLst>
                          </a:blip>
                          <a:srcRect l="23823" r="21764"/>
                          <a:stretch>
                            <a:fillRect/>
                          </a:stretch>
                        </pic:blipFill>
                        <pic:spPr>
                          <a:xfrm>
                            <a:off x="0" y="0"/>
                            <a:ext cx="1854835" cy="1918970"/>
                          </a:xfrm>
                          <a:prstGeom prst="rect">
                            <a:avLst/>
                          </a:prstGeom>
                        </pic:spPr>
                      </pic:pic>
                    </a:graphicData>
                  </a:graphic>
                </wp:anchor>
              </w:drawing>
            </w:r>
            <w:r>
              <w:rPr>
                <w:rFonts w:hint="eastAsia" w:asciiTheme="minorEastAsia" w:hAnsiTheme="minorEastAsia" w:eastAsiaTheme="minorEastAsia"/>
                <w:bCs/>
                <w:sz w:val="22"/>
                <w:szCs w:val="22"/>
              </w:rPr>
              <w:drawing>
                <wp:anchor distT="0" distB="0" distL="114300" distR="114300" simplePos="0" relativeHeight="251666432" behindDoc="0" locked="0" layoutInCell="1" allowOverlap="1">
                  <wp:simplePos x="0" y="0"/>
                  <wp:positionH relativeFrom="column">
                    <wp:posOffset>76200</wp:posOffset>
                  </wp:positionH>
                  <wp:positionV relativeFrom="paragraph">
                    <wp:posOffset>59690</wp:posOffset>
                  </wp:positionV>
                  <wp:extent cx="1543050" cy="1600200"/>
                  <wp:effectExtent l="0" t="0" r="0" b="0"/>
                  <wp:wrapNone/>
                  <wp:docPr id="62" name="图片 62"/>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43" cstate="print">
                            <a:extLst>
                              <a:ext uri="{28A0092B-C50C-407E-A947-70E740481C1C}">
                                <a14:useLocalDpi xmlns:a14="http://schemas.microsoft.com/office/drawing/2010/main" val="0"/>
                              </a:ext>
                            </a:extLst>
                          </a:blip>
                          <a:srcRect l="25514" r="20189"/>
                          <a:stretch>
                            <a:fillRect/>
                          </a:stretch>
                        </pic:blipFill>
                        <pic:spPr>
                          <a:xfrm>
                            <a:off x="0" y="0"/>
                            <a:ext cx="1543050" cy="16002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drawing>
                <wp:anchor distT="0" distB="0" distL="114300" distR="114300" simplePos="0" relativeHeight="251668480" behindDoc="0" locked="0" layoutInCell="1" allowOverlap="1">
                  <wp:simplePos x="0" y="0"/>
                  <wp:positionH relativeFrom="column">
                    <wp:posOffset>225425</wp:posOffset>
                  </wp:positionH>
                  <wp:positionV relativeFrom="paragraph">
                    <wp:posOffset>156210</wp:posOffset>
                  </wp:positionV>
                  <wp:extent cx="1666875" cy="1447800"/>
                  <wp:effectExtent l="0" t="0" r="0" b="0"/>
                  <wp:wrapNone/>
                  <wp:docPr id="61" name="图片 61"/>
                  <wp:cNvGraphicFramePr/>
                  <a:graphic xmlns:a="http://schemas.openxmlformats.org/drawingml/2006/main">
                    <a:graphicData uri="http://schemas.openxmlformats.org/drawingml/2006/picture">
                      <pic:pic xmlns:pic="http://schemas.openxmlformats.org/drawingml/2006/picture">
                        <pic:nvPicPr>
                          <pic:cNvPr id="61" name="图片 61"/>
                          <pic:cNvPicPr/>
                        </pic:nvPicPr>
                        <pic:blipFill>
                          <a:blip r:embed="rId44" cstate="print">
                            <a:extLst>
                              <a:ext uri="{28A0092B-C50C-407E-A947-70E740481C1C}">
                                <a14:useLocalDpi xmlns:a14="http://schemas.microsoft.com/office/drawing/2010/main" val="0"/>
                              </a:ext>
                            </a:extLst>
                          </a:blip>
                          <a:srcRect l="24250" t="7456" r="21187" b="8039"/>
                          <a:stretch>
                            <a:fillRect/>
                          </a:stretch>
                        </pic:blipFill>
                        <pic:spPr>
                          <a:xfrm>
                            <a:off x="0" y="0"/>
                            <a:ext cx="1666875" cy="1447800"/>
                          </a:xfrm>
                          <a:prstGeom prst="rect">
                            <a:avLst/>
                          </a:prstGeom>
                        </pic:spPr>
                      </pic:pic>
                    </a:graphicData>
                  </a:graphic>
                </wp:anchor>
              </w:drawing>
            </w: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p>
            <w:pPr>
              <w:spacing w:line="400" w:lineRule="exact"/>
              <w:jc w:val="center"/>
              <w:rPr>
                <w:rFonts w:asciiTheme="minorEastAsia" w:hAnsiTheme="minorEastAsia" w:eastAsiaTheme="minorEastAsia"/>
                <w:bCs/>
                <w:sz w:val="22"/>
                <w:szCs w:val="22"/>
              </w:rPr>
            </w:pPr>
          </w:p>
          <w:p>
            <w:pPr>
              <w:spacing w:line="400" w:lineRule="exact"/>
              <w:jc w:val="left"/>
              <w:rPr>
                <w:rFonts w:asciiTheme="minorEastAsia" w:hAnsiTheme="minorEastAsia" w:eastAsiaTheme="minorEastAsia"/>
                <w:bCs/>
                <w:sz w:val="22"/>
                <w:szCs w:val="22"/>
              </w:rPr>
            </w:pP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张</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互动录播主机</w:t>
            </w:r>
          </w:p>
        </w:tc>
        <w:tc>
          <w:tcPr>
            <w:tcW w:w="2837" w:type="pct"/>
            <w:noWrap/>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1.录播主机须采用嵌入式硬件架构设计， 整机配置双核处理器、1TB存储硬盘、支持SATA3.0、2GB系统内存。</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2.整机高度一体化，支持音视频采集、音视频编码、视频处理、音频处理、直播、录制、互动、参数设置等功能。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3.录播主机屏幕分辨率不小于1920*1080，屏幕尺寸不小于15英寸。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4.整机屏幕加装不小于3mm厚的钢化玻璃，保障安全性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5.整机RJ45接口≥4个，其中POE接口≥3个，HDMI输入接口≥2个，均可支持输入3840*2160@30HZ、1920*1080P@60Hz 、1920*1080@50HZ等视频输入；至少1路具备音频采集能力，可通过软件控制音频采集开启或关闭，HDMI输出接口数量≥3个，最大支持3840*2160@30HZ输出，且支持音视频同步输出；≥2路幻象供电麦克风输入；≥2路线路音频输入，支持输入双声道；≥2路线路音频输出，支持输出双声道。</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6.支持录制清晰度设定，支持4K30fps视频录制，可选择4K、1080P、720P、VGA、QVGA等；支持录制帧率设定，可根据需要选择25fps/30fps；支持录制画质选择，可选择好、一般、流畅三个不同等级。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7.含互动系统软件：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a、支持扫码登录、预约互动、互动拨号功能，实现课堂连接。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b、支持授课预监功能、课堂互动功能，实现异地互动。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c、听课过程中用户可在录播主机屏幕同一界面上观看授课教室画面和本地教室画面；同时录播主机支持一键全屏显示主画面。</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导播系统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1.支持用户直接在触控录播主机上进行一键开启、停止录制操作。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2.支持视频H.264/ H.265编码，支持音频AAC和PCM音频编码；支持音视频同步录制，支持MP4文件格式。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3.在导播界面的预览窗口可实时观看教师全景/特写、学生全景/特写、多媒体电脑共五路画面，点击可进行画面切换。预监画面可实时推流给资源平台，实现平台直播。</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4.支持电影模式和资源模式同步录制，可根据用户的不同需求选择录制模式。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5.支持FTP远程自动上传录像，录制停止后自动上传视频文件到FTP服务器，支持断点续传。</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高清云台摄像机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1.采用1/2.8英寸、≥200万全高清 CMOS传感器</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2.摄像机同时支持SDI、HDMI、网络、CVBS四种视频输出接口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3.支持不少于3路1080P画面同时输出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4.支持不少于4种编码等级，包含baseline、mainprofile、hightprofile、svc-t</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5.支持不少于20倍光学变焦，16倍数字变焦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6.支持2D、3D数字降噪</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7.信噪比≥55dB</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4K教师全景摄像机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4K学生全景摄像机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1.内置图像识别跟踪算法，无需物理转动，即可实现平滑自然的跟踪效果，避免干扰课堂教学。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2.传感器尺寸：≥CMOS 1/2.8英寸；传感器有效像素≥800万。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3.支持不少于8倍数字变焦。支持不少于20倍光学变焦。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4.最低照度：0.5 Lux @（F1.8, AGC ON）。</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5.电子快门：1/30s ~ 1/10000s。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6.支持2D&amp;3D数字降噪，信噪比≥55dB。</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7.支持H.264、H.265视频编码格式。</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8.主码流分辨率：3840x2160, 1920x1080, 1920x1080, 1280x720, 1024x576, 720x576(50Hz), 720x480(60Hz), 720x408, 640x360, 480x270,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9.辅码流分辨率：1920x1080, 1280x720, 1024x576, 960x540, 640x480, 640x360, 320x240, 320x180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10.配带相应电源。</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图像智能跟踪定位系统</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1.4K高清摄像机内嵌智能跟踪算法。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通过两台4K高清摄像机可实现4路视频场景的跟踪定位功能；教师的特写和全景画面，学生的特写和全景画面，各通过一台摄像机完成。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3.采用智能图像识别算法，每台高清摄像机同时输出2路场景画面并分析计算，实现1台摄像机的2景位拍摄，通过导播跟踪系统，实现所有画面的自动导播切换：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a.当教师在讲台区域站立授课时，自动切换为教师特写，当教师在讲台区域进行走动时，自动切换到教师全景；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b.学生起立发言时，首先切换为学生全景，再过渡为发言学生的特写画面，当多名学生站立时，自动切换到学生全景；</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c.当教师切换多媒体授课时，自动切换为多媒体特写画面；</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d.学生跟踪具备人脸检测辅助识别功能。</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指向麦克风套装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1.支持不少于6路差分输入，且6路均支持幻象供电</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2.支持幻象供电开关，可开启和关闭幻象供电功能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3.支持不少于2路线路信号输入，2路线路信号输出，且两路均支持立体声</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4.支持不少于1个监听口，监听口可输出系统所有声音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5.支持全频带全双工自适应回声消除算法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6.支持全频带动态自适应降噪技术，降噪电平最高达18dB，支持自动增益控制、啸叫抑制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7.支持ducker算法，可设置ducker深度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8.支持智能混音，可智能选择最佳麦克风采集音频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9.支持多通道音频矩阵，可根据场景需求进行相应设置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10.支持音频参数调节，可通过软件进行不少于20项音频参数调整</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11.套件至少标配6支麦克风和6套安装支架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12.麦克风应采用不小于9.7mm大直径电容拾音单元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13.麦克风频率响应不低于50Hz~16KHz</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互动电视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二、观摩室设备</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观摩电视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1.屏幕物理尺寸≥55英</w:t>
            </w:r>
            <w:r>
              <w:rPr>
                <w:rFonts w:hint="eastAsia" w:cs="微软雅黑" w:asciiTheme="minorEastAsia" w:hAnsiTheme="minorEastAsia" w:eastAsiaTheme="minorEastAsia"/>
                <w:bCs/>
                <w:sz w:val="22"/>
                <w:szCs w:val="22"/>
              </w:rPr>
              <w:t>吋</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2.屏幕分辨率≥3840*2160；屏幕刷新率≥60Hz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3.内置喇叭个数≥2；喇叭总功率≥16W。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4.USB接口数量≥2；HDMI输入通道数量≥3</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5.能效等级不低于2级能效。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6.屏幕可视角度≥±176度。</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7.标配遥控器和配套电池。</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8.每台配多功能电视挂架，上下可调节角度+/-15度 ，左右旋转角度：各60度。根据实际情况也可选用吊装支架，要求吊装牢固，不影响课程录制效果。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有源音箱</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1.采用功放与有源音箱一体化设计，内置麦克风无线接收模块，帮助教师实现多媒体扩音以及本地扩声功能。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2.双音箱有线连接，机箱采用塑胶材质，保护设备免受环境影响。</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3.输出额定功率: 2*15W，喇叭单元尺寸≥5寸。</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4.端口：220V电源接口*1、Line in*1、USB*1。</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5.麦克风和功放音箱之间采用数字U段传输技术，有效避免环境中2.4G信号干扰，例如蓝牙及WIFI设备。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6.配置独立音频数字信号处理芯片，支持啸叫抑制功能。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7.支持教师扩声和输入音源叠加输出，可对接录播系统实现教师扩声音频的纯净采集，避免环境杂音干扰采集效果。</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导播显示器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23寸，分辨率≥1920*1080，带HDMI输入接口。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专业导播台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1.整机采用纯金属材质，全铝机身，CNC工艺，底部配备≥4个硅胶垫，桌面使用更加稳固；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采用彩色背光按键，按键数量≥29个，背光颜色≥3种，可通过不同颜色表征不同的工作状态，简化老师理解，支持背光亮度调节，可以根据教室光线环境和用户喜好自行调节背光亮度，满足不同场景和用户使用需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3.整机配备云台操纵杆，通过整机摇杆操作，支持不少于8个方向的云台控制；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4.支持云台摄像机控制选择，用户可以通过整机按键操作，支持≥5个摄像机通道选择，通道选择完成后，键盘操控命令仅对选中摄像机生效，不会产生串码；</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5.为满足用户在导播过程中对声音控制的诉求，整机支持≥3个音量控制旋钮；</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6.整机支持≥2种通信方式，可使用USB或RS422进行通信；</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7.整机通信接口≥2个，支持至少一个USB2.0接口，至少一个RS422接口；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整机与录播主机操作同步，用户通过导播键盘，可以实现开始、暂停、停止、三种录制状态控制，控制实时性良好，能够做到即点即录，无需等待，控制过程导播键盘提供灯光颜色变化提示+蜂鸣器提示，给用户最准确的操控反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9.支持≥6种画面布局，包含单画面、双画面、画中画、三画面、四画面、自定义布局；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10）支持导播控制，用户可通过整机按键操作实现导播画面选择，选中通道能够高亮显示，支持≥6个导播通道控制。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操作台</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观摩室使用，根据现场定制。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时序电源控制器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1.单路最大负载：≤10A；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2.接口：至少1路220V强电输入，1路LOOP输出，8路独立继电器控制，每路都供电源状态指示灯。</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电源防雷器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1.放电电流：20KA（8/20uS)最大放电电流：40KA；</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2.单相工作电压：AC220V最大运行电压：AC275V；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3.三相工作电压：AC380V最大运行电压：AC405V；</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4.保护水平：≤3.5KV响应时间：≤25nS；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5.漏电流：≤1mA。</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服务器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1.采用国产自主可控机架式服务器；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2.配置≥1颗处理器，主频≥2.2GHz，核心数≥10；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3.配置≥1个16GB DDR4内存，≥24个内存插槽扩展；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4.配置≥2块2TB 7200K SATA企业级硬盘，且支持扩展；</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5.配置≥1个高性能 SAS Raid卡，支持raid0，1，10；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6.配置2个千兆RJ45网口，配置2个双端口万兆以太网端口；</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7.配置冗余热插拔高效电源，单电源模块≥550W；</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8.正版操作系统（带永久授权)。</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千兆交换机</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1.交换容量≥32Gbps；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2.包转发率≥24Mpps；</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3.端口类型：16个10/100/1000Base-T以太网端口。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机柜</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1.22U服务器机柜：高度约1200mm；宽度约600mm；深度1000mm(允许偏差值为±1mm）；</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2.最大静载达500KG,移动承载约350KG；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3.主架用料为：材料采用SPCC约1.6mm厚优质冷轧钢板；</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4.安装方孔条为：约2.0mm厚优质冷轧钢板；表面处理采用脱脂、酸洗磷化静电喷塑 ； 机柜高温静电喷涂，表面处理细腻、美观 ；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5.可方便拆卸的左右侧门和前后门；风扇*2；托板*2；钢化玻璃前门。</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3420" w:type="pct"/>
            <w:gridSpan w:val="3"/>
            <w:noWrap/>
            <w:vAlign w:val="center"/>
          </w:tcPr>
          <w:p>
            <w:pPr>
              <w:spacing w:line="400" w:lineRule="exact"/>
              <w:jc w:val="left"/>
              <w:rPr>
                <w:rFonts w:asciiTheme="minorEastAsia" w:hAnsiTheme="minorEastAsia" w:eastAsiaTheme="minorEastAsia"/>
                <w:b/>
                <w:bCs/>
                <w:sz w:val="22"/>
                <w:szCs w:val="22"/>
              </w:rPr>
            </w:pPr>
            <w:r>
              <w:rPr>
                <w:rFonts w:hint="eastAsia" w:asciiTheme="minorEastAsia" w:hAnsiTheme="minorEastAsia" w:eastAsiaTheme="minorEastAsia"/>
                <w:b/>
                <w:bCs/>
                <w:sz w:val="22"/>
                <w:szCs w:val="22"/>
              </w:rPr>
              <w:t>三、环境创设</w:t>
            </w:r>
          </w:p>
        </w:tc>
        <w:tc>
          <w:tcPr>
            <w:tcW w:w="218" w:type="pct"/>
            <w:noWrap/>
            <w:vAlign w:val="center"/>
          </w:tcPr>
          <w:p>
            <w:pPr>
              <w:spacing w:line="400" w:lineRule="exact"/>
              <w:jc w:val="center"/>
              <w:rPr>
                <w:rFonts w:asciiTheme="minorEastAsia" w:hAnsiTheme="minorEastAsia" w:eastAsiaTheme="minorEastAsia"/>
                <w:bCs/>
                <w:sz w:val="22"/>
                <w:szCs w:val="22"/>
              </w:rPr>
            </w:pPr>
          </w:p>
        </w:tc>
        <w:tc>
          <w:tcPr>
            <w:tcW w:w="291" w:type="pct"/>
            <w:noWrap/>
            <w:vAlign w:val="center"/>
          </w:tcPr>
          <w:p>
            <w:pPr>
              <w:spacing w:line="400" w:lineRule="exact"/>
              <w:jc w:val="center"/>
              <w:rPr>
                <w:rFonts w:asciiTheme="minorEastAsia" w:hAnsiTheme="minorEastAsia" w:eastAsiaTheme="minorEastAsia"/>
                <w:bCs/>
                <w:sz w:val="22"/>
                <w:szCs w:val="22"/>
              </w:rPr>
            </w:pPr>
          </w:p>
        </w:tc>
        <w:tc>
          <w:tcPr>
            <w:tcW w:w="509" w:type="pct"/>
            <w:noWrap/>
            <w:vAlign w:val="center"/>
          </w:tcPr>
          <w:p>
            <w:pPr>
              <w:spacing w:line="400" w:lineRule="exact"/>
              <w:jc w:val="center"/>
              <w:rPr>
                <w:rFonts w:asciiTheme="minorEastAsia" w:hAnsiTheme="minorEastAsia" w:eastAsiaTheme="minorEastAsia"/>
                <w:bCs/>
                <w:sz w:val="22"/>
                <w:szCs w:val="22"/>
              </w:rPr>
            </w:pPr>
          </w:p>
        </w:tc>
        <w:tc>
          <w:tcPr>
            <w:tcW w:w="562" w:type="pct"/>
            <w:noWrap/>
            <w:vAlign w:val="center"/>
          </w:tcPr>
          <w:p>
            <w:pPr>
              <w:spacing w:line="400" w:lineRule="exact"/>
              <w:jc w:val="center"/>
              <w:rPr>
                <w:rFonts w:asciiTheme="minorEastAsia" w:hAnsiTheme="minorEastAsia" w:eastAsiaTheme="minorEastAsia"/>
                <w:bCs/>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装修前拆除和清理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1.拆除录播教室和观摩室内天花板上原来的吊扇、灯管及相关线路、网线等旧设备；</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2.学生教室地面清理（原有地板保护）；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3.原有墙面窗帘等拆除；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4.拆除的物品、设备均须与学校办理交接手续，避免遗失。</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教室护眼灯具</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一体式LED灯具。</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采用格栅防眩光处理，防眩格栅内径尺寸不大于16x16mm；格栅网面内侧应有防尘板（膜）；边框材料应采用银色铝型材。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教室灯功率36±5W，功率因数≥0.90。灯光通量≥3000LM，光效≥90LM/W，色温在3300K-5300K区间，显色指数≥80，蓝光危害等级RG0。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灯具数量根据教室面积和吊顶定制，改造后，教室桌面维持平均照度≥300lx。</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 在观摩窗附近的教室区域增设专用补光灯，确保窗边1米范围内桌面照度 ≥500 Lux（验收时须提供照度分布图）。</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26</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声学墙面软包</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四周墙面：轻钢龙骨+50mm吸音棉+吸音板（或水泥压力板处理〉+阻燃布等，环保材料，聚酯纤维吸音棉。颜色定制，含踢脚线、包边等，中标人需提供符合国家强制性标准</w:t>
            </w:r>
            <w:r>
              <w:rPr>
                <w:rFonts w:hint="eastAsia" w:asciiTheme="minorEastAsia" w:hAnsiTheme="minorEastAsia" w:eastAsiaTheme="minorEastAsia"/>
                <w:bCs/>
                <w:sz w:val="22"/>
                <w:szCs w:val="22"/>
                <w:lang w:val="en-US" w:eastAsia="zh-CN"/>
              </w:rPr>
              <w:t>GB 18580-2017</w:t>
            </w:r>
            <w:r>
              <w:rPr>
                <w:rFonts w:hint="eastAsia" w:asciiTheme="minorEastAsia" w:hAnsiTheme="minorEastAsia" w:eastAsiaTheme="minorEastAsia"/>
                <w:bCs/>
                <w:sz w:val="22"/>
                <w:szCs w:val="22"/>
              </w:rPr>
              <w:t>规定的E1级环保标准相关证明材料。</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135</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24300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29</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声学吊顶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吊顶：采用优质轻钢龙骨架，环保矿棉吸音板。具备防潮性能，无放射性。含窗帘盒</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120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11880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30</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地面吸音处理</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地面：采用PVC静音环保塑胶地板≥4.5mm，采用耐磨层,颜色定制。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170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16830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31</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单向透视观摩窗和孔洞</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一、 单向透视观摩窗</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 玻璃结构：</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采用专业级单向镜面玻璃（原子镜），结构为 8mm钢化玻璃（观摩室侧） + 1.52PVB夹胶层 + 8mm反射镀膜钢化玻璃（教室侧）；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镀膜反射率≥65%（教室侧），透光率≤15%。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光学保障：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当观摩室照度≤50Lux且教室照度 ≥500 Lux 时生效。</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观摩室侧安装深色遮光窗帘+低照度灯具（≤50 Lux），禁止直射光源。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安装规范：</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镀膜面（反射面）必须朝向教室侧，非镀膜面朝向观摩室；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教室侧窗框四周做密封遮光处理，避免光线渗入观摩室。</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 验证要求：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验收时供应商需提供有资质的第三方检测机构出具的光学性能报告；</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现场验收时，教室人员应无法看到观摩室内任何影像（即使贴窗观察）。</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二、 教室与观摩室隔墙墙壁开孔：9平方米。</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650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5850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32</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学生教室及观摩室吸音门改造</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 xml:space="preserve">1.在现有3扇门内侧加贴吸音层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 xml:space="preserve">2.材质：环保聚酯纤维板（厚度10mm，NRC≥0.80）    </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3.包边处理，与门体同色</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观摩室阶梯地板</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现场定制PVC地板，至少3阶台阶（升高值250mm）,钢架+PVC地板带防滑条，两侧面封板，宽度依据观摩室具体尺寸定制。</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平方米</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60</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180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10800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3"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34</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宋体" w:hAnsi="宋体" w:cs="宋体"/>
                <w:kern w:val="0"/>
                <w:sz w:val="20"/>
                <w:szCs w:val="20"/>
              </w:rPr>
              <w:t>★</w:t>
            </w:r>
            <w:r>
              <w:rPr>
                <w:rFonts w:hint="eastAsia" w:asciiTheme="minorEastAsia" w:hAnsiTheme="minorEastAsia" w:eastAsiaTheme="minorEastAsia"/>
                <w:bCs/>
                <w:sz w:val="22"/>
                <w:szCs w:val="22"/>
              </w:rPr>
              <w:t>教室空调</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1.功能：5匹定频冷暖柜机；</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▲2.能效等级：二级；</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3.定频/变频：定频；</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▲4.APF（GB21455-2019）：≥3.25；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▲5.额定制冷量(W)：≥12190；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6.额定制热量(W)：≥12990；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7.额定制冷功率(W)：≤3610；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▲8.额定制热功率(W)：≤3510；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▲9.室内机噪音 超高风dB(A）：≤52.5；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▲10.室外机噪音 高风dB(A）：≤59.5；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▲11.循环风量（m³/h)：≥2040；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12.电压/频率（V/HZ）：380V 3N～/50Hz；</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▲13.自带断电记忆功能；</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14.其他功能：智能化霜，双重过滤网，自动清洁，自动干燥，多种送风方式， 24小时定时功能，可拆洗出风口。</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台</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11000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35</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金属桥架</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200*100*1.2，满足项目要求。</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36</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窗帘</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 数量：教室内窗帘约15平方米，观摩窗窗帘约9平方米。</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 教室内窗帘采用全绒全遮光隔音窗帘，2倍褶皱，配罗马杆，满足项目要求。</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 观摩室窗帘采用全遮光型（遮光率100%），颜色深黑，闭合后室内照度≤50 Lux。</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套</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37</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二氧化碳灭火器</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1.灭火剂重量（kg)：2kg</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2.有效喷射时间：s≥8</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3.有效喷射距离：m≥1.5</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4.喷射剩余率：%10</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5.喷射滞后时间：s≤5</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个</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330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990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60" w:hRule="atLeast"/>
        </w:trPr>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38</w:t>
            </w:r>
          </w:p>
        </w:tc>
        <w:tc>
          <w:tcPr>
            <w:tcW w:w="292" w:type="pct"/>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系统集成</w:t>
            </w:r>
          </w:p>
        </w:tc>
        <w:tc>
          <w:tcPr>
            <w:tcW w:w="2837" w:type="pct"/>
            <w:vAlign w:val="center"/>
          </w:tcPr>
          <w:p>
            <w:pPr>
              <w:spacing w:line="400" w:lineRule="exact"/>
              <w:jc w:val="left"/>
              <w:rPr>
                <w:rFonts w:asciiTheme="minorEastAsia" w:hAnsiTheme="minorEastAsia" w:eastAsiaTheme="minorEastAsia"/>
                <w:bCs/>
                <w:sz w:val="22"/>
                <w:szCs w:val="22"/>
              </w:rPr>
            </w:pPr>
            <w:r>
              <w:rPr>
                <w:rFonts w:hint="eastAsia" w:asciiTheme="minorEastAsia" w:hAnsiTheme="minorEastAsia" w:eastAsiaTheme="minorEastAsia"/>
                <w:bCs/>
                <w:sz w:val="22"/>
                <w:szCs w:val="22"/>
              </w:rPr>
              <w:t>1.HDMI高清音视频信号线:HDMI2.0版本，线芯采用99.96%高纯度30AWG单股无氧铜，线芯采用铝箔独立屏蔽，杜绝因信号干扰产生的雪花、噪点、闪屏等强电信号流量干扰，总屏蔽采用编织密度90%密绞铝网抗干扰设计，更有效地隔离外界电磁波的干扰，使高清画面持久清晰无瑕。 护套采用柔软亚光黑色PVC弹性体，外径为7.3mm ，纯铜24K3μ镀金端子，超强抗氧化。</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2.六类网络传输线、音频线，插座、灯光电源线、空调电源线、网络面板、电视机挂架/吊架等配件、线材。</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3.观摩室所有门窗缝隙需做消隙密封处理，防止外部光线渗入。</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5.观摩室墙壁/天花板采用深色哑光涂料（反射率＜30%），避免反光影响单向效果。</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6.项目其它所需配件。</w:t>
            </w:r>
            <w:r>
              <w:rPr>
                <w:rFonts w:hint="eastAsia" w:asciiTheme="minorEastAsia" w:hAnsiTheme="minorEastAsia" w:eastAsiaTheme="minorEastAsia"/>
                <w:bCs/>
                <w:sz w:val="22"/>
                <w:szCs w:val="22"/>
              </w:rPr>
              <w:br w:type="textWrapping"/>
            </w:r>
            <w:r>
              <w:rPr>
                <w:rFonts w:hint="eastAsia" w:asciiTheme="minorEastAsia" w:hAnsiTheme="minorEastAsia" w:eastAsiaTheme="minorEastAsia"/>
                <w:bCs/>
                <w:sz w:val="22"/>
                <w:szCs w:val="22"/>
              </w:rPr>
              <w:t>7.黑板开机画面居中展示“隆安县教育局2025年装备”。</w:t>
            </w:r>
          </w:p>
        </w:tc>
        <w:tc>
          <w:tcPr>
            <w:tcW w:w="218"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批</w:t>
            </w:r>
          </w:p>
        </w:tc>
        <w:tc>
          <w:tcPr>
            <w:tcW w:w="291"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1</w:t>
            </w:r>
          </w:p>
        </w:tc>
        <w:tc>
          <w:tcPr>
            <w:tcW w:w="509"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c>
          <w:tcPr>
            <w:tcW w:w="562" w:type="pct"/>
            <w:noWrap/>
            <w:vAlign w:val="center"/>
          </w:tcPr>
          <w:p>
            <w:pPr>
              <w:spacing w:line="400" w:lineRule="exact"/>
              <w:jc w:val="center"/>
              <w:rPr>
                <w:rFonts w:asciiTheme="minorEastAsia" w:hAnsiTheme="minorEastAsia" w:eastAsiaTheme="minorEastAsia"/>
                <w:bCs/>
                <w:sz w:val="22"/>
                <w:szCs w:val="22"/>
              </w:rPr>
            </w:pPr>
            <w:r>
              <w:rPr>
                <w:rFonts w:hint="eastAsia" w:asciiTheme="minorEastAsia" w:hAnsiTheme="minorEastAsia" w:eastAsiaTheme="minorEastAsia"/>
                <w:bCs/>
                <w:sz w:val="22"/>
                <w:szCs w:val="22"/>
              </w:rPr>
              <w:t>2200</w:t>
            </w:r>
          </w:p>
        </w:tc>
      </w:tr>
    </w:tbl>
    <w:p>
      <w:pPr>
        <w:spacing w:line="360" w:lineRule="auto"/>
        <w:rPr>
          <w:rFonts w:ascii="宋体" w:hAnsi="宋体" w:cs="宋体"/>
        </w:rPr>
      </w:pPr>
    </w:p>
    <w:tbl>
      <w:tblPr>
        <w:tblStyle w:val="25"/>
        <w:tblpPr w:leftFromText="180" w:rightFromText="180" w:vertAnchor="text" w:horzAnchor="page" w:tblpX="1054" w:tblpY="7"/>
        <w:tblOverlap w:val="never"/>
        <w:tblW w:w="9985" w:type="dxa"/>
        <w:tblInd w:w="0" w:type="dxa"/>
        <w:tblLayout w:type="autofit"/>
        <w:tblCellMar>
          <w:top w:w="0" w:type="dxa"/>
          <w:left w:w="108" w:type="dxa"/>
          <w:bottom w:w="0" w:type="dxa"/>
          <w:right w:w="108" w:type="dxa"/>
        </w:tblCellMar>
      </w:tblPr>
      <w:tblGrid>
        <w:gridCol w:w="9985"/>
      </w:tblGrid>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rPr>
                <w:rFonts w:ascii="宋体" w:hAnsi="宋体" w:cs="宋体"/>
                <w:kern w:val="0"/>
                <w:sz w:val="20"/>
                <w:szCs w:val="20"/>
              </w:rPr>
            </w:pPr>
            <w:r>
              <w:rPr>
                <w:rFonts w:hint="eastAsia"/>
                <w:b/>
                <w:bCs/>
              </w:rPr>
              <w:t>商务条款</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▲一、合同签订期：自中标通知书发出之日起5日内。</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▲二、交货时间：自签订合同之日起，30日内完成学校急需设备（货物）供货、安装、调试及使用培训，60日内完成项目整体供货、安装、调试、培训及验收。</w:t>
            </w:r>
          </w:p>
        </w:tc>
      </w:tr>
      <w:tr>
        <w:tblPrEx>
          <w:tblCellMar>
            <w:top w:w="0" w:type="dxa"/>
            <w:left w:w="108" w:type="dxa"/>
            <w:bottom w:w="0" w:type="dxa"/>
            <w:right w:w="108" w:type="dxa"/>
          </w:tblCellMar>
        </w:tblPrEx>
        <w:trPr>
          <w:trHeight w:val="69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宋体"/>
                <w:kern w:val="0"/>
                <w:sz w:val="20"/>
                <w:szCs w:val="20"/>
              </w:rPr>
            </w:pPr>
            <w:r>
              <w:rPr>
                <w:rFonts w:hint="eastAsia"/>
              </w:rPr>
              <w:t>三、提交货物地点：采购人指定地点。</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pPr>
            <w:r>
              <w:rPr>
                <w:rFonts w:hint="eastAsia"/>
              </w:rPr>
              <w:t>四、验收标准、规范</w:t>
            </w:r>
          </w:p>
          <w:p>
            <w:pPr>
              <w:widowControl/>
              <w:jc w:val="left"/>
            </w:pPr>
            <w:r>
              <w:rPr>
                <w:rFonts w:hint="eastAsia"/>
              </w:rPr>
              <w:t>1.符合合同要求及国家相关标准。</w:t>
            </w:r>
          </w:p>
          <w:p>
            <w:pPr>
              <w:widowControl/>
              <w:jc w:val="left"/>
            </w:pPr>
            <w:r>
              <w:rPr>
                <w:rFonts w:hint="eastAsia"/>
              </w:rPr>
              <w:t>2.参数配置符合或优于合同要求。</w:t>
            </w:r>
          </w:p>
          <w:p>
            <w:pPr>
              <w:widowControl/>
              <w:jc w:val="left"/>
            </w:pPr>
            <w:r>
              <w:rPr>
                <w:rFonts w:hint="eastAsia"/>
              </w:rPr>
              <w:t>3.中标人提供所招标采购的货物、配套设备、所属装置等有关技术资料作为验收的参考依据。</w:t>
            </w:r>
          </w:p>
          <w:p>
            <w:pPr>
              <w:widowControl/>
              <w:jc w:val="left"/>
            </w:pPr>
            <w:r>
              <w:rPr>
                <w:rFonts w:hint="eastAsia"/>
              </w:rPr>
              <w:t>4.本项目由采购人、设备使用单位联合开展全程监理和验收工作，验收时中标人必须在现场。如验收结果不合格的，须按采购人要求及时整改，因此过程耽误交货时间导致采购人造成损失的，中标人承担由此所造成全部损失。</w:t>
            </w:r>
          </w:p>
          <w:p>
            <w:pPr>
              <w:widowControl/>
              <w:jc w:val="left"/>
            </w:pPr>
            <w:r>
              <w:rPr>
                <w:rFonts w:hint="eastAsia"/>
              </w:rPr>
              <w:t>5.验收所产生的费用由中标人承担。</w:t>
            </w:r>
          </w:p>
          <w:p>
            <w:pPr>
              <w:widowControl/>
              <w:jc w:val="left"/>
            </w:pPr>
            <w:r>
              <w:rPr>
                <w:rFonts w:hint="eastAsia"/>
              </w:rPr>
              <w:t>6.在约定的期限内完成本项目开发过程中采购人最终确认的需求，认为可以验收的，以书面方式通知采购人。交付验收前，中标人须对所交付的项目进行功能和运行检测，以确认交付项目符合本项目技术参数要求。</w:t>
            </w:r>
          </w:p>
          <w:p>
            <w:pPr>
              <w:widowControl/>
              <w:jc w:val="left"/>
            </w:pPr>
            <w:r>
              <w:rPr>
                <w:rFonts w:hint="eastAsia"/>
              </w:rPr>
              <w:t>7.交付验收应按本项目约定的时间进行，如因采购人的原因而导致不能按时交付，将按延期时间顺延交付时间。</w:t>
            </w:r>
          </w:p>
          <w:p>
            <w:pPr>
              <w:widowControl/>
              <w:jc w:val="left"/>
            </w:pPr>
            <w:r>
              <w:rPr>
                <w:rFonts w:hint="eastAsia"/>
              </w:rPr>
              <w:t>▲五、售后服务要求</w:t>
            </w:r>
          </w:p>
          <w:p>
            <w:pPr>
              <w:widowControl/>
              <w:jc w:val="left"/>
            </w:pPr>
            <w:r>
              <w:rPr>
                <w:rFonts w:hint="eastAsia"/>
              </w:rPr>
              <w:t>1.项目整体质保期1年，个别品目质保期以采购需求一览表、投标产品技术资料表、商务条款偏离表、售后服务承诺等资料中最长的质保期为准。自提交成果并最终验收合格之日起计。</w:t>
            </w:r>
          </w:p>
          <w:p>
            <w:pPr>
              <w:widowControl/>
              <w:jc w:val="left"/>
            </w:pPr>
            <w:r>
              <w:rPr>
                <w:rFonts w:hint="eastAsia"/>
              </w:rPr>
              <w:t>2.响应时间：接到采购人处理问题通知后24小时内到达采购人指定现场，按国家及行业标准对故障进行及时处理；在36小时内不能解决的，供应商须在3个工作日内提供与原设备技术参数要求相同或高于原设备技术参数要求的备用产品，以保证采购人的正常工作。</w:t>
            </w:r>
          </w:p>
          <w:p>
            <w:pPr>
              <w:widowControl/>
              <w:jc w:val="left"/>
            </w:pPr>
            <w:r>
              <w:rPr>
                <w:rFonts w:hint="eastAsia"/>
              </w:rPr>
              <w:t>3.售后服务技术人员要求：专职/兼职人员。</w:t>
            </w:r>
          </w:p>
          <w:p>
            <w:pPr>
              <w:widowControl/>
              <w:jc w:val="left"/>
            </w:pPr>
            <w:r>
              <w:rPr>
                <w:rFonts w:hint="eastAsia"/>
              </w:rPr>
              <w:t>4.备品备件要求：中标人随时优惠提供备品备件，优惠提供产品更新、改造服务。</w:t>
            </w:r>
          </w:p>
          <w:p>
            <w:pPr>
              <w:widowControl/>
              <w:jc w:val="left"/>
            </w:pPr>
            <w:r>
              <w:rPr>
                <w:rFonts w:hint="eastAsia"/>
              </w:rPr>
              <w:t>5.其他：</w:t>
            </w:r>
          </w:p>
          <w:p>
            <w:pPr>
              <w:widowControl/>
              <w:jc w:val="left"/>
            </w:pPr>
            <w:r>
              <w:rPr>
                <w:rFonts w:hint="eastAsia"/>
              </w:rPr>
              <w:t>（1）在质量保证期内设备非因人为及不可抗拒因素的原因而引起损坏或质量问题，中标人应免费予以技术服务、维修或设备更换，并承担相应费用和零部件的费用，因人为因素出现的故障不在免费保修范围内，中标人也要积极帮助采购人修理，并提供优惠价格的配件和服务。超过质量保证期的货物，中标人提供终生维修、保养服务，维修时只收部件成本费。</w:t>
            </w:r>
          </w:p>
          <w:p>
            <w:pPr>
              <w:widowControl/>
              <w:jc w:val="left"/>
            </w:pPr>
            <w:r>
              <w:rPr>
                <w:rFonts w:hint="eastAsia"/>
              </w:rPr>
              <w:t>（2）中标人根据售后服务方案开展回访、设备保养等工作后，5个工作日内向采购人提供书面巡检报告、售后情况记录汇总表和售后情况记录表（PDF版1份，纸质版1份，PDF版和纸质版须使用方签字并加盖公章）。格式自拟。</w:t>
            </w:r>
          </w:p>
          <w:p>
            <w:pPr>
              <w:widowControl/>
              <w:jc w:val="left"/>
            </w:pPr>
            <w:r>
              <w:rPr>
                <w:rFonts w:hint="eastAsia"/>
              </w:rPr>
              <w:t>六、其他要求</w:t>
            </w:r>
          </w:p>
          <w:p>
            <w:pPr>
              <w:widowControl/>
              <w:jc w:val="left"/>
            </w:pPr>
            <w:r>
              <w:rPr>
                <w:rFonts w:hint="eastAsia"/>
              </w:rPr>
              <w:t>1.投标方所投设备（货物）产品除满足《货物需求一览表》的技术参数及性能（配置）要求外，还应当符合国家现行的相关安全、环保、使用与保管的标准及规范的规定，应取得通过资质认定的专业检测机构出具的符合相关标准的检测报告。</w:t>
            </w:r>
          </w:p>
          <w:p>
            <w:pPr>
              <w:widowControl/>
              <w:jc w:val="left"/>
            </w:pPr>
            <w:r>
              <w:rPr>
                <w:rFonts w:hint="eastAsia"/>
              </w:rPr>
              <w:t>2.凡是进入学校的教学仪器设备产品（含乐器类产品），除必须的实验用化学药品外，不得含有国家明令禁止的有毒材料，各项指标要应符合国家相关安全、环保、使用与保管的标准；乐器、乐器配件以及置于室内的乐器包装物的有害物质限量应符合GB/T28489—2012的要求；体育器材所用的材料、外形和结构设计、主要零部件静负荷能力、稳定性、安全警示要求除应符合相应产品标准外，应分别符合GB19272-2011的5.2、5.3、5.4、5.5、5.6的规定；需要安装的体育器材设施应严格按照相应的国家标准或行业标准要求进行安装，同时应符合GB19272—2011的5.7的规定；单杠、双杠、秋千、肋木、平梯、爬竿、爬绳等涉及上下运动弹跳或可能从空中跌落的器材，其跌落防护应符合GB19272-2011的5.3.3；体育器材的安全使用寿命及疲劳性能、环保要求、表面质量、管理与维护应分别符合GB19272-2011的5.8、5.9、5.10和第8章的规定；器材的标志和使用说明应符合GB19272-2011的7.1、7.1.1、7.1.2、7.1.3的规定。</w:t>
            </w:r>
          </w:p>
          <w:p>
            <w:pPr>
              <w:widowControl/>
              <w:jc w:val="left"/>
            </w:pPr>
            <w:r>
              <w:rPr>
                <w:rFonts w:hint="eastAsia"/>
              </w:rPr>
              <w:t>3.本项目中所有计算机或具有计算机功能的信息化设备，必须预装正版操作系统，操作系统软件价格包含在计算机硬件价格中，不单独计算。</w:t>
            </w:r>
          </w:p>
          <w:p>
            <w:pPr>
              <w:widowControl/>
              <w:jc w:val="left"/>
            </w:pPr>
            <w:r>
              <w:rPr>
                <w:rFonts w:hint="eastAsia"/>
              </w:rPr>
              <w:t>4.报价必须含以下部分，包括：</w:t>
            </w:r>
          </w:p>
          <w:p>
            <w:pPr>
              <w:widowControl/>
              <w:jc w:val="left"/>
            </w:pPr>
            <w:r>
              <w:rPr>
                <w:rFonts w:hint="eastAsia"/>
              </w:rPr>
              <w:t>（1）货物及标准附件、备品备件、专用工具的价格；</w:t>
            </w:r>
          </w:p>
          <w:p>
            <w:pPr>
              <w:widowControl/>
              <w:jc w:val="left"/>
            </w:pPr>
            <w:r>
              <w:rPr>
                <w:rFonts w:hint="eastAsia"/>
              </w:rPr>
              <w:t>（2）必要的保险费用和各项税金、招标代理服务等费用；</w:t>
            </w:r>
          </w:p>
          <w:p>
            <w:pPr>
              <w:widowControl/>
              <w:jc w:val="left"/>
            </w:pPr>
            <w:r>
              <w:rPr>
                <w:rFonts w:hint="eastAsia"/>
              </w:rPr>
              <w:t>（3）其他：外购软件费、运输、装卸、施工（安装）、调试、仪器上架及粘贴标签、培训、技术支持、售后服务、更新升级、到现场验收、拆旧等费用，系统安装调试需要的线材、接插件、安装配件、标签等，须满足本项目建设的需要，所需费用含在设备报价中，不单独计费。</w:t>
            </w:r>
          </w:p>
          <w:p>
            <w:pPr>
              <w:widowControl/>
              <w:jc w:val="left"/>
            </w:pPr>
            <w:r>
              <w:rPr>
                <w:rFonts w:hint="eastAsia"/>
              </w:rPr>
              <w:t>▲5.付款方式：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widowControl/>
              <w:jc w:val="left"/>
            </w:pPr>
            <w:r>
              <w:rPr>
                <w:rFonts w:hint="eastAsia"/>
              </w:rPr>
              <w:t>6.实施和安装要求：</w:t>
            </w:r>
          </w:p>
          <w:p>
            <w:pPr>
              <w:widowControl/>
              <w:jc w:val="left"/>
            </w:pPr>
            <w:r>
              <w:rPr>
                <w:rFonts w:hint="eastAsia"/>
              </w:rPr>
              <w:t>（1）中标人必须服从采购人现场负责人的指挥，按指定地点进行安装；</w:t>
            </w:r>
          </w:p>
          <w:p>
            <w:pPr>
              <w:widowControl/>
              <w:jc w:val="left"/>
            </w:pPr>
            <w:r>
              <w:rPr>
                <w:rFonts w:hint="eastAsia"/>
              </w:rPr>
              <w:t>（2）安装过程中的所有安全保障由中标人自行负责；</w:t>
            </w:r>
          </w:p>
          <w:p>
            <w:pPr>
              <w:widowControl/>
              <w:jc w:val="left"/>
            </w:pPr>
            <w:r>
              <w:rPr>
                <w:rFonts w:hint="eastAsia"/>
              </w:rPr>
              <w:t>（3）严格按投标产品的安装规范要求进行安装，确保安全。</w:t>
            </w:r>
          </w:p>
          <w:p>
            <w:pPr>
              <w:widowControl/>
              <w:jc w:val="left"/>
            </w:pPr>
            <w:r>
              <w:rPr>
                <w:rFonts w:hint="eastAsia"/>
              </w:rPr>
              <w:t>七、培训要求</w:t>
            </w:r>
          </w:p>
          <w:p>
            <w:pPr>
              <w:widowControl/>
              <w:jc w:val="left"/>
            </w:pPr>
            <w:r>
              <w:rPr>
                <w:rFonts w:hint="eastAsia"/>
              </w:rPr>
              <w:t>▲1.在项目实施完成后，中标人免费提供各个软件和硬件系统相关的应用培训，投标文件中提供详细的培训方案。培训前将培训方案报采购人确认后方可开展培训。</w:t>
            </w:r>
          </w:p>
          <w:p>
            <w:pPr>
              <w:widowControl/>
              <w:jc w:val="left"/>
            </w:pPr>
            <w:r>
              <w:rPr>
                <w:rFonts w:hint="eastAsia"/>
              </w:rPr>
              <w:t>2.中标人负责本地集中培训场地、培训教材、培训讲师以及培训所需的硬软件环境，为培训人员提供培训用中文培训教材（纸质稿和电子稿）、实习资料和讲义等相关用品。培训地点原则上在校内进行；培训时间由采购人根据需要确定，原则上集中培训至少1天，不少于50人次。培训费用及被培训人员所有费用由中标人负责。</w:t>
            </w:r>
          </w:p>
          <w:p>
            <w:pPr>
              <w:widowControl/>
              <w:jc w:val="left"/>
            </w:pPr>
            <w:r>
              <w:rPr>
                <w:rFonts w:hint="eastAsia"/>
              </w:rPr>
              <w:t>3.免费对设备（货物）使用单位的管理人员、应用使用人员进行集中培训。通过讲解、学员亲自体验、试用、交流等形式开展培训。确保参与培训人员，能够熟练掌握系统操作流程、各个功能使用方法和应用技巧等，能掌握硬件设备运维和平台应用技巧等。</w:t>
            </w:r>
          </w:p>
          <w:p>
            <w:pPr>
              <w:widowControl/>
              <w:jc w:val="left"/>
            </w:pPr>
            <w:r>
              <w:rPr>
                <w:rFonts w:hint="eastAsia"/>
              </w:rPr>
              <w:t>▲4.培训结束后5个工作日内，中标人向采购人提供以下培训材料：</w:t>
            </w:r>
          </w:p>
          <w:p>
            <w:pPr>
              <w:widowControl/>
              <w:jc w:val="left"/>
            </w:pPr>
            <w:r>
              <w:rPr>
                <w:rFonts w:hint="eastAsia"/>
              </w:rPr>
              <w:t>（1）参训学员名单、签到表；</w:t>
            </w:r>
          </w:p>
          <w:p>
            <w:pPr>
              <w:widowControl/>
              <w:jc w:val="left"/>
            </w:pPr>
            <w:r>
              <w:rPr>
                <w:rFonts w:hint="eastAsia"/>
              </w:rPr>
              <w:t>（2）培训具体日程安排表；</w:t>
            </w:r>
          </w:p>
          <w:p>
            <w:pPr>
              <w:widowControl/>
              <w:jc w:val="left"/>
            </w:pPr>
            <w:r>
              <w:rPr>
                <w:rFonts w:hint="eastAsia"/>
              </w:rPr>
              <w:t>（3）培训资料、教材、课件；</w:t>
            </w:r>
          </w:p>
          <w:p>
            <w:pPr>
              <w:widowControl/>
              <w:jc w:val="left"/>
            </w:pPr>
            <w:r>
              <w:rPr>
                <w:rFonts w:hint="eastAsia"/>
              </w:rPr>
              <w:t>（4）培训简报；</w:t>
            </w:r>
          </w:p>
          <w:p>
            <w:pPr>
              <w:widowControl/>
              <w:jc w:val="left"/>
            </w:pPr>
            <w:r>
              <w:rPr>
                <w:rFonts w:hint="eastAsia"/>
              </w:rPr>
              <w:t>（5）培训照片（至少五张）；</w:t>
            </w:r>
          </w:p>
          <w:p>
            <w:pPr>
              <w:widowControl/>
              <w:jc w:val="left"/>
            </w:pPr>
            <w:r>
              <w:rPr>
                <w:rFonts w:hint="eastAsia"/>
              </w:rPr>
              <w:t>（6）培训项目评价反馈汇总表（受训学校盖章）。</w:t>
            </w:r>
          </w:p>
        </w:tc>
      </w:tr>
      <w:tr>
        <w:tblPrEx>
          <w:tblCellMar>
            <w:top w:w="0" w:type="dxa"/>
            <w:left w:w="108" w:type="dxa"/>
            <w:bottom w:w="0" w:type="dxa"/>
            <w:right w:w="108" w:type="dxa"/>
          </w:tblCellMar>
        </w:tblPrEx>
        <w:trPr>
          <w:trHeight w:val="689" w:hRule="atLeast"/>
        </w:trPr>
        <w:tc>
          <w:tcPr>
            <w:tcW w:w="998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hint="eastAsia"/>
              </w:rPr>
            </w:pPr>
            <w:r>
              <w:rPr>
                <w:rFonts w:hint="eastAsia"/>
              </w:rPr>
              <w:t>八、其他说明：</w:t>
            </w:r>
          </w:p>
          <w:p>
            <w:pPr>
              <w:widowControl/>
              <w:jc w:val="left"/>
              <w:rPr>
                <w:rFonts w:hint="eastAsia"/>
              </w:rPr>
            </w:pPr>
            <w:r>
              <w:rPr>
                <w:rFonts w:hint="eastAsia"/>
              </w:rPr>
              <w:t>（一）进口产品说明（根据项目实际情况选择）</w:t>
            </w:r>
          </w:p>
          <w:p>
            <w:pPr>
              <w:widowControl/>
              <w:jc w:val="left"/>
            </w:pPr>
            <w:r>
              <w:rPr>
                <w:rFonts w:ascii="Segoe UI Symbol" w:hAnsi="Segoe UI Symbol" w:cs="Segoe UI Symbol"/>
              </w:rPr>
              <w:t>☑</w:t>
            </w:r>
            <w:r>
              <w:rPr>
                <w:rFonts w:hint="eastAsia"/>
              </w:rPr>
              <w:t>本分标货物所涉及的货物不接受进口产品（即通过中国海关报关验放进入中国境内且产自关境外的产品）参与投标，如有进口产品参与投标的作无效标处理。</w:t>
            </w:r>
          </w:p>
          <w:p>
            <w:pPr>
              <w:widowControl/>
              <w:jc w:val="left"/>
              <w:rPr>
                <w:rFonts w:hint="eastAsia"/>
              </w:rPr>
            </w:pPr>
            <w:r>
              <w:rPr>
                <w:rFonts w:hint="eastAsia"/>
              </w:rPr>
              <w:t>▲（二）核心产品</w:t>
            </w:r>
          </w:p>
          <w:p>
            <w:pPr>
              <w:widowControl/>
              <w:jc w:val="left"/>
              <w:rPr>
                <w:rFonts w:hint="eastAsia" w:eastAsia="宋体"/>
                <w:lang w:eastAsia="zh-CN"/>
              </w:rPr>
            </w:pPr>
            <w:r>
              <w:rPr>
                <w:rFonts w:hint="eastAsia"/>
              </w:rPr>
              <w:t>货物需求一栏表中的核心产品为</w:t>
            </w:r>
            <w:r>
              <w:rPr>
                <w:rFonts w:hint="eastAsia"/>
                <w:u w:val="single"/>
              </w:rPr>
              <w:t xml:space="preserve">  计算机  </w:t>
            </w:r>
            <w:r>
              <w:rPr>
                <w:rFonts w:hint="eastAsia"/>
              </w:rPr>
              <w:t>产品。</w:t>
            </w:r>
            <w:r>
              <w:rPr>
                <w:rFonts w:hint="eastAsia"/>
                <w:lang w:eastAsia="zh-CN"/>
              </w:rPr>
              <w:t>（</w:t>
            </w:r>
            <w:r>
              <w:rPr>
                <w:rFonts w:hint="eastAsia"/>
                <w:u w:val="none"/>
                <w:lang w:val="en-US" w:eastAsia="zh-CN"/>
              </w:rPr>
              <w:t>不包含二、体育器材中的计算机</w:t>
            </w:r>
            <w:r>
              <w:rPr>
                <w:rFonts w:hint="eastAsia"/>
                <w:lang w:eastAsia="zh-CN"/>
              </w:rPr>
              <w:t>）</w:t>
            </w:r>
          </w:p>
          <w:p>
            <w:pPr>
              <w:widowControl/>
              <w:jc w:val="left"/>
              <w:rPr>
                <w:rFonts w:hint="eastAsia"/>
              </w:rPr>
            </w:pPr>
            <w:r>
              <w:rPr>
                <w:rFonts w:hint="eastAsia"/>
              </w:rPr>
              <w:t>（三）其他</w:t>
            </w:r>
          </w:p>
          <w:p>
            <w:pPr>
              <w:widowControl/>
              <w:jc w:val="left"/>
              <w:rPr>
                <w:rFonts w:hint="eastAsia"/>
              </w:rPr>
            </w:pPr>
            <w:r>
              <w:rPr>
                <w:rFonts w:hint="eastAsia"/>
              </w:rPr>
              <w:t>本项目采购标的对应的中小企业划分标准所属行业：</w:t>
            </w:r>
            <w:r>
              <w:rPr>
                <w:rFonts w:hint="eastAsia"/>
                <w:u w:val="single"/>
              </w:rPr>
              <w:t>工业</w:t>
            </w:r>
            <w:r>
              <w:rPr>
                <w:rFonts w:hint="eastAsia"/>
              </w:rPr>
              <w:t>。</w:t>
            </w:r>
          </w:p>
        </w:tc>
      </w:tr>
    </w:tbl>
    <w:p>
      <w:pPr>
        <w:spacing w:line="360" w:lineRule="auto"/>
        <w:rPr>
          <w:rFonts w:ascii="宋体" w:hAnsi="宋体" w:cs="宋体"/>
        </w:rPr>
      </w:pPr>
    </w:p>
    <w:p>
      <w:pPr>
        <w:spacing w:line="360" w:lineRule="auto"/>
        <w:rPr>
          <w:rFonts w:ascii="宋体" w:hAnsi="宋体" w:cs="宋体"/>
        </w:rPr>
      </w:pPr>
    </w:p>
    <w:p>
      <w:pPr>
        <w:spacing w:line="360" w:lineRule="auto"/>
        <w:rPr>
          <w:rFonts w:hint="eastAsia" w:ascii="宋体" w:hAnsi="宋体" w:cs="宋体"/>
        </w:rPr>
      </w:pPr>
    </w:p>
    <w:p>
      <w:pPr>
        <w:spacing w:line="360" w:lineRule="auto"/>
        <w:rPr>
          <w:rFonts w:ascii="宋体" w:hAnsi="宋体" w:cs="宋体"/>
        </w:rPr>
      </w:pPr>
    </w:p>
    <w:p>
      <w:pPr>
        <w:rPr>
          <w:b/>
          <w:bCs/>
          <w:sz w:val="28"/>
          <w:szCs w:val="28"/>
        </w:rPr>
      </w:pPr>
      <w:r>
        <w:rPr>
          <w:rFonts w:hint="eastAsia" w:ascii="宋体" w:hAnsi="宋体" w:cs="宋体"/>
          <w:sz w:val="32"/>
          <w:szCs w:val="32"/>
        </w:rPr>
        <w:t>附件1：</w:t>
      </w:r>
    </w:p>
    <w:p>
      <w:pPr>
        <w:jc w:val="center"/>
        <w:rPr>
          <w:b/>
          <w:bCs/>
        </w:rPr>
      </w:pPr>
      <w:bookmarkStart w:id="39" w:name="_Toc31173"/>
      <w:r>
        <w:rPr>
          <w:rFonts w:hint="eastAsia"/>
          <w:b/>
          <w:bCs/>
        </w:rPr>
        <w:t>节能产品政府采购品目清单</w:t>
      </w:r>
      <w:bookmarkEnd w:id="39"/>
    </w:p>
    <w:tbl>
      <w:tblPr>
        <w:tblStyle w:val="25"/>
        <w:tblW w:w="0" w:type="auto"/>
        <w:jc w:val="center"/>
        <w:tblLayout w:type="fixed"/>
        <w:tblCellMar>
          <w:top w:w="0" w:type="dxa"/>
          <w:left w:w="108" w:type="dxa"/>
          <w:bottom w:w="0" w:type="dxa"/>
          <w:right w:w="108" w:type="dxa"/>
        </w:tblCellMar>
      </w:tblPr>
      <w:tblGrid>
        <w:gridCol w:w="641"/>
        <w:gridCol w:w="1116"/>
        <w:gridCol w:w="1516"/>
        <w:gridCol w:w="1612"/>
        <w:gridCol w:w="4335"/>
      </w:tblGrid>
      <w:tr>
        <w:tblPrEx>
          <w:tblCellMar>
            <w:top w:w="0" w:type="dxa"/>
            <w:left w:w="108" w:type="dxa"/>
            <w:bottom w:w="0" w:type="dxa"/>
            <w:right w:w="108" w:type="dxa"/>
          </w:tblCellMar>
        </w:tblPrEx>
        <w:trPr>
          <w:trHeight w:val="555" w:hRule="atLeast"/>
          <w:jc w:val="center"/>
        </w:trPr>
        <w:tc>
          <w:tcPr>
            <w:tcW w:w="641" w:type="dxa"/>
            <w:tcBorders>
              <w:top w:val="single" w:color="000000" w:sz="8" w:space="0"/>
              <w:left w:val="single" w:color="000000" w:sz="8" w:space="0"/>
              <w:bottom w:val="single" w:color="000000" w:sz="8" w:space="0"/>
              <w:right w:val="single" w:color="000000" w:sz="8" w:space="0"/>
            </w:tcBorders>
          </w:tcPr>
          <w:p>
            <w:pPr>
              <w:widowControl/>
              <w:jc w:val="center"/>
              <w:rPr>
                <w:rFonts w:ascii="宋体" w:hAnsi="宋体" w:cs="宋体"/>
                <w:b/>
                <w:bCs/>
                <w:kern w:val="0"/>
                <w:sz w:val="22"/>
                <w:szCs w:val="22"/>
              </w:rPr>
            </w:pPr>
            <w:r>
              <w:rPr>
                <w:rFonts w:hint="eastAsia" w:ascii="宋体" w:hAnsi="宋体" w:cs="宋体"/>
                <w:b/>
                <w:bCs/>
                <w:kern w:val="0"/>
                <w:sz w:val="22"/>
                <w:szCs w:val="22"/>
              </w:rPr>
              <w:t>品目序号</w:t>
            </w:r>
          </w:p>
        </w:tc>
        <w:tc>
          <w:tcPr>
            <w:tcW w:w="4244" w:type="dxa"/>
            <w:gridSpan w:val="3"/>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名称</w:t>
            </w:r>
          </w:p>
        </w:tc>
        <w:tc>
          <w:tcPr>
            <w:tcW w:w="4335" w:type="dxa"/>
            <w:tcBorders>
              <w:top w:val="single" w:color="000000" w:sz="8" w:space="0"/>
              <w:left w:val="nil"/>
              <w:bottom w:val="single" w:color="000000" w:sz="8" w:space="0"/>
              <w:right w:val="single" w:color="000000" w:sz="8" w:space="0"/>
            </w:tcBorders>
            <w:vAlign w:val="center"/>
          </w:tcPr>
          <w:p>
            <w:pPr>
              <w:widowControl/>
              <w:jc w:val="center"/>
              <w:rPr>
                <w:rFonts w:ascii="宋体" w:hAnsi="宋体" w:cs="宋体"/>
                <w:b/>
                <w:bCs/>
                <w:kern w:val="0"/>
                <w:sz w:val="22"/>
                <w:szCs w:val="22"/>
              </w:rPr>
            </w:pPr>
            <w:r>
              <w:rPr>
                <w:rFonts w:hint="eastAsia" w:ascii="宋体" w:hAnsi="宋体" w:cs="宋体"/>
                <w:b/>
                <w:bCs/>
                <w:kern w:val="0"/>
                <w:sz w:val="22"/>
                <w:szCs w:val="22"/>
              </w:rPr>
              <w:t>依据的标准</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A020101计算机设备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★A02010104台式计算机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★A02010105便携式计算机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★A02010107平板式微型计算机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《微型计算机能效限定值及能效等级》（GB28380）</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2</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A020106输入输出设备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A02010601打印设备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A0201060101喷墨打印机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★A0201060102激光打印机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★A0201060104针式打印机</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A02010604显示设备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w:t>
            </w:r>
            <w:bookmarkStart w:id="40" w:name="OLE_LINK2"/>
            <w:r>
              <w:rPr>
                <w:rFonts w:hint="eastAsia" w:ascii="宋体" w:hAnsi="宋体" w:cs="宋体"/>
                <w:kern w:val="0"/>
                <w:sz w:val="20"/>
                <w:szCs w:val="20"/>
              </w:rPr>
              <w:t>A0201060401液晶显示器</w:t>
            </w:r>
            <w:bookmarkEnd w:id="40"/>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《计算机显示器能效限定值及能效等级》（GB21520）</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A02010609图形图像输入设备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A0201060901扫描仪</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参照《复印机、打印机和传真机能效限定值及能效等级》（GB21521中打印速度为15页/分的针式打印机相关要求中打印速度为15页/分的针式打印机相关要求）</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A020202投影仪</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《投影机能效限定值及能效等级》（GB32028）</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A020204多功能一体机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《复印机、打印机和传真机能效限定值及能效等级》（GB21521）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5</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A020519泵</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A02051901离心泵</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《清水离心泵能效限定值及节能评价值》（GB19762）</w:t>
            </w:r>
          </w:p>
        </w:tc>
      </w:tr>
      <w:tr>
        <w:tblPrEx>
          <w:tblCellMar>
            <w:top w:w="0" w:type="dxa"/>
            <w:left w:w="108" w:type="dxa"/>
            <w:bottom w:w="0" w:type="dxa"/>
            <w:right w:w="108" w:type="dxa"/>
          </w:tblCellMar>
        </w:tblPrEx>
        <w:trPr>
          <w:trHeight w:val="73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6</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A020523制冷空调设备</w:t>
            </w: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★A02052301制冷压缩机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《冷水机组能效限定值及能效等级》（GB19577），《低环境温度空气源热泵（冷水）机组能效限定值及能效等级》（GB37480）</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水源热泵机组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《水（地）源热泵机组能效限定值及能效等级》（GB30721）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溴化锂吸收式冷水机组</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《溴化锂吸收式冷水机组能效限定值及能效等级》（GB29540）</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★A02052305空调机组</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单元式空气调节机（制冷量&gt;14000W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《单元式空气调节机能效限定值及能效等级》（GB19576）《风管送风式空调机组能效限定值及能效等级》（GB37479）</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★A02052309专用制冷、空调设备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机房空调</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《单元式空气调节机能效限定值及能效等级》（GB19576）</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A02052399其他制冷空调设备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冷却塔</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《机械通风冷却塔第1部分：中小型开式冷却塔》（GB/T7190.1）；《机械通风冷却塔第2部分：大型开式冷却塔》（GB/T7190.2）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A020601电机</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《中小型三相异步电动机能效限定值及能效等级》（GB18613）</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A020602变压器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配电变压器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《三相配电变压器能效限定值及能效等级》（GB20052）</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9</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★A020609镇流器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管型荧光灯镇流器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《管形荧光灯镇流器能效限定值及能效等级》（GB17896）</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10</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A020618生活用电器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A0206180101电冰箱</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《家用电冰箱耗电量限定值及能效等级》（GB 12021.2）</w:t>
            </w:r>
          </w:p>
        </w:tc>
      </w:tr>
      <w:tr>
        <w:tblPrEx>
          <w:tblCellMar>
            <w:top w:w="0" w:type="dxa"/>
            <w:left w:w="108" w:type="dxa"/>
            <w:bottom w:w="0" w:type="dxa"/>
            <w:right w:w="108" w:type="dxa"/>
          </w:tblCellMar>
        </w:tblPrEx>
        <w:trPr>
          <w:trHeight w:val="97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★A0206180203空调机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房间空气调节器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《转速可控型房间空气调节器能效限定值及能效等级》（GB21455-2013），待2019年修订发布后，按《房间空气调节器能效限定值及能效等级》GB21455-2019实施。</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多联式空调（热泵）机组（制冷量≤ 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《多联式空调（热泵）机组能效限定值及能源效率等级》（GB21454）</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单元式空气调节机（制冷量≤14000W)</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《单元式空气调节机能效限定值及能源效率等级》（GB19576）《风管送风式空调机组能效限定值及能效等级》（GB37479）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A0206180301洗衣机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《电动洗衣机能效水效限定值及等级》（GB12021.4）</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A02061808热水器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《储水式电热水器能效限定值及能效等级》（GB21519）</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燃气热水器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《家用燃气快速热水器和燃气采暖热水炉能效限定值及能效等级》（GB20665）</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热泵热水器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《热泵热水机（器）能效限定值及能效等级》（GB29541）</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太阳能热水系统</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《家用太阳能热水系统能效限定值及能效等级》（GB26969）</w:t>
            </w:r>
          </w:p>
        </w:tc>
      </w:tr>
      <w:tr>
        <w:tblPrEx>
          <w:tblCellMar>
            <w:top w:w="0" w:type="dxa"/>
            <w:left w:w="108" w:type="dxa"/>
            <w:bottom w:w="0" w:type="dxa"/>
            <w:right w:w="108" w:type="dxa"/>
          </w:tblCellMar>
        </w:tblPrEx>
        <w:trPr>
          <w:trHeight w:val="49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11</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A020619照明设备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★普通照明用双端荧光灯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《普通照明用双端荧光灯能效限定值及能效等级》（GB19043）</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LED道路/隧道照明产品</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《道路和隧道照明用LED灯具能效限定值及能效等级》（GB37478）</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LED筒灯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普通照明用非定向自镇流LED灯</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《室内照明用LED产品能效限定值及能效等级》（GB30255）</w:t>
            </w:r>
          </w:p>
        </w:tc>
      </w:tr>
      <w:tr>
        <w:tblPrEx>
          <w:tblCellMar>
            <w:top w:w="0" w:type="dxa"/>
            <w:left w:w="108" w:type="dxa"/>
            <w:bottom w:w="0" w:type="dxa"/>
            <w:right w:w="108" w:type="dxa"/>
          </w:tblCellMar>
        </w:tblPrEx>
        <w:trPr>
          <w:trHeight w:val="73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12</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★A020910电视设备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A02091001普通电视设备（电视机）</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《平板电视能效限定值及能效等级》（GB24850）</w:t>
            </w:r>
          </w:p>
        </w:tc>
      </w:tr>
      <w:tr>
        <w:tblPrEx>
          <w:tblCellMar>
            <w:top w:w="0" w:type="dxa"/>
            <w:left w:w="108" w:type="dxa"/>
            <w:bottom w:w="0" w:type="dxa"/>
            <w:right w:w="108" w:type="dxa"/>
          </w:tblCellMar>
        </w:tblPrEx>
        <w:trPr>
          <w:trHeight w:val="97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13</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★A020911视频设备</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A02091107视频监控设备</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监视器</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以射频信号为主要信号输入的监视器应符合《平板电视能效限定值及能效等级》（GB24850），以数字信号为主要信号输入的监视器应符合《计算机显示器能效限定值及能效等级》（GB21520）</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14</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A031210饮食炊事机械</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商用燃气灶具</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《商用燃气灶具能效限定值及能效等级》（GB30531）</w:t>
            </w:r>
          </w:p>
        </w:tc>
      </w:tr>
      <w:tr>
        <w:tblPrEx>
          <w:tblCellMar>
            <w:top w:w="0" w:type="dxa"/>
            <w:left w:w="108" w:type="dxa"/>
            <w:bottom w:w="0" w:type="dxa"/>
            <w:right w:w="108" w:type="dxa"/>
          </w:tblCellMar>
        </w:tblPrEx>
        <w:trPr>
          <w:trHeight w:val="285" w:hRule="atLeast"/>
          <w:jc w:val="center"/>
        </w:trPr>
        <w:tc>
          <w:tcPr>
            <w:tcW w:w="641"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15</w:t>
            </w:r>
          </w:p>
        </w:tc>
        <w:tc>
          <w:tcPr>
            <w:tcW w:w="1116" w:type="dxa"/>
            <w:vMerge w:val="restart"/>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★A060805便器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坐便器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《坐便器水效限定值及水效等级》（GB25502）</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蹲便器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《蹲便器用水效率限定值及用水效率等级》（GB30717）</w:t>
            </w:r>
          </w:p>
        </w:tc>
      </w:tr>
      <w:tr>
        <w:tblPrEx>
          <w:tblCellMar>
            <w:top w:w="0" w:type="dxa"/>
            <w:left w:w="108" w:type="dxa"/>
            <w:bottom w:w="0" w:type="dxa"/>
            <w:right w:w="108" w:type="dxa"/>
          </w:tblCellMar>
        </w:tblPrEx>
        <w:trPr>
          <w:trHeight w:val="495" w:hRule="atLeast"/>
          <w:jc w:val="center"/>
        </w:trPr>
        <w:tc>
          <w:tcPr>
            <w:tcW w:w="641"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116" w:type="dxa"/>
            <w:vMerge w:val="continue"/>
            <w:tcBorders>
              <w:top w:val="nil"/>
              <w:left w:val="single" w:color="000000" w:sz="8" w:space="0"/>
              <w:bottom w:val="single" w:color="000000" w:sz="8" w:space="0"/>
              <w:right w:val="single" w:color="000000" w:sz="8" w:space="0"/>
            </w:tcBorders>
            <w:vAlign w:val="center"/>
          </w:tcPr>
          <w:p>
            <w:pPr>
              <w:widowControl/>
              <w:jc w:val="left"/>
              <w:rPr>
                <w:rFonts w:ascii="宋体" w:hAnsi="宋体" w:cs="宋体"/>
                <w:kern w:val="0"/>
                <w:sz w:val="20"/>
                <w:szCs w:val="20"/>
              </w:rPr>
            </w:pP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小便器</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《小便器用水效率限定值及用水效率等级》（GB28377）</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16</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★A060806水嘴</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《水嘴用水效率限定值及用水效率等级》（GB 25501）</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17</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A060807便器冲洗阀</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《便器冲洗阀用水效率限定值及用水效率等级》（GB28379）</w:t>
            </w:r>
          </w:p>
        </w:tc>
      </w:tr>
      <w:tr>
        <w:tblPrEx>
          <w:tblCellMar>
            <w:top w:w="0" w:type="dxa"/>
            <w:left w:w="108" w:type="dxa"/>
            <w:bottom w:w="0" w:type="dxa"/>
            <w:right w:w="108" w:type="dxa"/>
          </w:tblCellMar>
        </w:tblPrEx>
        <w:trPr>
          <w:trHeight w:val="495" w:hRule="atLeast"/>
          <w:jc w:val="center"/>
        </w:trPr>
        <w:tc>
          <w:tcPr>
            <w:tcW w:w="641" w:type="dxa"/>
            <w:tcBorders>
              <w:top w:val="nil"/>
              <w:left w:val="single" w:color="000000" w:sz="8" w:space="0"/>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18</w:t>
            </w:r>
          </w:p>
        </w:tc>
        <w:tc>
          <w:tcPr>
            <w:tcW w:w="11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A060810淋浴器</w:t>
            </w:r>
          </w:p>
        </w:tc>
        <w:tc>
          <w:tcPr>
            <w:tcW w:w="1516"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1612" w:type="dxa"/>
            <w:tcBorders>
              <w:top w:val="nil"/>
              <w:left w:val="nil"/>
              <w:bottom w:val="single" w:color="000000" w:sz="8" w:space="0"/>
              <w:right w:val="single" w:color="000000" w:sz="8" w:space="0"/>
            </w:tcBorders>
            <w:vAlign w:val="center"/>
          </w:tcPr>
          <w:p>
            <w:pPr>
              <w:widowControl/>
              <w:jc w:val="center"/>
              <w:rPr>
                <w:rFonts w:ascii="宋体" w:hAnsi="宋体" w:cs="宋体"/>
                <w:kern w:val="0"/>
                <w:sz w:val="20"/>
                <w:szCs w:val="20"/>
              </w:rPr>
            </w:pPr>
            <w:r>
              <w:rPr>
                <w:rFonts w:hint="eastAsia" w:ascii="宋体" w:hAnsi="宋体" w:cs="宋体"/>
                <w:kern w:val="0"/>
                <w:sz w:val="20"/>
                <w:szCs w:val="20"/>
              </w:rPr>
              <w:t>　</w:t>
            </w:r>
          </w:p>
        </w:tc>
        <w:tc>
          <w:tcPr>
            <w:tcW w:w="4335" w:type="dxa"/>
            <w:tcBorders>
              <w:top w:val="nil"/>
              <w:left w:val="nil"/>
              <w:bottom w:val="single" w:color="000000" w:sz="8" w:space="0"/>
              <w:right w:val="single" w:color="000000" w:sz="8" w:space="0"/>
            </w:tcBorders>
            <w:vAlign w:val="center"/>
          </w:tcPr>
          <w:p>
            <w:pPr>
              <w:widowControl/>
              <w:jc w:val="left"/>
              <w:rPr>
                <w:rFonts w:ascii="宋体" w:hAnsi="宋体" w:cs="宋体"/>
                <w:kern w:val="0"/>
                <w:sz w:val="20"/>
                <w:szCs w:val="20"/>
              </w:rPr>
            </w:pPr>
            <w:r>
              <w:rPr>
                <w:rFonts w:hint="eastAsia" w:ascii="宋体" w:hAnsi="宋体" w:cs="宋体"/>
                <w:kern w:val="0"/>
                <w:sz w:val="20"/>
                <w:szCs w:val="20"/>
              </w:rPr>
              <w:t>《淋浴器用水效率限定值及用水效率等级》（GB28378）</w:t>
            </w:r>
          </w:p>
        </w:tc>
      </w:tr>
    </w:tbl>
    <w:p>
      <w:pPr>
        <w:pStyle w:val="9"/>
        <w:spacing w:line="360" w:lineRule="auto"/>
        <w:ind w:firstLine="468"/>
        <w:rPr>
          <w:rFonts w:ascii="宋体" w:hAnsi="宋体" w:cs="宋体"/>
          <w:spacing w:val="-3"/>
          <w:szCs w:val="21"/>
        </w:rPr>
      </w:pPr>
    </w:p>
    <w:p>
      <w:pPr>
        <w:pStyle w:val="9"/>
        <w:spacing w:line="360" w:lineRule="auto"/>
        <w:ind w:firstLine="468"/>
        <w:rPr>
          <w:rFonts w:ascii="宋体" w:hAnsi="宋体" w:cs="宋体"/>
          <w:spacing w:val="-3"/>
          <w:szCs w:val="21"/>
        </w:rPr>
      </w:pPr>
      <w:r>
        <w:rPr>
          <w:rFonts w:hint="eastAsia" w:ascii="宋体" w:hAnsi="宋体" w:cs="宋体"/>
          <w:spacing w:val="-3"/>
          <w:szCs w:val="21"/>
        </w:rPr>
        <w:t>注：1.节能产品认证应依据相关国家标准的最新版本，依据国家标准中二级能效（水效）指标。</w:t>
      </w:r>
    </w:p>
    <w:p>
      <w:pPr>
        <w:pStyle w:val="9"/>
        <w:spacing w:line="360" w:lineRule="auto"/>
        <w:ind w:firstLine="468"/>
        <w:rPr>
          <w:rFonts w:ascii="宋体" w:hAnsi="宋体" w:cs="宋体"/>
          <w:spacing w:val="-3"/>
          <w:szCs w:val="21"/>
        </w:rPr>
      </w:pPr>
      <w:r>
        <w:rPr>
          <w:rFonts w:hint="eastAsia" w:ascii="宋体" w:hAnsi="宋体" w:cs="宋体"/>
          <w:spacing w:val="-3"/>
          <w:szCs w:val="21"/>
        </w:rPr>
        <w:t xml:space="preserve">    2.以“★”标注的为政府强制采购产品。</w:t>
      </w:r>
    </w:p>
    <w:p>
      <w:pPr>
        <w:pStyle w:val="12"/>
        <w:spacing w:line="360" w:lineRule="auto"/>
        <w:jc w:val="left"/>
        <w:rPr>
          <w:rFonts w:hAnsi="宋体" w:cs="宋体"/>
          <w:sz w:val="32"/>
          <w:szCs w:val="32"/>
        </w:rPr>
      </w:pPr>
      <w:r>
        <w:rPr>
          <w:rFonts w:hint="eastAsia" w:hAnsi="宋体" w:cs="宋体"/>
        </w:rPr>
        <w:br w:type="page"/>
      </w:r>
      <w:r>
        <w:rPr>
          <w:rFonts w:hint="eastAsia" w:hAnsi="宋体" w:cs="宋体"/>
          <w:sz w:val="32"/>
          <w:szCs w:val="32"/>
        </w:rPr>
        <w:t>附件2：</w:t>
      </w:r>
    </w:p>
    <w:p>
      <w:pPr>
        <w:jc w:val="center"/>
        <w:rPr>
          <w:b/>
          <w:bCs/>
          <w:sz w:val="28"/>
          <w:szCs w:val="28"/>
        </w:rPr>
      </w:pPr>
      <w:bookmarkStart w:id="41" w:name="_Toc16661"/>
      <w:r>
        <w:rPr>
          <w:rFonts w:hint="eastAsia"/>
          <w:b/>
          <w:bCs/>
          <w:sz w:val="28"/>
          <w:szCs w:val="28"/>
        </w:rPr>
        <w:t>中小微企业划型标准</w:t>
      </w:r>
      <w:bookmarkEnd w:id="41"/>
    </w:p>
    <w:tbl>
      <w:tblPr>
        <w:tblStyle w:val="25"/>
        <w:tblW w:w="0" w:type="auto"/>
        <w:jc w:val="center"/>
        <w:tblLayout w:type="fixed"/>
        <w:tblCellMar>
          <w:top w:w="0" w:type="dxa"/>
          <w:left w:w="108" w:type="dxa"/>
          <w:bottom w:w="0" w:type="dxa"/>
          <w:right w:w="108" w:type="dxa"/>
        </w:tblCellMar>
      </w:tblPr>
      <w:tblGrid>
        <w:gridCol w:w="1701"/>
        <w:gridCol w:w="1384"/>
        <w:gridCol w:w="913"/>
        <w:gridCol w:w="1620"/>
        <w:gridCol w:w="1440"/>
        <w:gridCol w:w="925"/>
      </w:tblGrid>
      <w:tr>
        <w:tblPrEx>
          <w:tblCellMar>
            <w:top w:w="0" w:type="dxa"/>
            <w:left w:w="108" w:type="dxa"/>
            <w:bottom w:w="0" w:type="dxa"/>
            <w:right w:w="108" w:type="dxa"/>
          </w:tblCellMar>
        </w:tblPrEx>
        <w:trPr>
          <w:trHeight w:val="285" w:hRule="atLeast"/>
          <w:jc w:val="center"/>
        </w:trPr>
        <w:tc>
          <w:tcPr>
            <w:tcW w:w="1701" w:type="dxa"/>
            <w:tcBorders>
              <w:top w:val="single" w:color="auto" w:sz="4" w:space="0"/>
              <w:left w:val="single" w:color="auto" w:sz="4" w:space="0"/>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行业名称</w:t>
            </w:r>
          </w:p>
        </w:tc>
        <w:tc>
          <w:tcPr>
            <w:tcW w:w="1384"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指标名称</w:t>
            </w:r>
          </w:p>
        </w:tc>
        <w:tc>
          <w:tcPr>
            <w:tcW w:w="913"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计量单位</w:t>
            </w:r>
          </w:p>
        </w:tc>
        <w:tc>
          <w:tcPr>
            <w:tcW w:w="162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中型</w:t>
            </w:r>
          </w:p>
        </w:tc>
        <w:tc>
          <w:tcPr>
            <w:tcW w:w="1440"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小型</w:t>
            </w:r>
          </w:p>
        </w:tc>
        <w:tc>
          <w:tcPr>
            <w:tcW w:w="925" w:type="dxa"/>
            <w:tcBorders>
              <w:top w:val="single" w:color="auto" w:sz="4" w:space="0"/>
              <w:left w:val="nil"/>
              <w:bottom w:val="single" w:color="auto" w:sz="4" w:space="0"/>
              <w:right w:val="single" w:color="auto" w:sz="4" w:space="0"/>
            </w:tcBorders>
            <w:vAlign w:val="center"/>
          </w:tcPr>
          <w:p>
            <w:pPr>
              <w:widowControl/>
              <w:jc w:val="center"/>
              <w:rPr>
                <w:rFonts w:ascii="宋体" w:hAnsi="宋体" w:cs="宋体"/>
                <w:b/>
                <w:kern w:val="0"/>
                <w:sz w:val="24"/>
              </w:rPr>
            </w:pPr>
            <w:r>
              <w:rPr>
                <w:rFonts w:hint="eastAsia" w:ascii="宋体" w:hAnsi="宋体" w:cs="宋体"/>
                <w:b/>
                <w:kern w:val="0"/>
                <w:sz w:val="24"/>
              </w:rPr>
              <w:t>微型</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农、林、牧、渔</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工业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建筑业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6000≤Y＜80000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300≤Y＜6000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Y＜300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5000≤Z＜80000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300≤Z＜5000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Z＜300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批发业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5≤X＜20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X＜5</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5000≤Y＜40000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零售业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10≤X＜50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100≤Y＜500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交通运输业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200≤Y＜3000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仓储业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邮政业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X＜20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2000≤Y＜30000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住宿业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餐饮业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100≤Y＜2000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信息传输业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100≤X＜2000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软件和信息技术服务业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房地产开发经营</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1000≤Y＜200000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5000≤Z＜10000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2000≤Y＜5000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Y＜2000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物业管理</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300≤X＜1000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营业收入（Y）</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1000≤Y＜5000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500≤Y＜1000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Y＜500</w:t>
            </w:r>
          </w:p>
        </w:tc>
      </w:tr>
      <w:tr>
        <w:tblPrEx>
          <w:tblCellMar>
            <w:top w:w="0" w:type="dxa"/>
            <w:left w:w="108" w:type="dxa"/>
            <w:bottom w:w="0" w:type="dxa"/>
            <w:right w:w="108" w:type="dxa"/>
          </w:tblCellMar>
        </w:tblPrEx>
        <w:trPr>
          <w:trHeight w:val="225" w:hRule="atLeast"/>
          <w:jc w:val="center"/>
        </w:trPr>
        <w:tc>
          <w:tcPr>
            <w:tcW w:w="1701" w:type="dxa"/>
            <w:vMerge w:val="restart"/>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租赁和商务服务业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r>
        <w:tblPrEx>
          <w:tblCellMar>
            <w:top w:w="0" w:type="dxa"/>
            <w:left w:w="108" w:type="dxa"/>
            <w:bottom w:w="0" w:type="dxa"/>
            <w:right w:w="108" w:type="dxa"/>
          </w:tblCellMar>
        </w:tblPrEx>
        <w:trPr>
          <w:trHeight w:val="225" w:hRule="atLeast"/>
          <w:jc w:val="center"/>
        </w:trPr>
        <w:tc>
          <w:tcPr>
            <w:tcW w:w="170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宋体"/>
                <w:b/>
                <w:bCs/>
                <w:kern w:val="0"/>
                <w:sz w:val="18"/>
                <w:szCs w:val="18"/>
              </w:rPr>
            </w:pP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资产总额（Z）</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万元</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8000≤Z＜120000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100≤Z＜8000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Y＜100</w:t>
            </w:r>
          </w:p>
        </w:tc>
      </w:tr>
      <w:tr>
        <w:tblPrEx>
          <w:tblCellMar>
            <w:top w:w="0" w:type="dxa"/>
            <w:left w:w="108" w:type="dxa"/>
            <w:bottom w:w="0" w:type="dxa"/>
            <w:right w:w="108" w:type="dxa"/>
          </w:tblCellMar>
        </w:tblPrEx>
        <w:trPr>
          <w:trHeight w:val="225" w:hRule="atLeast"/>
          <w:jc w:val="center"/>
        </w:trPr>
        <w:tc>
          <w:tcPr>
            <w:tcW w:w="1701" w:type="dxa"/>
            <w:tcBorders>
              <w:top w:val="nil"/>
              <w:left w:val="single" w:color="auto" w:sz="4" w:space="0"/>
              <w:bottom w:val="single" w:color="auto" w:sz="4" w:space="0"/>
              <w:right w:val="single" w:color="auto" w:sz="4" w:space="0"/>
            </w:tcBorders>
            <w:vAlign w:val="bottom"/>
          </w:tcPr>
          <w:p>
            <w:pPr>
              <w:widowControl/>
              <w:jc w:val="center"/>
              <w:rPr>
                <w:rFonts w:ascii="宋体" w:hAnsi="宋体" w:cs="宋体"/>
                <w:b/>
                <w:bCs/>
                <w:kern w:val="0"/>
                <w:sz w:val="18"/>
                <w:szCs w:val="18"/>
              </w:rPr>
            </w:pPr>
            <w:r>
              <w:rPr>
                <w:rFonts w:hint="eastAsia" w:ascii="宋体" w:hAnsi="宋体" w:cs="宋体"/>
                <w:b/>
                <w:bCs/>
                <w:kern w:val="0"/>
                <w:sz w:val="18"/>
                <w:szCs w:val="18"/>
              </w:rPr>
              <w:t>其他未列明行业</w:t>
            </w:r>
          </w:p>
        </w:tc>
        <w:tc>
          <w:tcPr>
            <w:tcW w:w="1384"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从业人员（X）</w:t>
            </w:r>
          </w:p>
        </w:tc>
        <w:tc>
          <w:tcPr>
            <w:tcW w:w="913"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人</w:t>
            </w:r>
          </w:p>
        </w:tc>
        <w:tc>
          <w:tcPr>
            <w:tcW w:w="162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100≤X＜300</w:t>
            </w:r>
          </w:p>
        </w:tc>
        <w:tc>
          <w:tcPr>
            <w:tcW w:w="1440"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10≤X＜100</w:t>
            </w:r>
          </w:p>
        </w:tc>
        <w:tc>
          <w:tcPr>
            <w:tcW w:w="925" w:type="dxa"/>
            <w:tcBorders>
              <w:top w:val="nil"/>
              <w:left w:val="nil"/>
              <w:bottom w:val="single" w:color="auto" w:sz="4" w:space="0"/>
              <w:right w:val="single" w:color="auto" w:sz="4" w:space="0"/>
            </w:tcBorders>
            <w:vAlign w:val="center"/>
          </w:tcPr>
          <w:p>
            <w:pPr>
              <w:widowControl/>
              <w:jc w:val="left"/>
              <w:rPr>
                <w:rFonts w:ascii="宋体" w:hAnsi="宋体" w:cs="宋体"/>
                <w:kern w:val="0"/>
                <w:sz w:val="18"/>
                <w:szCs w:val="18"/>
              </w:rPr>
            </w:pPr>
            <w:r>
              <w:rPr>
                <w:rFonts w:hint="eastAsia" w:ascii="宋体" w:hAnsi="宋体" w:cs="宋体"/>
                <w:kern w:val="0"/>
                <w:sz w:val="18"/>
                <w:szCs w:val="18"/>
              </w:rPr>
              <w:t>X＜10</w:t>
            </w:r>
          </w:p>
        </w:tc>
      </w:tr>
    </w:tbl>
    <w:p>
      <w:pPr>
        <w:spacing w:line="360" w:lineRule="auto"/>
        <w:ind w:firstLine="525" w:firstLineChars="250"/>
        <w:rPr>
          <w:rFonts w:ascii="宋体" w:hAnsi="宋体" w:cs="宋体"/>
          <w:szCs w:val="21"/>
        </w:rPr>
      </w:pPr>
      <w:r>
        <w:rPr>
          <w:rFonts w:hint="eastAsia" w:ascii="宋体" w:hAnsi="宋体" w:cs="宋体"/>
          <w:szCs w:val="21"/>
        </w:rPr>
        <w:t>说明：上述标准参照《关于印发中小企业划型标准规定的通知》（工信部联企业[2011]300号），大型、中型和小型企业须同时满足所列指标的下限，否则下划一档；微型企业只须满足所列指标中的一项即可。</w:t>
      </w:r>
    </w:p>
    <w:p>
      <w:pPr>
        <w:pStyle w:val="12"/>
        <w:spacing w:line="360" w:lineRule="auto"/>
        <w:jc w:val="center"/>
        <w:outlineLvl w:val="0"/>
        <w:rPr>
          <w:rFonts w:hAnsi="宋体" w:cs="宋体"/>
        </w:rPr>
        <w:sectPr>
          <w:footerReference r:id="rId6" w:type="default"/>
          <w:pgSz w:w="11906" w:h="16838"/>
          <w:pgMar w:top="1440" w:right="1080" w:bottom="1440" w:left="1080" w:header="720" w:footer="720" w:gutter="0"/>
          <w:cols w:space="720" w:num="1"/>
          <w:docGrid w:type="lines" w:linePitch="331" w:charSpace="0"/>
        </w:sectPr>
      </w:pPr>
    </w:p>
    <w:p>
      <w:pPr>
        <w:pStyle w:val="12"/>
        <w:spacing w:line="360" w:lineRule="auto"/>
        <w:jc w:val="center"/>
        <w:outlineLvl w:val="0"/>
        <w:rPr>
          <w:rFonts w:hAnsi="宋体" w:cs="宋体"/>
          <w:b/>
          <w:sz w:val="36"/>
          <w:szCs w:val="36"/>
        </w:rPr>
      </w:pPr>
      <w:bookmarkStart w:id="42" w:name="_Toc8902"/>
      <w:bookmarkStart w:id="43" w:name="_Toc532545044"/>
      <w:r>
        <w:rPr>
          <w:rFonts w:hint="eastAsia" w:hAnsi="宋体" w:cs="宋体"/>
          <w:b/>
          <w:sz w:val="36"/>
        </w:rPr>
        <w:t>第三章  投标人须知</w:t>
      </w:r>
      <w:bookmarkEnd w:id="42"/>
      <w:bookmarkEnd w:id="43"/>
    </w:p>
    <w:p>
      <w:pPr>
        <w:pStyle w:val="12"/>
        <w:spacing w:line="360" w:lineRule="auto"/>
        <w:jc w:val="center"/>
        <w:outlineLvl w:val="1"/>
        <w:rPr>
          <w:rFonts w:hAnsi="宋体" w:cs="宋体"/>
          <w:b/>
          <w:sz w:val="30"/>
          <w:szCs w:val="30"/>
        </w:rPr>
      </w:pPr>
      <w:bookmarkStart w:id="44" w:name="_Toc7735"/>
      <w:r>
        <w:rPr>
          <w:rFonts w:hint="eastAsia" w:hAnsi="宋体" w:cs="宋体"/>
          <w:b/>
          <w:sz w:val="30"/>
          <w:szCs w:val="30"/>
        </w:rPr>
        <w:t>第一节 投标人须知前附表</w:t>
      </w:r>
      <w:bookmarkEnd w:id="44"/>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950"/>
        <w:gridCol w:w="1993"/>
        <w:gridCol w:w="729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条款号</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项目内容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b/>
                <w:bCs/>
                <w:szCs w:val="21"/>
              </w:rPr>
            </w:pPr>
            <w:r>
              <w:rPr>
                <w:rFonts w:hint="eastAsia" w:ascii="宋体" w:hAnsi="宋体" w:cs="宋体"/>
                <w:b/>
                <w:bCs/>
                <w:szCs w:val="21"/>
              </w:rPr>
              <w:t>编列内容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45" w:name="_5"/>
            <w:bookmarkEnd w:id="45"/>
            <w:bookmarkStart w:id="46" w:name="_8.1"/>
            <w:bookmarkEnd w:id="46"/>
            <w:bookmarkStart w:id="47" w:name="_9.2"/>
            <w:bookmarkEnd w:id="47"/>
            <w:r>
              <w:rPr>
                <w:rFonts w:hint="eastAsia" w:ascii="宋体" w:hAnsi="宋体" w:cs="宋体"/>
                <w:szCs w:val="21"/>
              </w:rPr>
              <w:t>是否接受联合体投标</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8" w:name="PO_3000001866_PM007"/>
            <w:r>
              <w:rPr>
                <w:rFonts w:hint="eastAsia" w:ascii="宋体" w:hAnsi="宋体" w:cs="宋体"/>
                <w:szCs w:val="21"/>
              </w:rPr>
              <w:t>不允许联合体投标</w:t>
            </w:r>
            <w:bookmarkEnd w:id="48"/>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联合体投标要求</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r>
              <w:rPr>
                <w:rFonts w:hint="eastAsia" w:ascii="宋体" w:hAnsi="宋体" w:cs="宋体"/>
                <w:szCs w:val="21"/>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是否允许转包/分包</w:t>
            </w:r>
          </w:p>
        </w:tc>
        <w:tc>
          <w:tcPr>
            <w:tcW w:w="7297" w:type="dxa"/>
            <w:tcBorders>
              <w:top w:val="single" w:color="auto" w:sz="4" w:space="0"/>
              <w:left w:val="single" w:color="auto" w:sz="4" w:space="0"/>
              <w:bottom w:val="single" w:color="auto" w:sz="4" w:space="0"/>
              <w:right w:val="single" w:color="auto" w:sz="4" w:space="0"/>
            </w:tcBorders>
            <w:vAlign w:val="center"/>
          </w:tcPr>
          <w:p>
            <w:pPr>
              <w:pStyle w:val="8"/>
              <w:spacing w:line="360" w:lineRule="auto"/>
              <w:rPr>
                <w:rFonts w:ascii="宋体" w:hAnsi="宋体" w:cs="宋体"/>
                <w:szCs w:val="21"/>
              </w:rPr>
            </w:pPr>
            <w:bookmarkStart w:id="49" w:name="PO_3000001866_PM044"/>
            <w:r>
              <w:rPr>
                <w:rFonts w:hint="eastAsia" w:ascii="宋体" w:hAnsi="宋体" w:cs="宋体"/>
                <w:szCs w:val="21"/>
              </w:rPr>
              <w:t>不允许</w:t>
            </w:r>
            <w:bookmarkEnd w:id="49"/>
            <w:r>
              <w:rPr>
                <w:rFonts w:hint="eastAsia" w:ascii="宋体" w:hAnsi="宋体" w:cs="宋体"/>
                <w:szCs w:val="21"/>
              </w:rPr>
              <w:t>转包/分包</w:t>
            </w:r>
          </w:p>
          <w:p>
            <w:pPr>
              <w:pStyle w:val="8"/>
              <w:spacing w:line="360" w:lineRule="auto"/>
              <w:rPr>
                <w:rFonts w:ascii="宋体" w:hAnsi="宋体" w:cs="宋体"/>
                <w:szCs w:val="21"/>
              </w:rPr>
            </w:pPr>
            <w:r>
              <w:rPr>
                <w:rFonts w:hint="eastAsia" w:ascii="宋体" w:hAnsi="宋体" w:cs="宋体"/>
                <w:szCs w:val="21"/>
              </w:rPr>
              <w:t>转包/分包内容：</w:t>
            </w:r>
            <w:r>
              <w:rPr>
                <w:rFonts w:hint="eastAsia" w:ascii="宋体" w:hAnsi="宋体" w:cs="宋体"/>
                <w:szCs w:val="21"/>
                <w:u w:val="single"/>
              </w:rPr>
              <w:t xml:space="preserve">  / 。</w:t>
            </w:r>
          </w:p>
          <w:p>
            <w:pPr>
              <w:pStyle w:val="8"/>
              <w:spacing w:line="360" w:lineRule="auto"/>
              <w:rPr>
                <w:rFonts w:ascii="宋体" w:hAnsi="宋体" w:cs="宋体"/>
                <w:szCs w:val="21"/>
              </w:rPr>
            </w:pPr>
            <w:r>
              <w:rPr>
                <w:rFonts w:hint="eastAsia" w:ascii="宋体" w:hAnsi="宋体" w:cs="宋体"/>
                <w:szCs w:val="21"/>
              </w:rPr>
              <w:t>转包/分包金额或者比例：</w:t>
            </w:r>
            <w:r>
              <w:rPr>
                <w:rFonts w:hint="eastAsia" w:ascii="宋体" w:hAnsi="宋体" w:cs="宋体"/>
                <w:szCs w:val="21"/>
                <w:u w:val="single"/>
              </w:rPr>
              <w:t xml:space="preserve">  /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11.4</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媒体发布渠道</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 w:val="28"/>
                <w:szCs w:val="18"/>
              </w:rPr>
            </w:pPr>
            <w:r>
              <w:rPr>
                <w:rFonts w:hint="eastAsia" w:ascii="宋体" w:hAnsi="宋体" w:cs="宋体"/>
                <w:szCs w:val="21"/>
              </w:rPr>
              <w:t>与本项目相关的政府采购业务澄清、更正及与之相关的事项将在采购公告中“六、其他补充事宜”中网上查询地址上发布</w:t>
            </w:r>
            <w:r>
              <w:rPr>
                <w:rFonts w:hint="eastAsia" w:ascii="宋体" w:hAnsi="宋体" w:cs="宋体"/>
                <w:kern w:val="0"/>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11.6</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是否组织标前答疑会</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bCs/>
                <w:szCs w:val="21"/>
              </w:rPr>
            </w:pPr>
            <w:r>
              <w:rPr>
                <w:rFonts w:hint="eastAsia" w:ascii="宋体" w:hAnsi="宋体" w:cs="宋体"/>
                <w:b/>
                <w:bCs/>
                <w:szCs w:val="21"/>
              </w:rPr>
              <w:t>☑不组织召开开标前答疑会</w:t>
            </w:r>
          </w:p>
          <w:p>
            <w:pPr>
              <w:snapToGrid w:val="0"/>
              <w:spacing w:line="360" w:lineRule="auto"/>
              <w:rPr>
                <w:rFonts w:ascii="宋体" w:hAnsi="宋体" w:cs="宋体"/>
                <w:szCs w:val="21"/>
              </w:rPr>
            </w:pPr>
            <w:r>
              <w:rPr>
                <w:rFonts w:hint="eastAsia" w:ascii="宋体" w:hAnsi="宋体" w:cs="宋体"/>
                <w:szCs w:val="21"/>
              </w:rPr>
              <w:t>□组织召开开标前答疑会</w:t>
            </w:r>
          </w:p>
          <w:p>
            <w:pPr>
              <w:snapToGrid w:val="0"/>
              <w:spacing w:line="360" w:lineRule="auto"/>
              <w:rPr>
                <w:rFonts w:ascii="宋体" w:hAnsi="宋体" w:cs="宋体"/>
                <w:szCs w:val="21"/>
                <w:u w:val="single"/>
              </w:rPr>
            </w:pPr>
            <w:r>
              <w:rPr>
                <w:rFonts w:hint="eastAsia" w:ascii="宋体" w:hAnsi="宋体" w:cs="宋体"/>
                <w:szCs w:val="21"/>
              </w:rPr>
              <w:t>会议开始时间：</w:t>
            </w:r>
            <w:r>
              <w:rPr>
                <w:rFonts w:hint="eastAsia" w:ascii="宋体" w:hAnsi="宋体" w:cs="宋体"/>
                <w:szCs w:val="21"/>
                <w:u w:val="single"/>
              </w:rPr>
              <w:t xml:space="preserve">  / </w:t>
            </w:r>
            <w:r>
              <w:rPr>
                <w:rFonts w:hint="eastAsia" w:ascii="宋体" w:hAnsi="宋体" w:cs="宋体"/>
                <w:szCs w:val="21"/>
              </w:rPr>
              <w:t>年</w:t>
            </w:r>
            <w:r>
              <w:rPr>
                <w:rFonts w:hint="eastAsia" w:ascii="宋体" w:hAnsi="宋体" w:cs="宋体"/>
                <w:szCs w:val="21"/>
                <w:u w:val="single"/>
              </w:rPr>
              <w:t xml:space="preserve"> / </w:t>
            </w:r>
            <w:r>
              <w:rPr>
                <w:rFonts w:hint="eastAsia" w:ascii="宋体" w:hAnsi="宋体" w:cs="宋体"/>
                <w:szCs w:val="21"/>
              </w:rPr>
              <w:t>月</w:t>
            </w:r>
            <w:r>
              <w:rPr>
                <w:rFonts w:hint="eastAsia" w:ascii="宋体" w:hAnsi="宋体" w:cs="宋体"/>
                <w:szCs w:val="21"/>
                <w:u w:val="single"/>
              </w:rPr>
              <w:t xml:space="preserve"> / </w:t>
            </w:r>
            <w:r>
              <w:rPr>
                <w:rFonts w:hint="eastAsia" w:ascii="宋体" w:hAnsi="宋体" w:cs="宋体"/>
                <w:szCs w:val="21"/>
              </w:rPr>
              <w:t xml:space="preserve">日 </w:t>
            </w:r>
            <w:r>
              <w:rPr>
                <w:rFonts w:hint="eastAsia" w:ascii="宋体" w:hAnsi="宋体" w:cs="宋体"/>
                <w:szCs w:val="21"/>
                <w:u w:val="single"/>
              </w:rPr>
              <w:t xml:space="preserve"> / </w:t>
            </w:r>
            <w:r>
              <w:rPr>
                <w:rFonts w:hint="eastAsia" w:ascii="宋体" w:hAnsi="宋体" w:cs="宋体"/>
                <w:szCs w:val="21"/>
              </w:rPr>
              <w:t>时</w:t>
            </w:r>
            <w:r>
              <w:rPr>
                <w:rFonts w:hint="eastAsia" w:ascii="宋体" w:hAnsi="宋体" w:cs="宋体"/>
                <w:szCs w:val="21"/>
                <w:u w:val="single"/>
              </w:rPr>
              <w:t xml:space="preserve"> / 分</w:t>
            </w:r>
            <w:r>
              <w:rPr>
                <w:rFonts w:hint="eastAsia" w:ascii="宋体" w:hAnsi="宋体" w:cs="宋体"/>
                <w:szCs w:val="21"/>
              </w:rPr>
              <w:t>，逾期后果自负。会议地点：</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13.1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0" w:name="_13.2"/>
            <w:bookmarkEnd w:id="50"/>
            <w:r>
              <w:rPr>
                <w:rFonts w:hint="eastAsia" w:ascii="宋体" w:hAnsi="宋体" w:cs="宋体"/>
                <w:szCs w:val="21"/>
              </w:rPr>
              <w:t>资格证明文件组成</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1、投标人为法人或者其他组织的，提供营业执照等证明文件（如营业执照或者事业单位法人证书或者执业许可证等），投标人为自然人的，提供身份证复印件。（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2、投标人依法缴纳税收的相关材料[</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税收的凭据复印件；依法免税的供应商，必须提供相应文件证明其依法免税。从取得营业执照时间起到投标文件提交截止时间为止不足要求月数的，只需提供从取得营业执照起的依法缴纳税收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3、投标人依法缴纳社会保障资金的相关材料</w:t>
            </w:r>
            <w:r>
              <w:rPr>
                <w:rFonts w:hint="eastAsia" w:ascii="宋体" w:hAnsi="宋体" w:cs="宋体"/>
                <w:b/>
                <w:bCs/>
                <w:color w:val="C00000"/>
                <w:szCs w:val="21"/>
              </w:rPr>
              <w:t>[</w:t>
            </w:r>
            <w:r>
              <w:rPr>
                <w:rFonts w:hint="eastAsia" w:ascii="宋体" w:hAnsi="宋体" w:cs="宋体"/>
                <w:b/>
                <w:bCs/>
                <w:color w:val="C00000"/>
                <w:szCs w:val="21"/>
                <w:u w:val="single"/>
              </w:rPr>
              <w:t>投标截止日期之前半年中]</w:t>
            </w:r>
            <w:r>
              <w:rPr>
                <w:rFonts w:hint="eastAsia" w:ascii="宋体" w:hAnsi="宋体" w:cs="宋体"/>
                <w:b/>
                <w:bCs/>
                <w:color w:val="C00000"/>
                <w:szCs w:val="21"/>
                <w:u w:val="single"/>
                <w:lang w:val="en-US" w:eastAsia="zh-CN"/>
              </w:rPr>
              <w:t>任意</w:t>
            </w:r>
            <w:r>
              <w:rPr>
                <w:rFonts w:hint="eastAsia" w:ascii="宋体" w:hAnsi="宋体" w:cs="宋体"/>
                <w:b/>
                <w:bCs/>
                <w:color w:val="C00000"/>
                <w:szCs w:val="21"/>
                <w:u w:val="single"/>
              </w:rPr>
              <w:t>连续3个月</w:t>
            </w:r>
            <w:r>
              <w:rPr>
                <w:rFonts w:hint="eastAsia" w:ascii="宋体" w:hAnsi="宋体" w:cs="宋体"/>
                <w:szCs w:val="21"/>
              </w:rPr>
              <w:t>的依法缴纳社会保障资金的缴费凭证（专用收据或者社会保险缴纳清单）复印件；依法不需要缴纳社会保障资金的供应商，必须提供相应文件证明不需要缴纳社会保障资金。从取得营业执照时间起到投标文件提交截止时间为止不足要求月数的只需提供从取得营业执照起的依法缴纳社会保障资金的相应证明文件。（</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4、投标人财务状况报告：[ 2023年</w:t>
            </w:r>
            <w:r>
              <w:rPr>
                <w:rFonts w:hint="eastAsia" w:ascii="宋体" w:hAnsi="宋体" w:cs="宋体"/>
                <w:szCs w:val="21"/>
                <w:lang w:val="en-US" w:eastAsia="zh-CN"/>
              </w:rPr>
              <w:t>或2024年</w:t>
            </w:r>
            <w:r>
              <w:rPr>
                <w:rFonts w:hint="eastAsia" w:ascii="宋体" w:hAnsi="宋体" w:cs="宋体"/>
                <w:szCs w:val="21"/>
              </w:rPr>
              <w:t>]财务状况报告复印件；供应商成立不满一年的应按提供截标之日上一个月的财务状况报告复印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5、投标人直接控股、管理关系信息表（格式后附）。（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5"/>
              </w:numPr>
              <w:snapToGrid w:val="0"/>
              <w:spacing w:line="360" w:lineRule="auto"/>
              <w:jc w:val="left"/>
              <w:rPr>
                <w:rFonts w:ascii="宋体" w:hAnsi="宋体" w:cs="宋体"/>
                <w:szCs w:val="21"/>
              </w:rPr>
            </w:pPr>
            <w:r>
              <w:rPr>
                <w:rFonts w:hint="eastAsia" w:ascii="宋体" w:hAnsi="宋体" w:cs="宋体"/>
                <w:szCs w:val="21"/>
              </w:rPr>
              <w:t>投标资格声明（格式后附）。（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b/>
                <w:bCs/>
                <w:szCs w:val="21"/>
              </w:rPr>
            </w:pPr>
            <w:r>
              <w:rPr>
                <w:rFonts w:hint="eastAsia" w:ascii="宋体" w:hAnsi="宋体" w:cs="宋体"/>
                <w:szCs w:val="21"/>
              </w:rPr>
              <w:t>7、除招标文件规定必须提供以外，投标人认为需要提供的其他证明材料。</w:t>
            </w:r>
            <w:r>
              <w:rPr>
                <w:rFonts w:hint="eastAsia" w:ascii="宋体" w:hAnsi="宋体" w:cs="宋体"/>
                <w:b/>
                <w:bCs/>
                <w:szCs w:val="21"/>
              </w:rPr>
              <w:t>（如有，请提供）</w:t>
            </w:r>
          </w:p>
          <w:p>
            <w:pPr>
              <w:snapToGrid w:val="0"/>
              <w:spacing w:line="360" w:lineRule="auto"/>
              <w:jc w:val="left"/>
              <w:rPr>
                <w:rFonts w:ascii="宋体" w:hAnsi="宋体" w:cs="宋体"/>
                <w:b/>
                <w:szCs w:val="21"/>
              </w:rPr>
            </w:pPr>
            <w:r>
              <w:rPr>
                <w:rFonts w:hint="eastAsia" w:ascii="宋体" w:hAnsi="宋体" w:cs="宋体"/>
                <w:b/>
                <w:bCs/>
                <w:szCs w:val="21"/>
              </w:rPr>
              <w:t>注：1.</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p>
          <w:p>
            <w:pPr>
              <w:snapToGrid w:val="0"/>
              <w:spacing w:line="360" w:lineRule="auto"/>
              <w:ind w:firstLine="422" w:firstLineChars="200"/>
              <w:jc w:val="left"/>
              <w:rPr>
                <w:rFonts w:ascii="宋体" w:hAnsi="宋体" w:cs="宋体"/>
                <w:b/>
                <w:bCs/>
                <w:szCs w:val="21"/>
              </w:rPr>
            </w:pPr>
            <w:r>
              <w:rPr>
                <w:rFonts w:hint="eastAsia" w:ascii="宋体" w:hAnsi="宋体" w:cs="宋体"/>
                <w:b/>
                <w:szCs w:val="21"/>
              </w:rPr>
              <w:t>2</w:t>
            </w:r>
            <w:r>
              <w:rPr>
                <w:rFonts w:hint="eastAsia" w:ascii="宋体" w:hAnsi="宋体" w:cs="宋体"/>
                <w:b/>
                <w:bCs/>
                <w:szCs w:val="21"/>
              </w:rPr>
              <w:t>.联合体投标时，第1-5项资格证明文件联合体各方均必须分别提供，联合体各方分别盖章和签字，否则投标文件按无效响应处理。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1" w:name="_13.3"/>
            <w:bookmarkEnd w:id="51"/>
            <w:r>
              <w:rPr>
                <w:rFonts w:hint="eastAsia" w:ascii="宋体" w:hAnsi="宋体" w:cs="宋体"/>
                <w:szCs w:val="21"/>
              </w:rPr>
              <w:t>商务文件组成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1、无串通投标行为的承诺函（格式后附）；（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2、法定代表人身份证明及法定代表人有效身份证正反面复印件（格式后附）；（</w:t>
            </w:r>
            <w:r>
              <w:rPr>
                <w:rFonts w:hint="eastAsia" w:ascii="宋体" w:hAnsi="宋体" w:cs="宋体"/>
                <w:b/>
                <w:bCs/>
                <w:szCs w:val="21"/>
              </w:rPr>
              <w:t>除自然人投标外</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3、法定代表人授权委托书及委托代理人有效身份证正反面复印件（格式后附）；（</w:t>
            </w:r>
            <w:r>
              <w:rPr>
                <w:rFonts w:hint="eastAsia" w:ascii="宋体" w:hAnsi="宋体" w:cs="宋体"/>
                <w:b/>
                <w:szCs w:val="21"/>
              </w:rPr>
              <w:t>委托时必须提供，否则作无效投标处理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4、商务条款偏离表（格式后附）；（</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5、投标人情况介绍；</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6、除招标文件规定必须提供以外，投标人认为需要提供的其他证明材料。（投标人根据“第二章 采购需求”及“第四章 评标方法及评标标准”提供有关证明材料）。</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 1.法定代表人授权委托书必须由法定代表人及委托代理人签字并加盖投标人电子公章，否则作无效投标处理。</w:t>
            </w:r>
          </w:p>
          <w:p>
            <w:pPr>
              <w:snapToGrid w:val="0"/>
              <w:spacing w:line="360" w:lineRule="auto"/>
              <w:ind w:firstLine="422" w:firstLineChars="200"/>
              <w:jc w:val="left"/>
              <w:rPr>
                <w:rFonts w:ascii="宋体" w:hAnsi="宋体" w:cs="宋体"/>
                <w:b/>
                <w:szCs w:val="21"/>
              </w:rPr>
            </w:pPr>
            <w:r>
              <w:rPr>
                <w:rFonts w:hint="eastAsia" w:ascii="宋体" w:hAnsi="宋体" w:cs="宋体"/>
                <w:b/>
                <w:bCs/>
                <w:szCs w:val="21"/>
              </w:rPr>
              <w:t>2.</w:t>
            </w:r>
            <w:r>
              <w:rPr>
                <w:rFonts w:hint="eastAsia" w:ascii="宋体" w:hAnsi="宋体" w:cs="宋体"/>
                <w:szCs w:val="21"/>
              </w:rPr>
              <w:t xml:space="preserve"> </w:t>
            </w:r>
            <w:r>
              <w:rPr>
                <w:rFonts w:hint="eastAsia" w:ascii="宋体" w:hAnsi="宋体" w:cs="宋体"/>
                <w:b/>
                <w:bCs/>
                <w:szCs w:val="21"/>
              </w:rPr>
              <w:t>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restart"/>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bookmarkStart w:id="52" w:name="_13.4"/>
            <w:bookmarkEnd w:id="52"/>
            <w:r>
              <w:rPr>
                <w:rFonts w:hint="eastAsia" w:ascii="宋体" w:hAnsi="宋体" w:cs="宋体"/>
                <w:szCs w:val="21"/>
              </w:rPr>
              <w:t>技术文件组成</w:t>
            </w:r>
          </w:p>
          <w:p>
            <w:pPr>
              <w:spacing w:line="360" w:lineRule="auto"/>
              <w:rPr>
                <w:rFonts w:ascii="宋体" w:hAnsi="宋体" w:cs="宋体"/>
                <w:szCs w:val="21"/>
              </w:rPr>
            </w:pPr>
          </w:p>
        </w:tc>
        <w:tc>
          <w:tcPr>
            <w:tcW w:w="7297" w:type="dxa"/>
            <w:tcBorders>
              <w:top w:val="single" w:color="auto" w:sz="4" w:space="0"/>
              <w:left w:val="single" w:color="auto" w:sz="4" w:space="0"/>
              <w:bottom w:val="single" w:color="auto" w:sz="4" w:space="0"/>
              <w:right w:val="single" w:color="auto" w:sz="4" w:space="0"/>
            </w:tcBorders>
            <w:vAlign w:val="center"/>
          </w:tcPr>
          <w:p>
            <w:pPr>
              <w:numPr>
                <w:ilvl w:val="0"/>
                <w:numId w:val="6"/>
              </w:numPr>
              <w:snapToGrid w:val="0"/>
              <w:spacing w:line="360" w:lineRule="auto"/>
              <w:jc w:val="left"/>
              <w:rPr>
                <w:rFonts w:ascii="宋体" w:hAnsi="宋体" w:cs="宋体"/>
                <w:szCs w:val="21"/>
              </w:rPr>
            </w:pPr>
            <w:r>
              <w:rPr>
                <w:rFonts w:hint="eastAsia" w:ascii="宋体" w:hAnsi="宋体" w:cs="宋体"/>
                <w:szCs w:val="21"/>
              </w:rPr>
              <w:t>技术需求偏离表（格式后附）；（</w:t>
            </w:r>
            <w:r>
              <w:rPr>
                <w:rFonts w:hint="eastAsia" w:ascii="宋体" w:hAnsi="宋体" w:cs="宋体"/>
                <w:b/>
                <w:szCs w:val="21"/>
              </w:rPr>
              <w:t>必须提供，否则作无效投标处理</w:t>
            </w:r>
            <w:r>
              <w:rPr>
                <w:rFonts w:hint="eastAsia" w:ascii="宋体" w:hAnsi="宋体" w:cs="宋体"/>
                <w:szCs w:val="21"/>
              </w:rPr>
              <w:t>）</w:t>
            </w:r>
          </w:p>
          <w:p>
            <w:pPr>
              <w:numPr>
                <w:ilvl w:val="0"/>
                <w:numId w:val="6"/>
              </w:numPr>
              <w:snapToGrid w:val="0"/>
              <w:spacing w:line="360" w:lineRule="auto"/>
              <w:jc w:val="left"/>
              <w:rPr>
                <w:rFonts w:ascii="宋体" w:hAnsi="宋体" w:cs="宋体"/>
                <w:szCs w:val="21"/>
              </w:rPr>
            </w:pPr>
            <w:r>
              <w:rPr>
                <w:rFonts w:hint="eastAsia" w:ascii="宋体" w:hAnsi="宋体" w:cs="宋体"/>
                <w:szCs w:val="21"/>
              </w:rPr>
              <w:t>配置清单（均不含报价）；</w:t>
            </w:r>
            <w:r>
              <w:rPr>
                <w:rFonts w:hint="eastAsia" w:ascii="宋体" w:hAnsi="宋体" w:cs="宋体"/>
                <w:b/>
                <w:bCs/>
                <w:szCs w:val="21"/>
              </w:rPr>
              <w:t>（必须提供，否则作</w:t>
            </w:r>
            <w:r>
              <w:rPr>
                <w:rFonts w:hint="eastAsia" w:ascii="宋体" w:hAnsi="宋体" w:cs="宋体"/>
                <w:b/>
                <w:bCs/>
                <w:szCs w:val="21"/>
                <w:lang w:val="en-US" w:eastAsia="zh-CN"/>
              </w:rPr>
              <w:t>投标</w:t>
            </w:r>
            <w:r>
              <w:rPr>
                <w:rFonts w:hint="eastAsia" w:ascii="宋体" w:hAnsi="宋体" w:cs="宋体"/>
                <w:b/>
                <w:bCs/>
                <w:szCs w:val="21"/>
              </w:rPr>
              <w:t>无效处理）</w:t>
            </w:r>
          </w:p>
          <w:p>
            <w:pPr>
              <w:numPr>
                <w:ilvl w:val="0"/>
                <w:numId w:val="6"/>
              </w:numPr>
              <w:snapToGrid w:val="0"/>
              <w:spacing w:line="360" w:lineRule="auto"/>
              <w:jc w:val="left"/>
              <w:rPr>
                <w:rFonts w:ascii="宋体" w:hAnsi="宋体" w:cs="宋体"/>
                <w:b/>
                <w:bCs/>
                <w:szCs w:val="21"/>
              </w:rPr>
            </w:pPr>
            <w:r>
              <w:rPr>
                <w:rFonts w:hint="eastAsia" w:ascii="宋体" w:hAnsi="宋体" w:cs="宋体"/>
                <w:szCs w:val="21"/>
              </w:rPr>
              <w:t>项目实施方案；</w:t>
            </w:r>
            <w:r>
              <w:rPr>
                <w:rFonts w:hint="eastAsia" w:ascii="宋体" w:hAnsi="宋体" w:cs="宋体"/>
                <w:b/>
                <w:bCs/>
                <w:szCs w:val="21"/>
              </w:rPr>
              <w:t>（必须提供，否则作无效投标处理）</w:t>
            </w:r>
          </w:p>
          <w:p>
            <w:pPr>
              <w:snapToGrid w:val="0"/>
              <w:spacing w:line="360" w:lineRule="auto"/>
              <w:jc w:val="left"/>
              <w:rPr>
                <w:rFonts w:ascii="宋体" w:hAnsi="宋体" w:cs="宋体"/>
                <w:szCs w:val="21"/>
              </w:rPr>
            </w:pPr>
            <w:r>
              <w:rPr>
                <w:rFonts w:hint="eastAsia" w:ascii="宋体" w:hAnsi="宋体" w:cs="宋体"/>
                <w:szCs w:val="21"/>
              </w:rPr>
              <w:t>4、售后服务方案；（</w:t>
            </w:r>
            <w:r>
              <w:rPr>
                <w:rFonts w:hint="eastAsia" w:ascii="宋体" w:hAnsi="宋体" w:cs="宋体"/>
                <w:b/>
                <w:szCs w:val="21"/>
              </w:rPr>
              <w:t>必须提供，否则作无效投标处理</w:t>
            </w:r>
            <w:r>
              <w:rPr>
                <w:rFonts w:hint="eastAsia" w:ascii="宋体" w:hAnsi="宋体" w:cs="宋体"/>
                <w:szCs w:val="21"/>
              </w:rPr>
              <w:t>）</w:t>
            </w:r>
          </w:p>
          <w:p>
            <w:pPr>
              <w:snapToGrid w:val="0"/>
              <w:spacing w:line="360" w:lineRule="auto"/>
              <w:jc w:val="left"/>
              <w:rPr>
                <w:rFonts w:ascii="宋体" w:hAnsi="宋体" w:cs="宋体"/>
                <w:szCs w:val="21"/>
              </w:rPr>
            </w:pPr>
            <w:r>
              <w:rPr>
                <w:rFonts w:hint="eastAsia" w:ascii="宋体" w:hAnsi="宋体" w:cs="宋体"/>
                <w:szCs w:val="21"/>
              </w:rPr>
              <w:t>5、项目实施人员一览表；</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6、对本项目总体要求的理解。包括： 功能说明、性能指标及设备选型说明（质 量、性能、价格、 外观、体积等方面进行比较和选择的理由及过程）；</w:t>
            </w:r>
            <w:r>
              <w:rPr>
                <w:rFonts w:hint="eastAsia" w:ascii="宋体" w:hAnsi="宋体" w:cs="宋体"/>
                <w:b/>
                <w:bCs/>
                <w:szCs w:val="21"/>
              </w:rPr>
              <w:t>（如有，请提供）</w:t>
            </w:r>
          </w:p>
          <w:p>
            <w:pPr>
              <w:snapToGrid w:val="0"/>
              <w:spacing w:line="360" w:lineRule="auto"/>
              <w:jc w:val="left"/>
              <w:rPr>
                <w:rFonts w:ascii="宋体" w:hAnsi="宋体" w:cs="宋体"/>
                <w:szCs w:val="21"/>
              </w:rPr>
            </w:pPr>
            <w:r>
              <w:rPr>
                <w:rFonts w:hint="eastAsia" w:ascii="宋体" w:hAnsi="宋体" w:cs="宋体"/>
                <w:szCs w:val="21"/>
              </w:rPr>
              <w:t>7、产品出厂标准、质量检测报告【其中有精度要求的仪器设备类政府采购项 目，应当要求投标人提供精度数据（第三方检测报告或者由采购人在投标前组织的实测获得）】；</w:t>
            </w:r>
            <w:r>
              <w:rPr>
                <w:rFonts w:hint="eastAsia" w:ascii="宋体" w:hAnsi="宋体" w:cs="宋体"/>
                <w:b/>
                <w:bCs/>
                <w:szCs w:val="21"/>
              </w:rPr>
              <w:t>（如有，请提供）</w:t>
            </w:r>
            <w:r>
              <w:rPr>
                <w:rFonts w:hint="eastAsia" w:ascii="宋体" w:hAnsi="宋体" w:cs="宋体"/>
                <w:szCs w:val="21"/>
              </w:rPr>
              <w:t xml:space="preserve">  </w:t>
            </w:r>
          </w:p>
          <w:p>
            <w:pPr>
              <w:snapToGrid w:val="0"/>
              <w:spacing w:line="360" w:lineRule="auto"/>
              <w:jc w:val="left"/>
              <w:rPr>
                <w:rFonts w:ascii="宋体" w:hAnsi="宋体" w:cs="宋体"/>
                <w:szCs w:val="21"/>
              </w:rPr>
            </w:pPr>
            <w:r>
              <w:rPr>
                <w:rFonts w:hint="eastAsia" w:ascii="宋体" w:hAnsi="宋体" w:cs="宋体"/>
                <w:szCs w:val="21"/>
                <w:lang w:val="en-US" w:eastAsia="zh-CN"/>
              </w:rPr>
              <w:t>8</w:t>
            </w:r>
            <w:r>
              <w:rPr>
                <w:rFonts w:hint="eastAsia" w:ascii="宋体" w:hAnsi="宋体" w:cs="宋体"/>
                <w:szCs w:val="21"/>
              </w:rPr>
              <w:t xml:space="preserve">、投标人对本项目的合理化建议和改进措施； </w:t>
            </w:r>
            <w:r>
              <w:rPr>
                <w:rFonts w:hint="eastAsia" w:ascii="宋体" w:hAnsi="宋体" w:cs="宋体"/>
                <w:b/>
                <w:bCs/>
                <w:szCs w:val="21"/>
              </w:rPr>
              <w:t>（如有，请提供）</w:t>
            </w:r>
            <w:r>
              <w:rPr>
                <w:rFonts w:hint="eastAsia" w:ascii="宋体" w:hAnsi="宋体" w:cs="宋体"/>
                <w:szCs w:val="21"/>
              </w:rPr>
              <w:t xml:space="preserve">                          </w:t>
            </w:r>
            <w:r>
              <w:rPr>
                <w:rFonts w:hint="eastAsia" w:ascii="宋体" w:hAnsi="宋体" w:cs="宋体"/>
                <w:szCs w:val="21"/>
                <w:lang w:val="en-US" w:eastAsia="zh-CN"/>
              </w:rPr>
              <w:t>9</w:t>
            </w:r>
            <w:r>
              <w:rPr>
                <w:rFonts w:hint="eastAsia" w:ascii="宋体" w:hAnsi="宋体" w:cs="宋体"/>
                <w:szCs w:val="21"/>
              </w:rPr>
              <w:t>、除招标文件规定必须提供以外，投标人需要说明的其他文件和说明。</w:t>
            </w:r>
            <w:r>
              <w:rPr>
                <w:rFonts w:hint="eastAsia" w:ascii="宋体" w:hAnsi="宋体" w:cs="宋体"/>
                <w:b/>
                <w:bCs/>
                <w:szCs w:val="21"/>
              </w:rPr>
              <w:t>（如有，请提供）</w:t>
            </w:r>
          </w:p>
          <w:p>
            <w:pPr>
              <w:snapToGrid w:val="0"/>
              <w:spacing w:line="360" w:lineRule="auto"/>
              <w:jc w:val="left"/>
              <w:rPr>
                <w:rFonts w:ascii="宋体" w:hAnsi="宋体" w:cs="宋体"/>
                <w:b/>
                <w:bCs/>
                <w:szCs w:val="21"/>
              </w:rPr>
            </w:pPr>
            <w:r>
              <w:rPr>
                <w:rFonts w:hint="eastAsia" w:ascii="宋体" w:hAnsi="宋体" w:cs="宋体"/>
                <w:b/>
                <w:bCs/>
                <w:szCs w:val="21"/>
              </w:rPr>
              <w:t>注：以上标明“必须提供”的材料</w:t>
            </w:r>
            <w:r>
              <w:rPr>
                <w:rFonts w:hint="eastAsia" w:ascii="宋体" w:hAnsi="宋体" w:cs="宋体"/>
                <w:b/>
                <w:szCs w:val="21"/>
              </w:rPr>
              <w:t>属于复印件的扫描件的</w:t>
            </w:r>
            <w:r>
              <w:rPr>
                <w:rFonts w:hint="eastAsia" w:ascii="宋体" w:hAnsi="宋体" w:cs="宋体"/>
                <w:b/>
                <w:bCs/>
                <w:szCs w:val="21"/>
              </w:rPr>
              <w:t>，必须加盖投标人电子公章，否则</w:t>
            </w:r>
            <w:r>
              <w:rPr>
                <w:rFonts w:hint="eastAsia" w:ascii="宋体" w:hAnsi="宋体" w:cs="宋体"/>
                <w:b/>
                <w:szCs w:val="21"/>
              </w:rPr>
              <w:t>作无效投标处理</w:t>
            </w:r>
            <w:r>
              <w:rPr>
                <w:rFonts w:hint="eastAsia" w:ascii="宋体" w:hAnsi="宋体" w:cs="宋体"/>
                <w:b/>
                <w:bCs/>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rFonts w:ascii="宋体" w:hAnsi="宋体" w:cs="宋体"/>
                <w:szCs w:val="21"/>
              </w:rPr>
            </w:pPr>
            <w:r>
              <w:rPr>
                <w:rFonts w:hint="eastAsia" w:ascii="宋体" w:hAnsi="宋体" w:cs="宋体"/>
                <w:szCs w:val="21"/>
              </w:rPr>
              <w:t>报价文件组成</w:t>
            </w:r>
          </w:p>
        </w:tc>
        <w:tc>
          <w:tcPr>
            <w:tcW w:w="7297" w:type="dxa"/>
            <w:tcBorders>
              <w:top w:val="single" w:color="auto" w:sz="4" w:space="0"/>
              <w:left w:val="single" w:color="auto" w:sz="4" w:space="0"/>
              <w:bottom w:val="single" w:color="auto" w:sz="4" w:space="0"/>
              <w:right w:val="single" w:color="auto" w:sz="4" w:space="0"/>
            </w:tcBorders>
            <w:vAlign w:val="center"/>
          </w:tcPr>
          <w:p>
            <w:pPr>
              <w:tabs>
                <w:tab w:val="left" w:pos="459"/>
              </w:tabs>
              <w:snapToGrid w:val="0"/>
              <w:spacing w:line="360" w:lineRule="auto"/>
              <w:jc w:val="left"/>
              <w:rPr>
                <w:rFonts w:ascii="宋体" w:hAnsi="宋体" w:cs="宋体"/>
                <w:szCs w:val="21"/>
              </w:rPr>
            </w:pPr>
            <w:r>
              <w:rPr>
                <w:rFonts w:hint="eastAsia" w:ascii="宋体" w:hAnsi="宋体" w:cs="宋体"/>
                <w:szCs w:val="21"/>
              </w:rPr>
              <w:t>1、投标函（格式后附）；</w:t>
            </w:r>
            <w:r>
              <w:rPr>
                <w:rFonts w:hint="eastAsia" w:ascii="宋体" w:hAnsi="宋体" w:cs="宋体"/>
                <w:b/>
                <w:szCs w:val="21"/>
              </w:rPr>
              <w:t>（必须提供，否则作无效投标处理）</w:t>
            </w:r>
          </w:p>
          <w:p>
            <w:pPr>
              <w:tabs>
                <w:tab w:val="left" w:pos="459"/>
              </w:tabs>
              <w:snapToGrid w:val="0"/>
              <w:spacing w:line="360" w:lineRule="auto"/>
              <w:jc w:val="left"/>
              <w:rPr>
                <w:rFonts w:ascii="宋体" w:hAnsi="宋体" w:cs="宋体"/>
                <w:szCs w:val="21"/>
              </w:rPr>
            </w:pPr>
            <w:r>
              <w:rPr>
                <w:rFonts w:hint="eastAsia" w:ascii="宋体" w:hAnsi="宋体" w:cs="宋体"/>
                <w:szCs w:val="21"/>
              </w:rPr>
              <w:t>2、开标一览表（格式后附）；（</w:t>
            </w:r>
            <w:r>
              <w:rPr>
                <w:rFonts w:hint="eastAsia" w:ascii="宋体" w:hAnsi="宋体" w:cs="宋体"/>
                <w:b/>
                <w:szCs w:val="21"/>
              </w:rPr>
              <w:t>必须提供，否则作无效投标处理</w:t>
            </w:r>
            <w:r>
              <w:rPr>
                <w:rFonts w:hint="eastAsia" w:ascii="宋体" w:hAnsi="宋体" w:cs="宋体"/>
                <w:szCs w:val="21"/>
              </w:rPr>
              <w:t>）</w:t>
            </w:r>
          </w:p>
          <w:p>
            <w:pPr>
              <w:tabs>
                <w:tab w:val="left" w:pos="459"/>
              </w:tabs>
              <w:snapToGrid w:val="0"/>
              <w:spacing w:line="360" w:lineRule="auto"/>
              <w:jc w:val="left"/>
              <w:rPr>
                <w:rFonts w:ascii="宋体" w:hAnsi="宋体" w:cs="宋体"/>
                <w:b/>
                <w:bCs/>
                <w:szCs w:val="21"/>
              </w:rPr>
            </w:pPr>
            <w:r>
              <w:rPr>
                <w:rFonts w:hint="eastAsia" w:ascii="宋体" w:hAnsi="宋体" w:cs="宋体"/>
                <w:szCs w:val="21"/>
              </w:rPr>
              <w:t>3、中小企业声明函（格式后附）或残疾人福利性单位声明函（格式后附）或投标人属于监狱企业的证明材料；</w:t>
            </w:r>
            <w:r>
              <w:rPr>
                <w:rFonts w:hint="eastAsia" w:ascii="宋体" w:hAnsi="宋体" w:cs="宋体"/>
                <w:b/>
                <w:bCs/>
                <w:szCs w:val="21"/>
              </w:rPr>
              <w:t>（如有则提供，否则不享受价格扣除优惠政策）</w:t>
            </w:r>
          </w:p>
          <w:p>
            <w:pPr>
              <w:snapToGrid w:val="0"/>
              <w:spacing w:line="360" w:lineRule="auto"/>
              <w:jc w:val="left"/>
              <w:rPr>
                <w:rFonts w:ascii="宋体" w:hAnsi="宋体" w:cs="宋体"/>
                <w:szCs w:val="21"/>
              </w:rPr>
            </w:pPr>
            <w:r>
              <w:rPr>
                <w:rFonts w:hint="eastAsia" w:ascii="宋体" w:hAnsi="宋体" w:cs="宋体"/>
                <w:szCs w:val="21"/>
              </w:rPr>
              <w:t>4、投标人针对报价需要说明的其他文件和说明。</w:t>
            </w:r>
            <w:r>
              <w:rPr>
                <w:rFonts w:hint="eastAsia" w:ascii="宋体" w:hAnsi="宋体" w:cs="宋体"/>
                <w:b/>
                <w:bCs/>
                <w:szCs w:val="21"/>
              </w:rPr>
              <w:t>（如有，请提供）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16.2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3" w:name="_16.2"/>
            <w:bookmarkEnd w:id="53"/>
            <w:r>
              <w:rPr>
                <w:rFonts w:hint="eastAsia" w:ascii="宋体" w:hAnsi="宋体" w:cs="宋体"/>
                <w:szCs w:val="21"/>
              </w:rPr>
              <w:t>投标报价要求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ind w:firstLine="420" w:firstLineChars="200"/>
              <w:jc w:val="left"/>
              <w:rPr>
                <w:rFonts w:ascii="宋体" w:hAnsi="宋体" w:cs="宋体"/>
                <w:szCs w:val="21"/>
              </w:rPr>
            </w:pPr>
            <w:r>
              <w:rPr>
                <w:rFonts w:hint="eastAsia" w:ascii="宋体" w:hAnsi="宋体" w:cs="宋体"/>
                <w:szCs w:val="21"/>
              </w:rPr>
              <w:t>投标报价是履行合同的最终价格，必须包含：</w:t>
            </w:r>
          </w:p>
          <w:p>
            <w:pPr>
              <w:spacing w:line="360" w:lineRule="auto"/>
              <w:ind w:firstLine="420" w:firstLineChars="200"/>
              <w:jc w:val="left"/>
              <w:rPr>
                <w:rFonts w:ascii="宋体" w:hAnsi="宋体" w:cs="宋体"/>
                <w:szCs w:val="21"/>
              </w:rPr>
            </w:pPr>
            <w:r>
              <w:rPr>
                <w:rFonts w:hint="eastAsia" w:ascii="宋体" w:hAnsi="宋体" w:cs="宋体"/>
                <w:szCs w:val="21"/>
              </w:rPr>
              <w:t>（1）货物的价格；</w:t>
            </w:r>
          </w:p>
          <w:p>
            <w:pPr>
              <w:spacing w:line="360" w:lineRule="auto"/>
              <w:ind w:firstLine="420" w:firstLineChars="200"/>
              <w:jc w:val="left"/>
              <w:rPr>
                <w:rFonts w:ascii="宋体" w:hAnsi="宋体" w:cs="宋体"/>
                <w:szCs w:val="21"/>
              </w:rPr>
            </w:pPr>
            <w:r>
              <w:rPr>
                <w:rFonts w:hint="eastAsia" w:ascii="宋体" w:hAnsi="宋体" w:cs="宋体"/>
                <w:szCs w:val="21"/>
              </w:rPr>
              <w:t>（2）货物的标准附件、备品备件、专用工具的价格；</w:t>
            </w:r>
          </w:p>
          <w:p>
            <w:pPr>
              <w:spacing w:line="360" w:lineRule="auto"/>
              <w:ind w:firstLine="420" w:firstLineChars="200"/>
              <w:jc w:val="left"/>
              <w:rPr>
                <w:rFonts w:ascii="宋体" w:hAnsi="宋体" w:cs="宋体"/>
                <w:szCs w:val="21"/>
              </w:rPr>
            </w:pPr>
            <w:r>
              <w:rPr>
                <w:rFonts w:hint="eastAsia" w:ascii="宋体" w:hAnsi="宋体" w:cs="宋体"/>
                <w:szCs w:val="21"/>
              </w:rPr>
              <w:t>（3）运输、装卸、调试、技术支持、售后服务等费用；</w:t>
            </w:r>
          </w:p>
          <w:p>
            <w:pPr>
              <w:spacing w:line="360" w:lineRule="auto"/>
              <w:ind w:firstLine="420" w:firstLineChars="200"/>
              <w:jc w:val="left"/>
              <w:rPr>
                <w:rFonts w:ascii="宋体" w:hAnsi="宋体" w:cs="宋体"/>
                <w:szCs w:val="21"/>
              </w:rPr>
            </w:pPr>
            <w:r>
              <w:rPr>
                <w:rFonts w:hint="eastAsia" w:ascii="宋体" w:hAnsi="宋体" w:cs="宋体"/>
                <w:szCs w:val="21"/>
              </w:rPr>
              <w:t>（4）必要的保险费用和各项税费；</w:t>
            </w:r>
          </w:p>
          <w:p>
            <w:pPr>
              <w:spacing w:line="360" w:lineRule="auto"/>
              <w:ind w:firstLine="420" w:firstLineChars="200"/>
              <w:jc w:val="left"/>
              <w:rPr>
                <w:rFonts w:ascii="宋体" w:hAnsi="宋体" w:cs="宋体"/>
                <w:szCs w:val="21"/>
              </w:rPr>
            </w:pPr>
            <w:r>
              <w:rPr>
                <w:rFonts w:hint="eastAsia" w:ascii="宋体" w:hAnsi="宋体" w:cs="宋体"/>
                <w:szCs w:val="21"/>
              </w:rPr>
              <w:t>（5）安装、送货上门的费用。</w:t>
            </w:r>
          </w:p>
          <w:p>
            <w:pPr>
              <w:spacing w:line="360" w:lineRule="auto"/>
              <w:ind w:firstLine="420" w:firstLineChars="200"/>
              <w:jc w:val="left"/>
              <w:rPr>
                <w:rFonts w:ascii="宋体" w:hAnsi="宋体" w:cs="宋体"/>
                <w:szCs w:val="21"/>
              </w:rPr>
            </w:pPr>
            <w:r>
              <w:rPr>
                <w:rFonts w:hint="eastAsia" w:ascii="宋体" w:hAnsi="宋体" w:cs="宋体"/>
                <w:szCs w:val="21"/>
              </w:rPr>
              <w:t>（6）安装、开展培训（含教材费、场地租用费）、送货上门的费用；</w:t>
            </w:r>
          </w:p>
          <w:p>
            <w:pPr>
              <w:spacing w:line="360" w:lineRule="auto"/>
              <w:ind w:firstLine="420" w:firstLineChars="200"/>
              <w:jc w:val="left"/>
              <w:rPr>
                <w:rFonts w:ascii="宋体" w:hAnsi="宋体" w:cs="宋体"/>
                <w:b/>
                <w:szCs w:val="21"/>
              </w:rPr>
            </w:pPr>
            <w:r>
              <w:rPr>
                <w:rFonts w:hint="eastAsia" w:ascii="宋体" w:hAnsi="宋体" w:cs="宋体"/>
                <w:szCs w:val="21"/>
              </w:rPr>
              <w:t xml:space="preserve">（7）到现场验收的费用。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17.2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4" w:name="_17.1"/>
            <w:bookmarkEnd w:id="54"/>
            <w:r>
              <w:rPr>
                <w:rFonts w:hint="eastAsia" w:ascii="宋体" w:hAnsi="宋体" w:cs="宋体"/>
                <w:szCs w:val="21"/>
              </w:rPr>
              <w:t>投标有效期</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自投标截止之日起</w:t>
            </w:r>
            <w:r>
              <w:rPr>
                <w:rFonts w:hint="eastAsia" w:ascii="宋体" w:hAnsi="宋体" w:cs="宋体"/>
                <w:szCs w:val="21"/>
                <w:u w:val="single"/>
              </w:rPr>
              <w:t xml:space="preserve"> </w:t>
            </w:r>
            <w:bookmarkStart w:id="55" w:name="PO_3000001866_PM046"/>
            <w:r>
              <w:rPr>
                <w:rFonts w:hint="eastAsia" w:ascii="宋体" w:hAnsi="宋体" w:cs="宋体"/>
                <w:szCs w:val="21"/>
                <w:u w:val="single"/>
              </w:rPr>
              <w:t>60日历天</w:t>
            </w:r>
            <w:bookmarkEnd w:id="55"/>
            <w:r>
              <w:rPr>
                <w:rFonts w:hint="eastAsia" w:ascii="宋体" w:hAnsi="宋体" w:cs="宋体"/>
                <w:szCs w:val="21"/>
              </w:rPr>
              <w:t>日。</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18</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6" w:name="_18"/>
            <w:bookmarkEnd w:id="56"/>
            <w:r>
              <w:rPr>
                <w:rFonts w:hint="eastAsia" w:ascii="宋体" w:hAnsi="宋体" w:cs="宋体"/>
                <w:szCs w:val="21"/>
              </w:rPr>
              <w:t>投标保证金金额</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本项目不收取投标保证金。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19.1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投标文件编制要求</w:t>
            </w:r>
          </w:p>
        </w:tc>
        <w:tc>
          <w:tcPr>
            <w:tcW w:w="7297"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b/>
                <w:szCs w:val="21"/>
                <w:u w:val="single"/>
              </w:rPr>
            </w:pPr>
            <w:r>
              <w:rPr>
                <w:rFonts w:hint="eastAsia" w:ascii="宋体" w:hAnsi="宋体" w:cs="宋体"/>
                <w:szCs w:val="21"/>
              </w:rPr>
              <w:t>投标文件应按报价文件、资格证明文件、商务文件、技术文件分别编制，报价文件、资格证明文件分别生产电子文件，商务文件和技术文件按顺序合并生成电子文件。</w:t>
            </w:r>
            <w:r>
              <w:rPr>
                <w:rFonts w:hint="eastAsia" w:ascii="宋体" w:hAnsi="宋体" w:cs="宋体"/>
                <w:b/>
                <w:szCs w:val="21"/>
                <w:u w:val="single"/>
              </w:rPr>
              <w:t>电子版投标文件制作方式见招标公告附件。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备份投标文件</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本项目不接受备份投标文件。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21.1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7" w:name="_21.1"/>
            <w:bookmarkEnd w:id="57"/>
            <w:r>
              <w:rPr>
                <w:rFonts w:hint="eastAsia" w:ascii="宋体" w:hAnsi="宋体" w:cs="宋体"/>
                <w:szCs w:val="21"/>
              </w:rPr>
              <w:t>投标截止时间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u w:val="single"/>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投标文件提交起止时间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详见招标公告</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投标人递交投标样品截止时间及地点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23</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8" w:name="_23"/>
            <w:bookmarkEnd w:id="58"/>
            <w:r>
              <w:rPr>
                <w:rFonts w:hint="eastAsia" w:ascii="宋体" w:hAnsi="宋体" w:cs="宋体"/>
                <w:szCs w:val="21"/>
              </w:rPr>
              <w:t>开标时间、地点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 xml:space="preserve">详见招标公告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87"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25.3（2）</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59" w:name="_25.3"/>
            <w:bookmarkEnd w:id="59"/>
            <w:r>
              <w:rPr>
                <w:rFonts w:hint="eastAsia" w:ascii="宋体" w:hAnsi="宋体" w:cs="宋体"/>
                <w:szCs w:val="21"/>
              </w:rPr>
              <w:t>投标人信用查询渠道</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采购人或者采购代理机构在资格审查结束前，对投标人进行信用查询。</w:t>
            </w:r>
          </w:p>
          <w:p>
            <w:pPr>
              <w:snapToGrid w:val="0"/>
              <w:spacing w:line="360" w:lineRule="auto"/>
              <w:rPr>
                <w:rFonts w:ascii="宋体" w:hAnsi="宋体" w:cs="宋体"/>
                <w:szCs w:val="21"/>
              </w:rPr>
            </w:pPr>
            <w:r>
              <w:rPr>
                <w:rFonts w:hint="eastAsia" w:ascii="宋体" w:hAnsi="宋体" w:cs="宋体"/>
                <w:szCs w:val="21"/>
              </w:rPr>
              <w:t>查询渠道：“信用中国”网站（www.creditchina.gov.cn) 、中国政府采购网（www.ccgp.gov.cn)。</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3"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信用查询截止时点</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资格审查结束前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8"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查询记录和证据留存方式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在查询网站中直接截图查询记录，截图作为在“政采云”平台作为附件上传保存。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信用信息使用规则</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应当拒绝其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0" w:name="_26"/>
            <w:bookmarkEnd w:id="60"/>
            <w:bookmarkStart w:id="61" w:name="_28.3"/>
            <w:bookmarkEnd w:id="61"/>
            <w:r>
              <w:rPr>
                <w:rFonts w:hint="eastAsia" w:ascii="宋体" w:hAnsi="宋体" w:cs="宋体"/>
                <w:szCs w:val="21"/>
              </w:rPr>
              <w:t>评标方法</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☑综合评分法</w:t>
            </w:r>
          </w:p>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□最低评标价法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50"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29.2</w:t>
            </w:r>
          </w:p>
        </w:tc>
        <w:tc>
          <w:tcPr>
            <w:tcW w:w="1993" w:type="dxa"/>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bookmarkStart w:id="62" w:name="_29.2.2（2）"/>
            <w:bookmarkEnd w:id="62"/>
            <w:r>
              <w:rPr>
                <w:rFonts w:hint="eastAsia" w:ascii="宋体" w:hAnsi="宋体" w:cs="宋体"/>
                <w:szCs w:val="21"/>
              </w:rPr>
              <w:t>允许负偏离项</w:t>
            </w:r>
          </w:p>
        </w:tc>
        <w:tc>
          <w:tcPr>
            <w:tcW w:w="7297" w:type="dxa"/>
            <w:tcBorders>
              <w:top w:val="single" w:color="auto" w:sz="4" w:space="0"/>
              <w:left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A分标：商务条款评审中允许负偏离的条款数为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rPr>
                <w:rFonts w:ascii="宋体" w:hAnsi="宋体" w:cs="宋体"/>
                <w:szCs w:val="21"/>
              </w:rPr>
            </w:pPr>
          </w:p>
          <w:p>
            <w:pPr>
              <w:snapToGrid w:val="0"/>
              <w:spacing w:line="360" w:lineRule="auto"/>
              <w:rPr>
                <w:rFonts w:ascii="宋体" w:hAnsi="宋体" w:cs="宋体"/>
                <w:szCs w:val="21"/>
              </w:rPr>
            </w:pPr>
            <w:r>
              <w:rPr>
                <w:rFonts w:hint="eastAsia" w:ascii="宋体" w:hAnsi="宋体" w:cs="宋体"/>
                <w:szCs w:val="21"/>
              </w:rPr>
              <w:t>B分标：商务条款评审中允许负偏离的条款数为</w:t>
            </w:r>
            <w:r>
              <w:rPr>
                <w:rFonts w:hint="eastAsia" w:ascii="宋体" w:hAnsi="宋体" w:cs="宋体"/>
                <w:szCs w:val="21"/>
                <w:u w:val="single"/>
              </w:rPr>
              <w:t xml:space="preserve"> 0  </w:t>
            </w:r>
            <w:r>
              <w:rPr>
                <w:rFonts w:hint="eastAsia" w:ascii="宋体" w:hAnsi="宋体" w:cs="宋体"/>
                <w:szCs w:val="21"/>
              </w:rPr>
              <w:t>项。</w:t>
            </w:r>
          </w:p>
          <w:p>
            <w:pPr>
              <w:snapToGrid w:val="0"/>
              <w:spacing w:line="360" w:lineRule="auto"/>
              <w:ind w:firstLine="840" w:firstLineChars="400"/>
              <w:rPr>
                <w:rFonts w:ascii="宋体" w:hAnsi="宋体" w:cs="宋体"/>
                <w:szCs w:val="21"/>
              </w:rPr>
            </w:pPr>
            <w:r>
              <w:rPr>
                <w:rFonts w:hint="eastAsia" w:ascii="宋体" w:hAnsi="宋体" w:cs="宋体"/>
                <w:szCs w:val="21"/>
              </w:rPr>
              <w:t>技术需求评审中允许负偏离的条款数为</w:t>
            </w:r>
            <w:r>
              <w:rPr>
                <w:rFonts w:hint="eastAsia" w:ascii="宋体" w:hAnsi="宋体" w:cs="宋体"/>
                <w:szCs w:val="21"/>
                <w:u w:val="single"/>
              </w:rPr>
              <w:t xml:space="preserve"> 5  </w:t>
            </w:r>
            <w:r>
              <w:rPr>
                <w:rFonts w:hint="eastAsia" w:ascii="宋体" w:hAnsi="宋体" w:cs="宋体"/>
                <w:szCs w:val="21"/>
              </w:rPr>
              <w:t>项。</w:t>
            </w:r>
          </w:p>
          <w:p>
            <w:pPr>
              <w:snapToGrid w:val="0"/>
              <w:spacing w:line="360" w:lineRule="auto"/>
              <w:ind w:firstLine="840" w:firstLineChars="400"/>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30.1</w:t>
            </w:r>
          </w:p>
        </w:tc>
        <w:tc>
          <w:tcPr>
            <w:tcW w:w="199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确定中标人时，出现中标候选人分数并列的情形，确定中标人方式 </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 xml:space="preserve">□采用最低评标价法的，投标文件满足招标文件全部实质性要求且投标报价最低的投标人为排名第一的中标候选人； </w:t>
            </w:r>
          </w:p>
          <w:p>
            <w:pPr>
              <w:autoSpaceDE w:val="0"/>
              <w:autoSpaceDN w:val="0"/>
              <w:snapToGrid w:val="0"/>
              <w:spacing w:line="360" w:lineRule="auto"/>
              <w:textAlignment w:val="bottom"/>
              <w:rPr>
                <w:rFonts w:ascii="宋体" w:hAnsi="宋体" w:cs="宋体"/>
                <w:b/>
                <w:szCs w:val="21"/>
              </w:rPr>
            </w:pPr>
            <w:r>
              <w:rPr>
                <w:rFonts w:hint="eastAsia" w:ascii="宋体" w:hAnsi="宋体" w:cs="宋体"/>
                <w:szCs w:val="21"/>
              </w:rPr>
              <w:t>☑采用综合评分法的，按投标报价由低到高顺序排列。得分且投标报价相同的并列。投标文件满足招标文件全部实质性要求，且按照评审因素的量化指标评审（技术性能得分较高者为先）得分最高的投标人为排名第一的中标候选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30.2</w:t>
            </w:r>
          </w:p>
        </w:tc>
        <w:tc>
          <w:tcPr>
            <w:tcW w:w="1993" w:type="dxa"/>
            <w:tcBorders>
              <w:top w:val="single" w:color="auto" w:sz="4" w:space="0"/>
              <w:left w:val="single" w:color="auto" w:sz="4" w:space="0"/>
              <w:bottom w:val="single" w:color="auto" w:sz="4" w:space="0"/>
              <w:right w:val="single" w:color="auto" w:sz="4" w:space="0"/>
            </w:tcBorders>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提供相同品牌产品且 通过资格审查、符合性 审查的不同投标人参 加同一合同项下投标 的中标候选人确定方 式</w:t>
            </w:r>
          </w:p>
        </w:tc>
        <w:tc>
          <w:tcPr>
            <w:tcW w:w="7297" w:type="dxa"/>
            <w:tcBorders>
              <w:top w:val="single" w:color="auto" w:sz="4" w:space="0"/>
              <w:left w:val="single" w:color="auto" w:sz="4" w:space="0"/>
              <w:bottom w:val="single" w:color="auto" w:sz="4" w:space="0"/>
              <w:right w:val="single" w:color="auto" w:sz="4" w:space="0"/>
            </w:tcBorders>
          </w:tcPr>
          <w:p>
            <w:pPr>
              <w:spacing w:before="174" w:line="360" w:lineRule="auto"/>
              <w:ind w:left="131" w:right="101"/>
              <w:rPr>
                <w:rFonts w:ascii="宋体" w:hAnsi="宋体" w:cs="宋体"/>
                <w:szCs w:val="21"/>
              </w:rPr>
            </w:pPr>
            <w:r>
              <w:rPr>
                <w:rFonts w:hint="eastAsia" w:ascii="宋体" w:hAnsi="宋体" w:cs="宋体"/>
                <w:spacing w:val="4"/>
                <w:szCs w:val="21"/>
              </w:rPr>
              <w:t>□随机抽取（采用最低评标价法</w:t>
            </w:r>
            <w:r>
              <w:rPr>
                <w:rFonts w:hint="eastAsia" w:ascii="宋体" w:hAnsi="宋体" w:cs="宋体"/>
                <w:spacing w:val="5"/>
                <w:szCs w:val="21"/>
              </w:rPr>
              <w:t>，</w:t>
            </w:r>
            <w:r>
              <w:rPr>
                <w:rFonts w:hint="eastAsia" w:ascii="宋体" w:hAnsi="宋体" w:cs="宋体"/>
                <w:spacing w:val="4"/>
                <w:szCs w:val="21"/>
              </w:rPr>
              <w:t>报价相同时</w:t>
            </w:r>
            <w:r>
              <w:rPr>
                <w:rFonts w:hint="eastAsia" w:ascii="宋体" w:hAnsi="宋体" w:cs="宋体"/>
                <w:spacing w:val="5"/>
                <w:szCs w:val="21"/>
              </w:rPr>
              <w:t>；</w:t>
            </w:r>
            <w:r>
              <w:rPr>
                <w:rFonts w:hint="eastAsia" w:ascii="宋体" w:hAnsi="宋体" w:cs="宋体"/>
                <w:spacing w:val="4"/>
                <w:szCs w:val="21"/>
              </w:rPr>
              <w:t>采用综合评分</w:t>
            </w:r>
            <w:r>
              <w:rPr>
                <w:rFonts w:hint="eastAsia" w:ascii="宋体" w:hAnsi="宋体" w:cs="宋体"/>
                <w:spacing w:val="3"/>
                <w:szCs w:val="21"/>
              </w:rPr>
              <w:t>法</w:t>
            </w:r>
            <w:r>
              <w:rPr>
                <w:rFonts w:hint="eastAsia" w:ascii="宋体" w:hAnsi="宋体" w:cs="宋体"/>
                <w:spacing w:val="5"/>
                <w:szCs w:val="21"/>
              </w:rPr>
              <w:t>，</w:t>
            </w:r>
            <w:r>
              <w:rPr>
                <w:rFonts w:hint="eastAsia" w:ascii="宋体" w:hAnsi="宋体" w:cs="宋体"/>
                <w:spacing w:val="3"/>
                <w:szCs w:val="21"/>
              </w:rPr>
              <w:t>评审价相</w:t>
            </w:r>
            <w:r>
              <w:rPr>
                <w:rFonts w:hint="eastAsia" w:ascii="宋体" w:hAnsi="宋体" w:cs="宋体"/>
                <w:szCs w:val="21"/>
              </w:rPr>
              <w:t>同时</w:t>
            </w:r>
            <w:r>
              <w:rPr>
                <w:rFonts w:hint="eastAsia" w:ascii="宋体" w:hAnsi="宋体" w:cs="宋体"/>
                <w:spacing w:val="-29"/>
                <w:szCs w:val="21"/>
              </w:rPr>
              <w:t>）</w:t>
            </w:r>
          </w:p>
          <w:p>
            <w:pPr>
              <w:spacing w:before="129" w:line="360" w:lineRule="auto"/>
              <w:ind w:firstLine="132"/>
              <w:rPr>
                <w:rFonts w:ascii="宋体" w:hAnsi="宋体" w:cs="宋体"/>
                <w:szCs w:val="21"/>
              </w:rPr>
            </w:pPr>
            <w:r>
              <w:rPr>
                <w:rFonts w:hint="eastAsia" w:ascii="宋体" w:hAnsi="宋体" w:cs="宋体"/>
                <w:spacing w:val="-13"/>
                <w:szCs w:val="21"/>
              </w:rPr>
              <w:t>☑其他</w:t>
            </w:r>
            <w:r>
              <w:rPr>
                <w:rFonts w:hint="eastAsia" w:ascii="宋体" w:hAnsi="宋体" w:cs="宋体"/>
                <w:spacing w:val="-12"/>
                <w:szCs w:val="21"/>
              </w:rPr>
              <w:t>方式</w:t>
            </w:r>
            <w:r>
              <w:rPr>
                <w:rFonts w:hint="eastAsia" w:ascii="宋体" w:hAnsi="宋体" w:cs="宋体"/>
                <w:spacing w:val="-120"/>
                <w:szCs w:val="21"/>
              </w:rPr>
              <w:t>：</w:t>
            </w:r>
            <w:r>
              <w:rPr>
                <w:rFonts w:hint="eastAsia" w:ascii="宋体" w:hAnsi="宋体" w:cs="宋体"/>
                <w:szCs w:val="21"/>
                <w:u w:val="single"/>
              </w:rPr>
              <w:t xml:space="preserve">   评审后得分最高的同品牌投标人获得中标人推荐资格。评审得分相同的，按投标报价由低到高顺序排列，投标报价最低的获得中标人推荐资格。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35</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3" w:name="_39.1"/>
            <w:bookmarkEnd w:id="63"/>
            <w:r>
              <w:rPr>
                <w:rFonts w:hint="eastAsia" w:ascii="宋体" w:hAnsi="宋体" w:cs="宋体"/>
                <w:szCs w:val="21"/>
              </w:rPr>
              <w:t>履约保证金金额</w:t>
            </w:r>
          </w:p>
        </w:tc>
        <w:tc>
          <w:tcPr>
            <w:tcW w:w="7297" w:type="dxa"/>
            <w:tcBorders>
              <w:top w:val="single" w:color="auto" w:sz="4" w:space="0"/>
              <w:left w:val="single" w:color="auto" w:sz="4" w:space="0"/>
              <w:bottom w:val="single" w:color="auto" w:sz="4" w:space="0"/>
              <w:right w:val="single" w:color="auto" w:sz="4" w:space="0"/>
            </w:tcBorders>
            <w:vAlign w:val="bottom"/>
          </w:tcPr>
          <w:p>
            <w:pPr>
              <w:autoSpaceDE w:val="0"/>
              <w:autoSpaceDN w:val="0"/>
              <w:snapToGrid w:val="0"/>
              <w:spacing w:line="360" w:lineRule="auto"/>
              <w:jc w:val="left"/>
              <w:textAlignment w:val="bottom"/>
              <w:rPr>
                <w:rFonts w:ascii="宋体" w:hAnsi="宋体" w:cs="宋体"/>
                <w:szCs w:val="21"/>
              </w:rPr>
            </w:pPr>
            <w:r>
              <w:rPr>
                <w:rFonts w:hint="eastAsia" w:ascii="宋体" w:hAnsi="宋体" w:cs="宋体"/>
                <w:szCs w:val="21"/>
              </w:rPr>
              <w:t>本项目不收取履约保证金。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36.1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4" w:name="_40.1"/>
            <w:bookmarkEnd w:id="64"/>
            <w:r>
              <w:rPr>
                <w:rFonts w:hint="eastAsia" w:ascii="宋体" w:hAnsi="宋体" w:cs="宋体"/>
                <w:szCs w:val="21"/>
              </w:rPr>
              <w:t>签订电子合同携带的材料</w:t>
            </w:r>
          </w:p>
        </w:tc>
        <w:tc>
          <w:tcPr>
            <w:tcW w:w="729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val="0"/>
              <w:spacing w:line="360" w:lineRule="auto"/>
              <w:textAlignment w:val="bottom"/>
              <w:rPr>
                <w:rFonts w:ascii="宋体" w:hAnsi="宋体" w:cs="宋体"/>
                <w:szCs w:val="21"/>
              </w:rPr>
            </w:pPr>
            <w:r>
              <w:rPr>
                <w:rFonts w:hint="eastAsia" w:ascii="宋体" w:hAnsi="宋体" w:cs="宋体"/>
                <w:szCs w:val="21"/>
              </w:rPr>
              <w:t>电子采购合同需要供应商通过有效CA证书进行电子签署</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38.2.1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接收质疑函方式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以书面形式</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质疑联系部门及联系方式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（1）</w:t>
            </w:r>
            <w:r>
              <w:rPr>
                <w:rFonts w:hint="eastAsia" w:ascii="宋体" w:hAnsi="宋体" w:cs="宋体"/>
                <w:szCs w:val="21"/>
                <w:u w:val="single"/>
              </w:rPr>
              <w:t xml:space="preserve">隆安县政府集中采购中心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0771-6529585</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bookmarkStart w:id="65" w:name="PO_3000001866_PM035"/>
            <w:r>
              <w:rPr>
                <w:rFonts w:hint="eastAsia" w:ascii="宋体" w:hAnsi="宋体" w:cs="宋体"/>
                <w:szCs w:val="21"/>
                <w:u w:val="single"/>
              </w:rPr>
              <w:t>隆安县城厢镇城南路14号</w:t>
            </w:r>
            <w:bookmarkEnd w:id="65"/>
            <w:r>
              <w:rPr>
                <w:rFonts w:hint="eastAsia" w:ascii="宋体" w:hAnsi="宋体" w:cs="宋体"/>
                <w:szCs w:val="21"/>
              </w:rPr>
              <w:t xml:space="preserve"> </w:t>
            </w:r>
          </w:p>
          <w:p>
            <w:pPr>
              <w:snapToGrid w:val="0"/>
              <w:spacing w:line="360" w:lineRule="auto"/>
              <w:rPr>
                <w:rFonts w:ascii="宋体" w:hAnsi="宋体" w:cs="宋体"/>
                <w:szCs w:val="21"/>
              </w:rPr>
            </w:pPr>
            <w:r>
              <w:rPr>
                <w:rFonts w:hint="eastAsia" w:ascii="宋体" w:hAnsi="宋体" w:cs="宋体"/>
                <w:szCs w:val="21"/>
              </w:rPr>
              <w:t>（2）</w:t>
            </w:r>
            <w:r>
              <w:rPr>
                <w:rFonts w:hint="eastAsia" w:ascii="宋体" w:hAnsi="宋体" w:cs="宋体"/>
                <w:szCs w:val="21"/>
                <w:u w:val="single"/>
              </w:rPr>
              <w:t xml:space="preserve">隆安县教育局   </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0771-6528701</w:t>
            </w:r>
            <w:r>
              <w:rPr>
                <w:rFonts w:hint="eastAsia" w:ascii="宋体" w:hAnsi="宋体" w:cs="宋体"/>
                <w:szCs w:val="21"/>
              </w:rPr>
              <w:t>，</w:t>
            </w:r>
          </w:p>
          <w:p>
            <w:pPr>
              <w:snapToGrid w:val="0"/>
              <w:spacing w:line="360" w:lineRule="auto"/>
              <w:rPr>
                <w:rFonts w:ascii="宋体" w:hAnsi="宋体" w:cs="宋体"/>
                <w:szCs w:val="21"/>
              </w:rPr>
            </w:pPr>
            <w:r>
              <w:rPr>
                <w:rFonts w:hint="eastAsia" w:ascii="宋体" w:hAnsi="宋体" w:cs="宋体"/>
                <w:szCs w:val="21"/>
              </w:rPr>
              <w:t>通讯地址：</w:t>
            </w:r>
            <w:r>
              <w:rPr>
                <w:rFonts w:hint="eastAsia" w:ascii="宋体" w:hAnsi="宋体" w:cs="宋体"/>
                <w:szCs w:val="21"/>
                <w:u w:val="single"/>
              </w:rPr>
              <w:t>隆安县江滨路22号</w:t>
            </w:r>
            <w:r>
              <w:rPr>
                <w:rFonts w:hint="eastAsia" w:ascii="宋体" w:hAnsi="宋体" w:cs="宋体"/>
                <w:szCs w:val="21"/>
              </w:rPr>
              <w:t xml:space="preserve"> </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现场提交质疑办理业务时间</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rPr>
              <w:t>质疑期内每个工作日</w:t>
            </w:r>
            <w:r>
              <w:rPr>
                <w:rFonts w:hint="eastAsia" w:ascii="宋体" w:hAnsi="宋体" w:cs="宋体"/>
                <w:u w:val="single"/>
              </w:rPr>
              <w:t xml:space="preserve"> 9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12  </w:t>
            </w:r>
            <w:r>
              <w:rPr>
                <w:rFonts w:hint="eastAsia" w:ascii="宋体" w:hAnsi="宋体" w:cs="宋体"/>
              </w:rPr>
              <w:t>时</w:t>
            </w:r>
            <w:r>
              <w:rPr>
                <w:rFonts w:hint="eastAsia" w:ascii="宋体" w:hAnsi="宋体" w:cs="宋体"/>
                <w:u w:val="single"/>
              </w:rPr>
              <w:t xml:space="preserve">  00 </w:t>
            </w:r>
            <w:r>
              <w:rPr>
                <w:rFonts w:hint="eastAsia" w:ascii="宋体" w:hAnsi="宋体" w:cs="宋体"/>
              </w:rPr>
              <w:t>分，</w:t>
            </w:r>
            <w:r>
              <w:rPr>
                <w:rFonts w:hint="eastAsia" w:ascii="宋体" w:hAnsi="宋体" w:cs="宋体"/>
                <w:u w:val="single"/>
              </w:rPr>
              <w:t xml:space="preserve">  15  </w:t>
            </w:r>
            <w:r>
              <w:rPr>
                <w:rFonts w:hint="eastAsia" w:ascii="宋体" w:hAnsi="宋体" w:cs="宋体"/>
              </w:rPr>
              <w:t>时</w:t>
            </w:r>
            <w:r>
              <w:rPr>
                <w:rFonts w:hint="eastAsia" w:ascii="宋体" w:hAnsi="宋体" w:cs="宋体"/>
                <w:u w:val="single"/>
              </w:rPr>
              <w:t xml:space="preserve"> 00 </w:t>
            </w:r>
            <w:r>
              <w:rPr>
                <w:rFonts w:hint="eastAsia" w:ascii="宋体" w:hAnsi="宋体" w:cs="宋体"/>
              </w:rPr>
              <w:t>分到</w:t>
            </w:r>
            <w:r>
              <w:rPr>
                <w:rFonts w:hint="eastAsia" w:ascii="宋体" w:hAnsi="宋体" w:cs="宋体"/>
                <w:u w:val="single"/>
              </w:rPr>
              <w:t xml:space="preserve"> 17    </w:t>
            </w:r>
            <w:r>
              <w:rPr>
                <w:rFonts w:hint="eastAsia" w:ascii="宋体" w:hAnsi="宋体" w:cs="宋体"/>
              </w:rPr>
              <w:t>时</w:t>
            </w:r>
            <w:r>
              <w:rPr>
                <w:rFonts w:hint="eastAsia" w:ascii="宋体" w:hAnsi="宋体" w:cs="宋体"/>
                <w:u w:val="single"/>
              </w:rPr>
              <w:t xml:space="preserve">  30 </w:t>
            </w:r>
            <w:r>
              <w:rPr>
                <w:rFonts w:hint="eastAsia" w:ascii="宋体" w:hAnsi="宋体" w:cs="宋体"/>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950" w:type="dxa"/>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38.3.1</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rPr>
            </w:pPr>
            <w:r>
              <w:rPr>
                <w:rFonts w:hint="eastAsia" w:ascii="宋体" w:hAnsi="宋体" w:cs="宋体"/>
              </w:rPr>
              <w:t>投诉受理方式</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rPr>
            </w:pPr>
            <w:r>
              <w:rPr>
                <w:rFonts w:hint="eastAsia" w:ascii="宋体" w:hAnsi="宋体" w:cs="宋体"/>
              </w:rPr>
              <w:t>1、受理方式：纸质方式受理，投诉书正、副本（经过质疑的事项才可投诉）。</w:t>
            </w:r>
          </w:p>
          <w:p>
            <w:pPr>
              <w:snapToGrid w:val="0"/>
              <w:spacing w:line="360" w:lineRule="auto"/>
              <w:rPr>
                <w:rFonts w:ascii="宋体" w:hAnsi="宋体" w:cs="宋体"/>
              </w:rPr>
            </w:pPr>
            <w:r>
              <w:rPr>
                <w:rFonts w:hint="eastAsia" w:ascii="宋体" w:hAnsi="宋体" w:cs="宋体"/>
              </w:rPr>
              <w:t>2、邮寄地址：</w:t>
            </w:r>
          </w:p>
          <w:p>
            <w:pPr>
              <w:snapToGrid w:val="0"/>
              <w:spacing w:line="360" w:lineRule="auto"/>
              <w:rPr>
                <w:rFonts w:ascii="宋体" w:hAnsi="宋体" w:cs="宋体"/>
              </w:rPr>
            </w:pPr>
            <w:r>
              <w:rPr>
                <w:rFonts w:hint="eastAsia" w:ascii="宋体" w:hAnsi="宋体" w:cs="宋体"/>
              </w:rPr>
              <w:t xml:space="preserve">名称：隆安县财政局政府采购监督管理办公室 </w:t>
            </w:r>
            <w:bookmarkStart w:id="66" w:name="PO_3000001866_PM036"/>
            <w:r>
              <w:rPr>
                <w:rFonts w:hint="eastAsia" w:ascii="宋体" w:hAnsi="宋体" w:cs="宋体"/>
              </w:rPr>
              <w:t xml:space="preserve"> </w:t>
            </w:r>
            <w:bookmarkEnd w:id="66"/>
          </w:p>
          <w:p>
            <w:pPr>
              <w:snapToGrid w:val="0"/>
              <w:spacing w:line="360" w:lineRule="auto"/>
              <w:rPr>
                <w:rFonts w:ascii="宋体" w:hAnsi="宋体" w:cs="宋体"/>
              </w:rPr>
            </w:pPr>
            <w:r>
              <w:rPr>
                <w:rFonts w:hint="eastAsia" w:ascii="宋体" w:hAnsi="宋体" w:cs="宋体"/>
              </w:rPr>
              <w:t>地址：隆安县城厢镇广场路8号</w:t>
            </w:r>
          </w:p>
          <w:p>
            <w:pPr>
              <w:snapToGrid w:val="0"/>
              <w:spacing w:line="360" w:lineRule="auto"/>
              <w:rPr>
                <w:rFonts w:ascii="宋体" w:hAnsi="宋体" w:cs="宋体"/>
              </w:rPr>
            </w:pPr>
            <w:r>
              <w:rPr>
                <w:rFonts w:hint="eastAsia" w:ascii="宋体" w:hAnsi="宋体" w:cs="宋体"/>
              </w:rPr>
              <w:t>联系电话：0771-6531019</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80" w:hRule="atLeast"/>
        </w:trPr>
        <w:tc>
          <w:tcPr>
            <w:tcW w:w="950" w:type="dxa"/>
            <w:vMerge w:val="restart"/>
            <w:tcBorders>
              <w:top w:val="single" w:color="auto" w:sz="4" w:space="0"/>
              <w:left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40</w:t>
            </w: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bookmarkStart w:id="67" w:name="_42"/>
            <w:bookmarkEnd w:id="67"/>
            <w:bookmarkStart w:id="68" w:name="_41"/>
            <w:bookmarkEnd w:id="68"/>
            <w:r>
              <w:rPr>
                <w:rFonts w:hint="eastAsia" w:ascii="宋体" w:hAnsi="宋体" w:cs="宋体"/>
              </w:rPr>
              <w:t>采购代理费支付方式</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□本项目代理服务费由</w:t>
            </w:r>
            <w:r>
              <w:rPr>
                <w:rFonts w:hint="eastAsia" w:hAnsi="宋体" w:cs="宋体"/>
                <w:u w:val="single"/>
              </w:rPr>
              <w:t>中标人</w:t>
            </w:r>
            <w:r>
              <w:rPr>
                <w:rFonts w:hint="eastAsia" w:hAnsi="宋体" w:cs="宋体"/>
              </w:rPr>
              <w:t>在领取中标通知书前，一次性向采购代理机构支付。若合同签订前未支付，视为中标人放弃中标资格。</w:t>
            </w:r>
          </w:p>
          <w:p>
            <w:pPr>
              <w:pStyle w:val="12"/>
              <w:snapToGrid w:val="0"/>
              <w:spacing w:line="360" w:lineRule="auto"/>
              <w:rPr>
                <w:rFonts w:hAnsi="宋体" w:cs="宋体"/>
              </w:rPr>
            </w:pPr>
            <w:r>
              <w:rPr>
                <w:rFonts w:hint="eastAsia" w:hAnsi="宋体" w:cs="宋体"/>
              </w:rPr>
              <w:t>□采购人支付。</w:t>
            </w:r>
          </w:p>
          <w:p>
            <w:pPr>
              <w:pStyle w:val="12"/>
              <w:snapToGrid w:val="0"/>
              <w:spacing w:line="360" w:lineRule="auto"/>
              <w:rPr>
                <w:rFonts w:hAnsi="宋体" w:cs="宋体"/>
              </w:rPr>
            </w:pPr>
            <w:r>
              <w:rPr>
                <w:rFonts w:hint="eastAsia" w:hAnsi="宋体" w:cs="宋体"/>
              </w:rPr>
              <w:t>☑本项目不收取代理服务费。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121" w:hRule="atLeast"/>
        </w:trPr>
        <w:tc>
          <w:tcPr>
            <w:tcW w:w="950" w:type="dxa"/>
            <w:vMerge w:val="continue"/>
            <w:tcBorders>
              <w:left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采购代理费收取标准</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u w:val="single"/>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950" w:type="dxa"/>
            <w:vMerge w:val="continue"/>
            <w:tcBorders>
              <w:left w:val="single" w:color="auto" w:sz="4" w:space="0"/>
              <w:bottom w:val="single" w:color="auto" w:sz="4" w:space="0"/>
              <w:right w:val="single" w:color="auto" w:sz="4" w:space="0"/>
            </w:tcBorders>
            <w:vAlign w:val="center"/>
          </w:tcPr>
          <w:p>
            <w:pPr>
              <w:spacing w:line="360" w:lineRule="auto"/>
              <w:rPr>
                <w:rFonts w:ascii="宋体" w:hAnsi="宋体" w:cs="宋体"/>
                <w:szCs w:val="21"/>
              </w:rPr>
            </w:pPr>
          </w:p>
        </w:tc>
        <w:tc>
          <w:tcPr>
            <w:tcW w:w="1993"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rPr>
              <w:t>代理服务费收款账户信息</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rPr>
            </w:pPr>
            <w:r>
              <w:rPr>
                <w:rFonts w:hint="eastAsia" w:hAnsi="宋体" w:cs="宋体"/>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41.1</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解释</w:t>
            </w:r>
          </w:p>
        </w:tc>
        <w:tc>
          <w:tcPr>
            <w:tcW w:w="729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b/>
                <w:szCs w:val="21"/>
              </w:rPr>
            </w:pPr>
            <w:r>
              <w:rPr>
                <w:rFonts w:hint="eastAsia" w:ascii="宋体" w:hAnsi="宋体" w:cs="宋体"/>
                <w:b/>
                <w:szCs w:val="21"/>
              </w:rPr>
              <w:t>解释权：</w:t>
            </w:r>
            <w:r>
              <w:rPr>
                <w:rFonts w:hint="eastAsia" w:ascii="宋体" w:hAnsi="宋体" w:cs="宋体"/>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Pr>
                <w:rFonts w:hint="eastAsia" w:ascii="宋体" w:hAnsi="宋体" w:cs="宋体"/>
                <w:b/>
                <w:szCs w:val="21"/>
              </w:rPr>
              <w:t>，由采购人或者采购代理机构负责解释。</w:t>
            </w:r>
          </w:p>
          <w:p>
            <w:pPr>
              <w:snapToGrid w:val="0"/>
              <w:spacing w:line="360" w:lineRule="auto"/>
              <w:rPr>
                <w:rFonts w:ascii="宋体" w:hAnsi="宋体" w:cs="宋体"/>
                <w:b/>
                <w:szCs w:val="21"/>
              </w:rPr>
            </w:pPr>
            <w:r>
              <w:rPr>
                <w:rFonts w:hint="eastAsia" w:ascii="宋体" w:hAnsi="宋体" w:cs="宋体"/>
                <w:b/>
                <w:szCs w:val="21"/>
              </w:rPr>
              <w:t>法律责任：</w:t>
            </w:r>
          </w:p>
          <w:p>
            <w:pPr>
              <w:snapToGrid w:val="0"/>
              <w:spacing w:line="360" w:lineRule="auto"/>
              <w:rPr>
                <w:rFonts w:ascii="宋体" w:hAnsi="宋体" w:cs="宋体"/>
                <w:szCs w:val="21"/>
              </w:rPr>
            </w:pPr>
            <w:r>
              <w:rPr>
                <w:rFonts w:hint="eastAsia" w:ascii="宋体" w:hAnsi="宋体" w:cs="宋体"/>
                <w:szCs w:val="21"/>
              </w:rPr>
              <w:t>1.本采购文件根据《中华人民共和国政府采购法》、《中华人民共和国民法典》；《中华人民共和国政府采购法实施条例》、《政府采购非招标采购方式管理办法》等有关法律、法规编制，参与本项目的各政府采购当事人依法享有上述法律法规所赋予的权利与义务。</w:t>
            </w:r>
          </w:p>
          <w:p>
            <w:pPr>
              <w:spacing w:line="360" w:lineRule="auto"/>
              <w:rPr>
                <w:rFonts w:ascii="宋体" w:hAnsi="宋体" w:cs="宋体"/>
              </w:rPr>
            </w:pPr>
            <w:r>
              <w:rPr>
                <w:rFonts w:hint="eastAsia" w:ascii="宋体" w:hAnsi="宋体" w:cs="宋体"/>
                <w:b/>
                <w:szCs w:val="21"/>
              </w:rPr>
              <w:t>2.本项目采购代理机构应严格按照“政采云”平台项目采购全流程电子化电子开评标规程执行项目采购活动，代理机构在“政采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5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Cs w:val="21"/>
              </w:rPr>
            </w:pPr>
            <w:r>
              <w:rPr>
                <w:rFonts w:hint="eastAsia" w:ascii="宋体" w:hAnsi="宋体" w:cs="宋体"/>
                <w:szCs w:val="21"/>
              </w:rPr>
              <w:t>41.2</w:t>
            </w:r>
          </w:p>
        </w:tc>
        <w:tc>
          <w:tcPr>
            <w:tcW w:w="1993"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rPr>
                <w:rFonts w:ascii="宋体" w:hAnsi="宋体" w:cs="宋体"/>
                <w:szCs w:val="21"/>
              </w:rPr>
            </w:pPr>
            <w:r>
              <w:rPr>
                <w:rFonts w:hint="eastAsia" w:ascii="宋体" w:hAnsi="宋体" w:cs="宋体"/>
                <w:szCs w:val="21"/>
              </w:rPr>
              <w:t>其他释义</w:t>
            </w:r>
          </w:p>
        </w:tc>
        <w:tc>
          <w:tcPr>
            <w:tcW w:w="7297" w:type="dxa"/>
            <w:tcBorders>
              <w:top w:val="single" w:color="auto" w:sz="4" w:space="0"/>
              <w:left w:val="single" w:color="auto" w:sz="4" w:space="0"/>
              <w:bottom w:val="single" w:color="auto" w:sz="4" w:space="0"/>
              <w:right w:val="single" w:color="auto" w:sz="4" w:space="0"/>
            </w:tcBorders>
            <w:vAlign w:val="center"/>
          </w:tcPr>
          <w:p>
            <w:pPr>
              <w:pStyle w:val="12"/>
              <w:snapToGrid w:val="0"/>
              <w:spacing w:line="360" w:lineRule="auto"/>
              <w:rPr>
                <w:rFonts w:hAnsi="宋体" w:cs="宋体"/>
                <w:b/>
                <w:bCs/>
              </w:rPr>
            </w:pPr>
            <w:r>
              <w:rPr>
                <w:rFonts w:hint="eastAsia" w:hAnsi="宋体" w:cs="宋体"/>
                <w:b/>
                <w:bCs/>
              </w:rPr>
              <w:t>1.本招标文件中描述投标人的“公章”是指根据我国对公章的管理规定，用投标人法定主体行为名称制作的印章，除本招标文件有特殊规定外，投标人的财务章、部门章、分公司章、工会章、合同章、投标专用章、业务专用章及银行的转账章、现金收讫章、现金付讫章等其他形式印章均不能代替公章。</w:t>
            </w:r>
          </w:p>
          <w:p>
            <w:pPr>
              <w:pStyle w:val="12"/>
              <w:snapToGrid w:val="0"/>
              <w:spacing w:line="360" w:lineRule="auto"/>
              <w:rPr>
                <w:rFonts w:hAnsi="宋体" w:cs="宋体"/>
                <w:b/>
                <w:bCs/>
              </w:rPr>
            </w:pPr>
            <w:r>
              <w:rPr>
                <w:rFonts w:hint="eastAsia" w:hAnsi="宋体" w:cs="宋体"/>
                <w:b/>
                <w:bCs/>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pPr>
              <w:pStyle w:val="12"/>
              <w:snapToGrid w:val="0"/>
              <w:spacing w:line="360" w:lineRule="auto"/>
              <w:rPr>
                <w:rFonts w:hAnsi="宋体" w:cs="宋体"/>
                <w:b/>
                <w:bCs/>
              </w:rPr>
            </w:pPr>
            <w:r>
              <w:rPr>
                <w:rFonts w:hint="eastAsia" w:hAnsi="宋体" w:cs="宋体"/>
                <w:b/>
                <w:bCs/>
              </w:rPr>
              <w:t>3.本招标文件中描述投标人的“签字”是指投标人的法定代表人或者委托代理人亲自在文件规定签署处亲笔写上个人的名字的行为，私章、签字章、印鉴等其他形式均不能代替亲笔签字。</w:t>
            </w:r>
          </w:p>
          <w:p>
            <w:pPr>
              <w:pStyle w:val="12"/>
              <w:snapToGrid w:val="0"/>
              <w:spacing w:line="360" w:lineRule="auto"/>
              <w:rPr>
                <w:rFonts w:hAnsi="宋体" w:cs="宋体"/>
                <w:b/>
                <w:bCs/>
              </w:rPr>
            </w:pPr>
            <w:r>
              <w:rPr>
                <w:rFonts w:hint="eastAsia" w:hAnsi="宋体" w:cs="宋体"/>
                <w:b/>
                <w:bCs/>
              </w:rPr>
              <w:t>4.自然人投标的，招标文件规定盖公章处由自然人摁手指指印。</w:t>
            </w:r>
          </w:p>
          <w:p>
            <w:pPr>
              <w:spacing w:line="360" w:lineRule="auto"/>
              <w:jc w:val="left"/>
              <w:rPr>
                <w:rFonts w:ascii="宋体" w:hAnsi="宋体" w:cs="宋体"/>
                <w:szCs w:val="21"/>
              </w:rPr>
            </w:pPr>
            <w:r>
              <w:rPr>
                <w:rFonts w:hint="eastAsia" w:ascii="宋体" w:hAnsi="宋体" w:cs="宋体"/>
                <w:b/>
                <w:bCs/>
                <w:szCs w:val="21"/>
              </w:rPr>
              <w:t>5.本招标文件所称的“以上”“以下”“以内”“届满”，包括本数；所称的“不满”“超过”“以外”，不包括本数。</w:t>
            </w:r>
          </w:p>
        </w:tc>
      </w:tr>
    </w:tbl>
    <w:p>
      <w:pPr>
        <w:pStyle w:val="3"/>
        <w:spacing w:line="360" w:lineRule="auto"/>
        <w:rPr>
          <w:rFonts w:ascii="宋体" w:hAnsi="宋体" w:cs="宋体"/>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3"/>
        <w:spacing w:line="360" w:lineRule="auto"/>
        <w:jc w:val="center"/>
        <w:rPr>
          <w:rFonts w:ascii="宋体" w:hAnsi="宋体" w:cs="宋体"/>
        </w:rPr>
      </w:pPr>
      <w:bookmarkStart w:id="69" w:name="_Toc24629"/>
      <w:r>
        <w:rPr>
          <w:rFonts w:hint="eastAsia" w:ascii="宋体" w:hAnsi="宋体" w:cs="宋体"/>
        </w:rPr>
        <w:t>第二节 投标人须知正文</w:t>
      </w:r>
      <w:bookmarkEnd w:id="69"/>
    </w:p>
    <w:p>
      <w:pPr>
        <w:pStyle w:val="4"/>
        <w:keepNext w:val="0"/>
        <w:keepLines w:val="0"/>
        <w:rPr>
          <w:rFonts w:cs="宋体"/>
        </w:rPr>
      </w:pPr>
      <w:bookmarkStart w:id="70" w:name="_Toc27066"/>
      <w:r>
        <w:rPr>
          <w:rFonts w:hint="eastAsia" w:cs="宋体"/>
        </w:rPr>
        <w:t>一、总  则</w:t>
      </w:r>
      <w:bookmarkEnd w:id="70"/>
    </w:p>
    <w:p>
      <w:pPr>
        <w:spacing w:line="360" w:lineRule="auto"/>
        <w:ind w:firstLine="480" w:firstLineChars="200"/>
        <w:rPr>
          <w:rFonts w:ascii="宋体" w:hAnsi="宋体" w:cs="宋体"/>
          <w:sz w:val="24"/>
        </w:rPr>
      </w:pPr>
      <w:bookmarkStart w:id="71" w:name="_Toc254970668"/>
      <w:bookmarkStart w:id="72" w:name="_Toc254970527"/>
      <w:r>
        <w:rPr>
          <w:rFonts w:hint="eastAsia" w:ascii="宋体" w:hAnsi="宋体" w:cs="宋体"/>
          <w:sz w:val="24"/>
        </w:rPr>
        <w:t>1.适用范围</w:t>
      </w:r>
      <w:bookmarkEnd w:id="71"/>
      <w:bookmarkEnd w:id="72"/>
    </w:p>
    <w:p>
      <w:pPr>
        <w:spacing w:line="360" w:lineRule="auto"/>
        <w:ind w:firstLine="420" w:firstLineChars="200"/>
        <w:rPr>
          <w:rFonts w:ascii="宋体" w:hAnsi="宋体" w:cs="宋体"/>
          <w:szCs w:val="21"/>
        </w:rPr>
      </w:pPr>
      <w:r>
        <w:rPr>
          <w:rFonts w:hint="eastAsia" w:ascii="宋体" w:hAnsi="宋体" w:cs="宋体"/>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pPr>
        <w:spacing w:line="360" w:lineRule="auto"/>
        <w:ind w:firstLine="420" w:firstLineChars="200"/>
        <w:rPr>
          <w:rFonts w:ascii="宋体" w:hAnsi="宋体" w:cs="宋体"/>
          <w:szCs w:val="21"/>
        </w:rPr>
      </w:pPr>
      <w:r>
        <w:rPr>
          <w:rFonts w:hint="eastAsia" w:ascii="宋体" w:hAnsi="宋体" w:cs="宋体"/>
          <w:szCs w:val="21"/>
        </w:rPr>
        <w:t>1.2本招标文件</w:t>
      </w:r>
      <w:r>
        <w:rPr>
          <w:rFonts w:hint="eastAsia" w:ascii="宋体" w:hAnsi="宋体" w:cs="宋体"/>
          <w:spacing w:val="-6"/>
          <w:szCs w:val="21"/>
        </w:rPr>
        <w:t>适用于本项目的所有采购程序和环节（法律、法规另有规定的，从其规定）。</w:t>
      </w:r>
    </w:p>
    <w:p>
      <w:pPr>
        <w:spacing w:line="360" w:lineRule="auto"/>
        <w:ind w:firstLine="480" w:firstLineChars="200"/>
        <w:rPr>
          <w:rFonts w:ascii="宋体" w:hAnsi="宋体" w:cs="宋体"/>
          <w:sz w:val="24"/>
        </w:rPr>
      </w:pPr>
      <w:bookmarkStart w:id="73" w:name="_Toc254970669"/>
      <w:bookmarkStart w:id="74" w:name="_Toc254970528"/>
      <w:r>
        <w:rPr>
          <w:rFonts w:hint="eastAsia" w:ascii="宋体" w:hAnsi="宋体" w:cs="宋体"/>
          <w:sz w:val="24"/>
        </w:rPr>
        <w:t>2.定义</w:t>
      </w:r>
      <w:bookmarkEnd w:id="73"/>
      <w:bookmarkEnd w:id="74"/>
    </w:p>
    <w:p>
      <w:pPr>
        <w:spacing w:line="360" w:lineRule="auto"/>
        <w:ind w:firstLine="422" w:firstLineChars="200"/>
        <w:rPr>
          <w:rFonts w:ascii="宋体" w:hAnsi="宋体" w:cs="宋体"/>
          <w:b/>
          <w:szCs w:val="21"/>
        </w:rPr>
      </w:pPr>
      <w:r>
        <w:rPr>
          <w:rFonts w:hint="eastAsia" w:ascii="宋体" w:hAnsi="宋体" w:cs="宋体"/>
          <w:b/>
          <w:szCs w:val="21"/>
        </w:rPr>
        <w:t>2.1“采购人”是指依法进行政府采购的国家机关、事业单位、团体组织。</w:t>
      </w:r>
    </w:p>
    <w:p>
      <w:pPr>
        <w:spacing w:line="360" w:lineRule="auto"/>
        <w:ind w:firstLine="422" w:firstLineChars="200"/>
        <w:rPr>
          <w:rFonts w:ascii="宋体" w:hAnsi="宋体" w:cs="宋体"/>
          <w:b/>
          <w:szCs w:val="21"/>
        </w:rPr>
      </w:pPr>
      <w:r>
        <w:rPr>
          <w:rFonts w:hint="eastAsia" w:ascii="宋体" w:hAnsi="宋体" w:cs="宋体"/>
          <w:b/>
          <w:szCs w:val="21"/>
        </w:rPr>
        <w:t>2.2“采购代理机构” 指政府采购集中采购机构和集中采购机构以外的采购代理机构。</w:t>
      </w:r>
    </w:p>
    <w:p>
      <w:pPr>
        <w:spacing w:line="360" w:lineRule="auto"/>
        <w:ind w:firstLine="422" w:firstLineChars="200"/>
        <w:rPr>
          <w:rFonts w:ascii="宋体" w:hAnsi="宋体" w:cs="宋体"/>
          <w:b/>
          <w:szCs w:val="21"/>
        </w:rPr>
      </w:pPr>
      <w:r>
        <w:rPr>
          <w:rFonts w:hint="eastAsia" w:ascii="宋体" w:hAnsi="宋体" w:cs="宋体"/>
          <w:b/>
          <w:szCs w:val="21"/>
        </w:rPr>
        <w:t>2.3“供应商”是指向采购人提供货物、工程或者服务的法人、其他组织或者自然人。</w:t>
      </w:r>
    </w:p>
    <w:p>
      <w:pPr>
        <w:spacing w:line="360" w:lineRule="auto"/>
        <w:ind w:firstLine="420" w:firstLineChars="200"/>
        <w:rPr>
          <w:rFonts w:ascii="宋体" w:hAnsi="宋体" w:cs="宋体"/>
          <w:szCs w:val="21"/>
        </w:rPr>
      </w:pPr>
      <w:r>
        <w:rPr>
          <w:rFonts w:hint="eastAsia" w:ascii="宋体" w:hAnsi="宋体" w:cs="宋体"/>
          <w:szCs w:val="21"/>
        </w:rPr>
        <w:t>2.4“投标人”是指响应招标、参加投标竞争的法人、非法人组织或者自然人。</w:t>
      </w:r>
    </w:p>
    <w:p>
      <w:pPr>
        <w:spacing w:line="360" w:lineRule="auto"/>
        <w:ind w:firstLine="422" w:firstLineChars="200"/>
        <w:rPr>
          <w:rFonts w:ascii="宋体" w:hAnsi="宋体" w:cs="宋体"/>
          <w:b/>
          <w:szCs w:val="21"/>
        </w:rPr>
      </w:pPr>
      <w:r>
        <w:rPr>
          <w:rFonts w:hint="eastAsia" w:ascii="宋体" w:hAnsi="宋体" w:cs="宋体"/>
          <w:b/>
          <w:szCs w:val="21"/>
        </w:rPr>
        <w:t>2.5“货物”是指各种形态和种类的物品，包括原材料、燃料、设备、产品等。</w:t>
      </w:r>
    </w:p>
    <w:p>
      <w:pPr>
        <w:spacing w:line="360" w:lineRule="auto"/>
        <w:ind w:firstLine="422" w:firstLineChars="200"/>
        <w:rPr>
          <w:rFonts w:ascii="宋体" w:hAnsi="宋体" w:cs="宋体"/>
          <w:b/>
          <w:szCs w:val="21"/>
        </w:rPr>
      </w:pPr>
      <w:r>
        <w:rPr>
          <w:rFonts w:hint="eastAsia" w:ascii="宋体" w:hAnsi="宋体" w:cs="宋体"/>
          <w:b/>
          <w:szCs w:val="21"/>
        </w:rPr>
        <w:t>2.6“售后服务” 是指商品出售以后所提供的各种服务，包含但不限于投标人须承担的备品备件、包</w:t>
      </w:r>
    </w:p>
    <w:p>
      <w:pPr>
        <w:spacing w:line="360" w:lineRule="auto"/>
        <w:ind w:firstLine="422" w:firstLineChars="200"/>
        <w:rPr>
          <w:rFonts w:ascii="宋体" w:hAnsi="宋体" w:cs="宋体"/>
          <w:b/>
          <w:szCs w:val="21"/>
        </w:rPr>
      </w:pPr>
      <w:r>
        <w:rPr>
          <w:rFonts w:hint="eastAsia" w:ascii="宋体" w:hAnsi="宋体" w:cs="宋体"/>
          <w:b/>
          <w:szCs w:val="21"/>
        </w:rPr>
        <w:t>装、运输、装卸、保险、货到就位以及安装、调试、培训、保修以及其他各种服务。</w:t>
      </w:r>
    </w:p>
    <w:p>
      <w:pPr>
        <w:spacing w:line="360" w:lineRule="auto"/>
        <w:ind w:firstLine="422" w:firstLineChars="200"/>
        <w:rPr>
          <w:rFonts w:ascii="宋体" w:hAnsi="宋体" w:cs="宋体"/>
          <w:b/>
          <w:szCs w:val="21"/>
        </w:rPr>
      </w:pPr>
      <w:r>
        <w:rPr>
          <w:rFonts w:hint="eastAsia" w:ascii="宋体" w:hAnsi="宋体" w:cs="宋体"/>
          <w:b/>
          <w:szCs w:val="21"/>
        </w:rPr>
        <w:t>2.7“书面形式”是指合同书、信件和数据电文（包括电报、电传、传真、短信、电子数据交换和电子邮件）等可以有形地表现所载内容的形式。</w:t>
      </w:r>
    </w:p>
    <w:p>
      <w:pPr>
        <w:spacing w:line="360" w:lineRule="auto"/>
        <w:ind w:firstLine="422" w:firstLineChars="200"/>
        <w:rPr>
          <w:rFonts w:ascii="宋体" w:hAnsi="宋体" w:cs="宋体"/>
          <w:b/>
          <w:szCs w:val="21"/>
        </w:rPr>
      </w:pPr>
      <w:r>
        <w:rPr>
          <w:rFonts w:hint="eastAsia" w:ascii="宋体" w:hAnsi="宋体" w:cs="宋体"/>
          <w:b/>
          <w:szCs w:val="21"/>
        </w:rPr>
        <w:t>2.8“实质性要求”是指招标文件中已经指明不满足则投标无效的条款，或者不能负偏离的条款，或者采购需求中带“</w:t>
      </w:r>
      <w:r>
        <w:rPr>
          <w:rFonts w:hint="eastAsia" w:ascii="宋体" w:hAnsi="宋体" w:cs="宋体"/>
          <w:b/>
          <w:bCs/>
          <w:szCs w:val="21"/>
        </w:rPr>
        <w:t>▲</w:t>
      </w:r>
      <w:r>
        <w:rPr>
          <w:rFonts w:hint="eastAsia" w:ascii="宋体" w:hAnsi="宋体" w:cs="宋体"/>
          <w:b/>
          <w:szCs w:val="21"/>
        </w:rPr>
        <w:t>”的条款。</w:t>
      </w:r>
    </w:p>
    <w:p>
      <w:pPr>
        <w:spacing w:line="360" w:lineRule="auto"/>
        <w:ind w:firstLine="420" w:firstLineChars="200"/>
        <w:rPr>
          <w:rFonts w:ascii="宋体" w:hAnsi="宋体" w:cs="宋体"/>
          <w:szCs w:val="21"/>
        </w:rPr>
      </w:pPr>
      <w:r>
        <w:rPr>
          <w:rFonts w:hint="eastAsia" w:ascii="宋体" w:hAnsi="宋体" w:cs="宋体"/>
          <w:szCs w:val="21"/>
        </w:rPr>
        <w:t>2.9“正偏离”，是指投标文件对招标文件“采购需求”中有关条款作出的响应优于条款要求并有利于采购人的情形。</w:t>
      </w:r>
    </w:p>
    <w:p>
      <w:pPr>
        <w:spacing w:line="360" w:lineRule="auto"/>
        <w:ind w:firstLine="420" w:firstLineChars="200"/>
        <w:rPr>
          <w:rFonts w:ascii="宋体" w:hAnsi="宋体" w:cs="宋体"/>
          <w:szCs w:val="21"/>
        </w:rPr>
      </w:pPr>
      <w:r>
        <w:rPr>
          <w:rFonts w:hint="eastAsia" w:ascii="宋体" w:hAnsi="宋体" w:cs="宋体"/>
          <w:szCs w:val="21"/>
        </w:rPr>
        <w:t>2.10“负偏离”，是指投标文件对招标文件“采购需求”中有关条款作出的响应不满足条款要求，导致采购人要求不能得到满足的情形。</w:t>
      </w:r>
    </w:p>
    <w:p>
      <w:pPr>
        <w:spacing w:line="360" w:lineRule="auto"/>
        <w:ind w:firstLine="420" w:firstLineChars="200"/>
        <w:rPr>
          <w:rFonts w:ascii="宋体" w:hAnsi="宋体" w:cs="宋体"/>
          <w:szCs w:val="21"/>
        </w:rPr>
      </w:pPr>
      <w:r>
        <w:rPr>
          <w:rFonts w:hint="eastAsia" w:ascii="宋体" w:hAnsi="宋体" w:cs="宋体"/>
          <w:szCs w:val="21"/>
        </w:rPr>
        <w:t>2.11“允许负偏离的条款”是指采购需求中的不属于“实质性要求”的条款。</w:t>
      </w:r>
      <w:bookmarkStart w:id="75" w:name="_Toc254970670"/>
      <w:bookmarkStart w:id="76" w:name="_Toc254970529"/>
    </w:p>
    <w:p>
      <w:pPr>
        <w:spacing w:line="360" w:lineRule="auto"/>
        <w:ind w:firstLine="480" w:firstLineChars="200"/>
        <w:rPr>
          <w:rFonts w:ascii="宋体" w:hAnsi="宋体" w:cs="宋体"/>
          <w:sz w:val="24"/>
        </w:rPr>
      </w:pPr>
      <w:r>
        <w:rPr>
          <w:rFonts w:hint="eastAsia" w:ascii="宋体" w:hAnsi="宋体" w:cs="宋体"/>
          <w:sz w:val="24"/>
        </w:rPr>
        <w:t>3.</w:t>
      </w:r>
      <w:bookmarkEnd w:id="75"/>
      <w:bookmarkEnd w:id="76"/>
      <w:r>
        <w:rPr>
          <w:rFonts w:hint="eastAsia" w:ascii="宋体" w:hAnsi="宋体" w:cs="宋体"/>
          <w:sz w:val="24"/>
        </w:rPr>
        <w:t>投标人的资格要求</w:t>
      </w:r>
    </w:p>
    <w:p>
      <w:pPr>
        <w:spacing w:line="360" w:lineRule="auto"/>
        <w:ind w:firstLine="420" w:firstLineChars="200"/>
        <w:rPr>
          <w:rFonts w:ascii="宋体" w:hAnsi="宋体" w:cs="宋体"/>
          <w:szCs w:val="21"/>
        </w:rPr>
      </w:pPr>
      <w:r>
        <w:rPr>
          <w:rFonts w:hint="eastAsia" w:ascii="宋体" w:hAnsi="宋体" w:cs="宋体"/>
          <w:szCs w:val="21"/>
        </w:rPr>
        <w:t>投标人的资格要求详见“招标公告”。</w:t>
      </w:r>
    </w:p>
    <w:p>
      <w:pPr>
        <w:spacing w:line="360" w:lineRule="auto"/>
        <w:ind w:firstLine="480" w:firstLineChars="200"/>
        <w:rPr>
          <w:rFonts w:ascii="宋体" w:hAnsi="宋体" w:cs="宋体"/>
          <w:sz w:val="24"/>
        </w:rPr>
      </w:pPr>
      <w:bookmarkStart w:id="77" w:name="_Toc254970671"/>
      <w:bookmarkStart w:id="78" w:name="_Toc254970530"/>
      <w:r>
        <w:rPr>
          <w:rFonts w:hint="eastAsia" w:ascii="宋体" w:hAnsi="宋体" w:cs="宋体"/>
          <w:sz w:val="24"/>
        </w:rPr>
        <w:t>4.投标委托</w:t>
      </w:r>
      <w:bookmarkEnd w:id="77"/>
      <w:bookmarkEnd w:id="78"/>
    </w:p>
    <w:p>
      <w:pPr>
        <w:spacing w:line="360" w:lineRule="auto"/>
        <w:ind w:firstLine="420" w:firstLineChars="200"/>
        <w:rPr>
          <w:rFonts w:ascii="宋体" w:hAnsi="宋体" w:cs="宋体"/>
          <w:szCs w:val="21"/>
        </w:rPr>
      </w:pPr>
      <w:r>
        <w:rPr>
          <w:rFonts w:hint="eastAsia" w:ascii="宋体" w:hAnsi="宋体" w:cs="宋体"/>
          <w:szCs w:val="21"/>
        </w:rPr>
        <w:t>投标人代表参加投标活动过程中必须携带个人有效身份证件。如投标人代表不是法定代表人，须持有法定代表人授权委托书（正本用原件，副本用复印件，按第六章要求格式填写）。</w:t>
      </w:r>
    </w:p>
    <w:p>
      <w:pPr>
        <w:spacing w:line="360" w:lineRule="auto"/>
        <w:ind w:firstLine="480" w:firstLineChars="200"/>
        <w:rPr>
          <w:rFonts w:ascii="宋体" w:hAnsi="宋体" w:cs="宋体"/>
          <w:sz w:val="24"/>
        </w:rPr>
      </w:pPr>
      <w:bookmarkStart w:id="79" w:name="_5.投标费用"/>
      <w:bookmarkEnd w:id="79"/>
      <w:bookmarkStart w:id="80" w:name="_Toc254970531"/>
      <w:bookmarkStart w:id="81" w:name="_Toc254970672"/>
      <w:r>
        <w:rPr>
          <w:rFonts w:hint="eastAsia" w:ascii="宋体" w:hAnsi="宋体" w:cs="宋体"/>
          <w:sz w:val="24"/>
        </w:rPr>
        <w:t>5.投标费用</w:t>
      </w:r>
      <w:bookmarkEnd w:id="80"/>
      <w:bookmarkEnd w:id="81"/>
    </w:p>
    <w:p>
      <w:pPr>
        <w:spacing w:line="360" w:lineRule="auto"/>
        <w:ind w:firstLine="420" w:firstLineChars="200"/>
        <w:rPr>
          <w:rFonts w:ascii="宋体" w:hAnsi="宋体" w:cs="宋体"/>
          <w:szCs w:val="21"/>
        </w:rPr>
      </w:pPr>
      <w:r>
        <w:rPr>
          <w:rFonts w:hint="eastAsia" w:ascii="宋体" w:hAnsi="宋体" w:cs="宋体"/>
          <w:szCs w:val="21"/>
        </w:rPr>
        <w:t>投标费用：投标人应承担参与本次采购活动有关的所有费用，包括但不限于勘查现场、编制投标文件、参加澄清说明、签订合同等，不论投标结果如何，均应自行承担。</w:t>
      </w:r>
    </w:p>
    <w:p>
      <w:pPr>
        <w:spacing w:line="360" w:lineRule="auto"/>
        <w:ind w:firstLine="480" w:firstLineChars="200"/>
        <w:rPr>
          <w:rFonts w:ascii="宋体" w:hAnsi="宋体" w:cs="宋体"/>
          <w:sz w:val="24"/>
        </w:rPr>
      </w:pPr>
      <w:r>
        <w:rPr>
          <w:rFonts w:hint="eastAsia" w:ascii="宋体" w:hAnsi="宋体" w:cs="宋体"/>
          <w:sz w:val="24"/>
        </w:rPr>
        <w:t>6.联合体投标</w:t>
      </w:r>
    </w:p>
    <w:p>
      <w:pPr>
        <w:spacing w:line="360" w:lineRule="auto"/>
        <w:ind w:firstLine="420" w:firstLineChars="200"/>
        <w:rPr>
          <w:rFonts w:ascii="宋体" w:hAnsi="宋体" w:cs="宋体"/>
          <w:szCs w:val="21"/>
        </w:rPr>
      </w:pPr>
      <w:r>
        <w:rPr>
          <w:rFonts w:hint="eastAsia" w:ascii="宋体" w:hAnsi="宋体" w:cs="宋体"/>
          <w:szCs w:val="21"/>
        </w:rPr>
        <w:t>6.1本项目是否接受联合体投标，详见“投标人须知前附表”。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6.2如接受联合体投标，联合体投标要求详见“投标人须知前附表”。</w:t>
      </w:r>
    </w:p>
    <w:p>
      <w:pPr>
        <w:spacing w:line="360" w:lineRule="auto"/>
        <w:ind w:firstLine="420" w:firstLineChars="200"/>
        <w:rPr>
          <w:rFonts w:ascii="宋体" w:hAnsi="宋体" w:cs="宋体"/>
          <w:sz w:val="24"/>
          <w:shd w:val="clear" w:color="auto" w:fill="FFFFFF"/>
        </w:rPr>
      </w:pPr>
      <w:r>
        <w:rPr>
          <w:rFonts w:hint="eastAsia" w:ascii="宋体" w:hAnsi="宋体" w:cs="宋体"/>
          <w:bCs/>
          <w:szCs w:val="21"/>
        </w:rPr>
        <w:t>6.3根据《政府采购促进中小企业发展管理办法》（财库[2020]46号）第九条规定，接受大中型企业与小微企业组成联合体的采购项目，对于联合协议约定小微企业的合同份额占到合同总金额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pPr>
        <w:spacing w:line="360" w:lineRule="auto"/>
        <w:ind w:firstLine="480" w:firstLineChars="200"/>
        <w:rPr>
          <w:rFonts w:ascii="宋体" w:hAnsi="宋体" w:cs="宋体"/>
          <w:sz w:val="24"/>
        </w:rPr>
      </w:pPr>
      <w:r>
        <w:rPr>
          <w:rFonts w:hint="eastAsia" w:ascii="宋体" w:hAnsi="宋体" w:cs="宋体"/>
          <w:sz w:val="24"/>
        </w:rPr>
        <w:t xml:space="preserve">7.转包与分包             </w:t>
      </w:r>
    </w:p>
    <w:p>
      <w:pPr>
        <w:spacing w:line="360" w:lineRule="auto"/>
        <w:ind w:firstLine="422" w:firstLineChars="200"/>
        <w:rPr>
          <w:rFonts w:ascii="宋体" w:hAnsi="宋体" w:cs="宋体"/>
          <w:b/>
          <w:szCs w:val="21"/>
        </w:rPr>
      </w:pPr>
      <w:r>
        <w:rPr>
          <w:rFonts w:hint="eastAsia" w:ascii="宋体" w:hAnsi="宋体" w:cs="宋体"/>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pPr>
        <w:spacing w:line="360" w:lineRule="auto"/>
        <w:ind w:firstLine="420" w:firstLineChars="200"/>
        <w:rPr>
          <w:rFonts w:ascii="宋体" w:hAnsi="宋体" w:cs="宋体"/>
          <w:bCs/>
          <w:szCs w:val="21"/>
        </w:rPr>
      </w:pPr>
      <w:r>
        <w:rPr>
          <w:rFonts w:hint="eastAsia" w:ascii="宋体" w:hAnsi="宋体" w:cs="宋体"/>
          <w:bCs/>
          <w:szCs w:val="21"/>
        </w:rPr>
        <w:t>7.2根据《政府采购促进中小企业发展管理办法》（财库[2020]46号）第九条规定，允许大中型企业向一家或者多家小微企业分包的采购项目，对于分包意向协议约定小微企业的合同份额占到合同总金额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pPr>
        <w:spacing w:line="360" w:lineRule="auto"/>
        <w:ind w:firstLine="480" w:firstLineChars="200"/>
        <w:rPr>
          <w:rFonts w:ascii="宋体" w:hAnsi="宋体" w:cs="宋体"/>
          <w:sz w:val="24"/>
        </w:rPr>
      </w:pPr>
      <w:bookmarkStart w:id="82" w:name="_Toc254970673"/>
      <w:bookmarkStart w:id="83" w:name="_Toc254970532"/>
      <w:r>
        <w:rPr>
          <w:rFonts w:hint="eastAsia" w:ascii="宋体" w:hAnsi="宋体" w:cs="宋体"/>
          <w:sz w:val="24"/>
        </w:rPr>
        <w:t>8.特别说明：</w:t>
      </w:r>
      <w:bookmarkEnd w:id="82"/>
      <w:bookmarkEnd w:id="83"/>
      <w:bookmarkStart w:id="84" w:name="_8.1提供相同品牌产品且通过资格审查、符合性审查的不同投标人参加同一合"/>
      <w:bookmarkEnd w:id="84"/>
    </w:p>
    <w:p>
      <w:pPr>
        <w:spacing w:line="360" w:lineRule="auto"/>
        <w:ind w:firstLine="422" w:firstLineChars="200"/>
        <w:rPr>
          <w:rFonts w:ascii="宋体" w:hAnsi="宋体" w:cs="宋体"/>
          <w:b/>
          <w:szCs w:val="21"/>
        </w:rPr>
      </w:pPr>
      <w:r>
        <w:rPr>
          <w:rFonts w:hint="eastAsia" w:ascii="宋体" w:hAnsi="宋体" w:cs="宋体"/>
          <w:b/>
          <w:szCs w:val="21"/>
        </w:rPr>
        <w:t>8.1如果本招标文件要求投标人提供资格、信誉、荣誉、业绩与企业认证等材料的，则投标人所提供的以上材料必须为投标人所拥有。</w:t>
      </w:r>
    </w:p>
    <w:p>
      <w:pPr>
        <w:spacing w:line="360" w:lineRule="auto"/>
        <w:ind w:firstLine="422" w:firstLineChars="200"/>
        <w:rPr>
          <w:rFonts w:ascii="宋体" w:hAnsi="宋体" w:cs="宋体"/>
          <w:b/>
          <w:szCs w:val="21"/>
        </w:rPr>
      </w:pPr>
      <w:r>
        <w:rPr>
          <w:rFonts w:hint="eastAsia" w:ascii="宋体" w:hAnsi="宋体" w:cs="宋体"/>
          <w:b/>
          <w:szCs w:val="21"/>
        </w:rPr>
        <w:t>8.2投标人应仔细阅读招标文件的所有内容，按照招标文件的要求提交投标文件，并对所提供的全部资料的真实性承担法律责任。</w:t>
      </w:r>
    </w:p>
    <w:p>
      <w:pPr>
        <w:spacing w:line="360" w:lineRule="auto"/>
        <w:ind w:firstLine="422" w:firstLineChars="200"/>
        <w:rPr>
          <w:rFonts w:ascii="宋体" w:hAnsi="宋体" w:cs="宋体"/>
          <w:b/>
          <w:szCs w:val="21"/>
        </w:rPr>
      </w:pPr>
      <w:r>
        <w:rPr>
          <w:rFonts w:hint="eastAsia" w:ascii="宋体" w:hAnsi="宋体" w:cs="宋体"/>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pPr>
        <w:spacing w:line="360" w:lineRule="auto"/>
        <w:ind w:firstLine="480" w:firstLineChars="200"/>
        <w:rPr>
          <w:rFonts w:ascii="宋体" w:hAnsi="宋体" w:cs="宋体"/>
          <w:sz w:val="24"/>
        </w:rPr>
      </w:pPr>
      <w:r>
        <w:rPr>
          <w:rFonts w:hint="eastAsia" w:ascii="宋体" w:hAnsi="宋体" w:cs="宋体"/>
          <w:sz w:val="24"/>
        </w:rPr>
        <w:t>9.回避与串通投标</w:t>
      </w:r>
    </w:p>
    <w:p>
      <w:pPr>
        <w:spacing w:line="360" w:lineRule="auto"/>
        <w:ind w:firstLine="422" w:firstLineChars="200"/>
        <w:rPr>
          <w:rFonts w:ascii="宋体" w:hAnsi="宋体" w:cs="宋体"/>
          <w:b/>
          <w:szCs w:val="21"/>
        </w:rPr>
      </w:pPr>
      <w:r>
        <w:rPr>
          <w:rFonts w:hint="eastAsia" w:ascii="宋体" w:hAnsi="宋体" w:cs="宋体"/>
          <w:b/>
          <w:szCs w:val="21"/>
        </w:rPr>
        <w:t>9.1在政府采购活动中，采购人员及相关人员与供应商有下列利害关系之一的，应当回避：</w:t>
      </w:r>
    </w:p>
    <w:p>
      <w:pPr>
        <w:spacing w:line="360" w:lineRule="auto"/>
        <w:ind w:firstLine="420" w:firstLineChars="200"/>
        <w:rPr>
          <w:rFonts w:ascii="宋体" w:hAnsi="宋体" w:cs="宋体"/>
        </w:rPr>
      </w:pPr>
      <w:r>
        <w:rPr>
          <w:rFonts w:hint="eastAsia" w:ascii="宋体" w:hAnsi="宋体" w:cs="宋体"/>
        </w:rPr>
        <w:t>（1）参加采购活动前3年内与供应商存在劳动关系；</w:t>
      </w:r>
    </w:p>
    <w:p>
      <w:pPr>
        <w:spacing w:line="360" w:lineRule="auto"/>
        <w:ind w:firstLine="420" w:firstLineChars="200"/>
        <w:rPr>
          <w:rFonts w:ascii="宋体" w:hAnsi="宋体" w:cs="宋体"/>
        </w:rPr>
      </w:pPr>
      <w:r>
        <w:rPr>
          <w:rFonts w:hint="eastAsia" w:ascii="宋体" w:hAnsi="宋体" w:cs="宋体"/>
        </w:rPr>
        <w:t>（2）参加采购活动前3年内担任供应商的董事、监事；</w:t>
      </w:r>
    </w:p>
    <w:p>
      <w:pPr>
        <w:spacing w:line="360" w:lineRule="auto"/>
        <w:ind w:firstLine="420" w:firstLineChars="200"/>
        <w:rPr>
          <w:rFonts w:ascii="宋体" w:hAnsi="宋体" w:cs="宋体"/>
        </w:rPr>
      </w:pPr>
      <w:r>
        <w:rPr>
          <w:rFonts w:hint="eastAsia" w:ascii="宋体" w:hAnsi="宋体" w:cs="宋体"/>
        </w:rPr>
        <w:t>（3）参加采购活动前3年内是供应商的控股股东或者实际控制人；</w:t>
      </w:r>
    </w:p>
    <w:p>
      <w:pPr>
        <w:spacing w:line="360" w:lineRule="auto"/>
        <w:ind w:firstLine="420" w:firstLineChars="200"/>
        <w:rPr>
          <w:rFonts w:ascii="宋体" w:hAnsi="宋体" w:cs="宋体"/>
        </w:rPr>
      </w:pPr>
      <w:r>
        <w:rPr>
          <w:rFonts w:hint="eastAsia" w:ascii="宋体" w:hAnsi="宋体" w:cs="宋体"/>
        </w:rPr>
        <w:t>（4）与供应商的法定代表人或者负责人有夫妻、直系血亲、三代以内旁系血亲或者近姻亲关系；</w:t>
      </w:r>
    </w:p>
    <w:p>
      <w:pPr>
        <w:spacing w:line="360" w:lineRule="auto"/>
        <w:ind w:firstLine="420" w:firstLineChars="200"/>
        <w:rPr>
          <w:rFonts w:ascii="宋体" w:hAnsi="宋体" w:cs="宋体"/>
        </w:rPr>
      </w:pPr>
      <w:r>
        <w:rPr>
          <w:rFonts w:hint="eastAsia" w:ascii="宋体" w:hAnsi="宋体" w:cs="宋体"/>
        </w:rPr>
        <w:t>（5）与供应商有其他可能影响政府采购活动公平、公正进行的关系。</w:t>
      </w:r>
    </w:p>
    <w:p>
      <w:pPr>
        <w:spacing w:line="360" w:lineRule="auto"/>
        <w:ind w:firstLine="420" w:firstLineChars="200"/>
        <w:rPr>
          <w:rFonts w:ascii="宋体" w:hAnsi="宋体" w:cs="宋体"/>
        </w:rPr>
      </w:pPr>
      <w:r>
        <w:rPr>
          <w:rFonts w:hint="eastAsia" w:ascii="宋体" w:hAnsi="宋体" w:cs="宋体"/>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spacing w:line="360" w:lineRule="auto"/>
        <w:ind w:firstLine="420" w:firstLineChars="200"/>
        <w:rPr>
          <w:rFonts w:ascii="宋体" w:hAnsi="宋体" w:cs="宋体"/>
          <w:szCs w:val="21"/>
        </w:rPr>
      </w:pPr>
      <w:r>
        <w:rPr>
          <w:rFonts w:hint="eastAsia" w:ascii="宋体" w:hAnsi="宋体" w:cs="宋体"/>
          <w:szCs w:val="21"/>
        </w:rPr>
        <w:t>9.2有下列情形之一的视为投标人相互串通投标，投标文件将被视为无效：</w:t>
      </w:r>
    </w:p>
    <w:p>
      <w:pPr>
        <w:spacing w:line="360" w:lineRule="auto"/>
        <w:ind w:firstLine="422" w:firstLineChars="200"/>
        <w:rPr>
          <w:rFonts w:ascii="宋体" w:hAnsi="宋体" w:cs="宋体"/>
          <w:b/>
        </w:rPr>
      </w:pPr>
      <w:r>
        <w:rPr>
          <w:rFonts w:hint="eastAsia" w:ascii="宋体" w:hAnsi="宋体" w:cs="宋体"/>
          <w:b/>
        </w:rPr>
        <w:t>（1）不同投标人的投标文件由同一单位或者个人编制；或者不同投标人报名的IP地址一致的；或者编制标书硬件设备CPU编号、硬盘编号、网卡地址一致的情况。</w:t>
      </w:r>
    </w:p>
    <w:p>
      <w:pPr>
        <w:spacing w:line="360" w:lineRule="auto"/>
        <w:ind w:firstLine="422" w:firstLineChars="200"/>
        <w:rPr>
          <w:rFonts w:ascii="宋体" w:hAnsi="宋体" w:cs="宋体"/>
          <w:b/>
        </w:rPr>
      </w:pPr>
      <w:r>
        <w:rPr>
          <w:rFonts w:hint="eastAsia" w:ascii="宋体" w:hAnsi="宋体" w:cs="宋体"/>
          <w:b/>
        </w:rPr>
        <w:t>（2）不同投标人委托同一单位或者个人办理投标事宜；</w:t>
      </w:r>
    </w:p>
    <w:p>
      <w:pPr>
        <w:spacing w:line="360" w:lineRule="auto"/>
        <w:ind w:firstLine="422" w:firstLineChars="200"/>
        <w:rPr>
          <w:rFonts w:ascii="宋体" w:hAnsi="宋体" w:cs="宋体"/>
          <w:b/>
        </w:rPr>
      </w:pPr>
      <w:r>
        <w:rPr>
          <w:rFonts w:hint="eastAsia" w:ascii="宋体" w:hAnsi="宋体" w:cs="宋体"/>
          <w:b/>
        </w:rPr>
        <w:t>（3）不同的投标人的投标文件载明的项目管理员为同一个人；</w:t>
      </w:r>
    </w:p>
    <w:p>
      <w:pPr>
        <w:spacing w:line="360" w:lineRule="auto"/>
        <w:ind w:firstLine="422" w:firstLineChars="200"/>
        <w:rPr>
          <w:rFonts w:ascii="宋体" w:hAnsi="宋体" w:cs="宋体"/>
          <w:b/>
        </w:rPr>
      </w:pPr>
      <w:r>
        <w:rPr>
          <w:rFonts w:hint="eastAsia" w:ascii="宋体" w:hAnsi="宋体" w:cs="宋体"/>
          <w:b/>
        </w:rPr>
        <w:t>（4）不同投标人的电子或纸质投标文件异常一致或者投标报价呈规律性差异；</w:t>
      </w:r>
    </w:p>
    <w:p>
      <w:pPr>
        <w:spacing w:line="360" w:lineRule="auto"/>
        <w:ind w:firstLine="422" w:firstLineChars="200"/>
        <w:rPr>
          <w:rFonts w:ascii="宋体" w:hAnsi="宋体" w:cs="宋体"/>
          <w:b/>
        </w:rPr>
      </w:pPr>
      <w:r>
        <w:rPr>
          <w:rFonts w:hint="eastAsia" w:ascii="宋体" w:hAnsi="宋体" w:cs="宋体"/>
          <w:b/>
        </w:rPr>
        <w:t>（5）不同投标人的纸质投标文件相互混装；</w:t>
      </w:r>
    </w:p>
    <w:p>
      <w:pPr>
        <w:spacing w:line="360" w:lineRule="auto"/>
        <w:ind w:firstLine="420" w:firstLineChars="200"/>
        <w:rPr>
          <w:rFonts w:ascii="宋体" w:hAnsi="宋体" w:cs="宋体"/>
          <w:szCs w:val="21"/>
        </w:rPr>
      </w:pPr>
      <w:r>
        <w:rPr>
          <w:rFonts w:hint="eastAsia" w:ascii="宋体" w:hAnsi="宋体" w:cs="宋体"/>
          <w:szCs w:val="21"/>
        </w:rPr>
        <w:t>9.3供应商有下列情形之一的，属于恶意串通行为，将报同级监督管理部门：</w:t>
      </w:r>
    </w:p>
    <w:p>
      <w:pPr>
        <w:spacing w:line="360" w:lineRule="auto"/>
        <w:ind w:firstLine="420" w:firstLineChars="200"/>
        <w:rPr>
          <w:rFonts w:ascii="宋体" w:hAnsi="宋体" w:cs="宋体"/>
        </w:rPr>
      </w:pPr>
      <w:r>
        <w:rPr>
          <w:rFonts w:hint="eastAsia" w:ascii="宋体" w:hAnsi="宋体" w:cs="宋体"/>
        </w:rPr>
        <w:t>（1）供应商直接或者间接从采购人或者采购代理机构处获得其他供应商的相关信息并修改其投标文件或者投标文件；</w:t>
      </w:r>
    </w:p>
    <w:p>
      <w:pPr>
        <w:spacing w:line="360" w:lineRule="auto"/>
        <w:ind w:firstLine="420" w:firstLineChars="200"/>
        <w:rPr>
          <w:rFonts w:ascii="宋体" w:hAnsi="宋体" w:cs="宋体"/>
        </w:rPr>
      </w:pPr>
      <w:r>
        <w:rPr>
          <w:rFonts w:hint="eastAsia" w:ascii="宋体" w:hAnsi="宋体" w:cs="宋体"/>
        </w:rPr>
        <w:t>（2）供应商按照采购人或者采购代理机构的授意撤换、修改投标文件或者投标文件；</w:t>
      </w:r>
    </w:p>
    <w:p>
      <w:pPr>
        <w:spacing w:line="360" w:lineRule="auto"/>
        <w:ind w:firstLine="420" w:firstLineChars="200"/>
        <w:rPr>
          <w:rFonts w:ascii="宋体" w:hAnsi="宋体" w:cs="宋体"/>
        </w:rPr>
      </w:pPr>
      <w:r>
        <w:rPr>
          <w:rFonts w:hint="eastAsia" w:ascii="宋体" w:hAnsi="宋体" w:cs="宋体"/>
        </w:rPr>
        <w:t>（3）供应商之间协商报价、技术方案等投标文件或者投标文件的实质性内容；</w:t>
      </w:r>
    </w:p>
    <w:p>
      <w:pPr>
        <w:spacing w:line="360" w:lineRule="auto"/>
        <w:ind w:firstLine="420" w:firstLineChars="200"/>
        <w:rPr>
          <w:rFonts w:ascii="宋体" w:hAnsi="宋体" w:cs="宋体"/>
        </w:rPr>
      </w:pPr>
      <w:r>
        <w:rPr>
          <w:rFonts w:hint="eastAsia" w:ascii="宋体" w:hAnsi="宋体" w:cs="宋体"/>
        </w:rPr>
        <w:t>（4）属于同一集团、协会、商会等组织成员的供应商按照该组织要求协同参加政府采购活动；</w:t>
      </w:r>
    </w:p>
    <w:p>
      <w:pPr>
        <w:spacing w:line="360" w:lineRule="auto"/>
        <w:ind w:firstLine="420" w:firstLineChars="200"/>
        <w:rPr>
          <w:rFonts w:ascii="宋体" w:hAnsi="宋体" w:cs="宋体"/>
        </w:rPr>
      </w:pPr>
      <w:r>
        <w:rPr>
          <w:rFonts w:hint="eastAsia" w:ascii="宋体" w:hAnsi="宋体" w:cs="宋体"/>
        </w:rPr>
        <w:t>（5）供应商之间事先约定一致抬高或者压低投标报价，或者在招标项目中事先约定轮流以高价位或者低价位中标，或者事先约定由某一特定供应商中标，然后再参加投标；</w:t>
      </w:r>
    </w:p>
    <w:p>
      <w:pPr>
        <w:spacing w:line="360" w:lineRule="auto"/>
        <w:ind w:firstLine="420" w:firstLineChars="200"/>
        <w:rPr>
          <w:rFonts w:ascii="宋体" w:hAnsi="宋体" w:cs="宋体"/>
        </w:rPr>
      </w:pPr>
      <w:r>
        <w:rPr>
          <w:rFonts w:hint="eastAsia" w:ascii="宋体" w:hAnsi="宋体" w:cs="宋体"/>
        </w:rPr>
        <w:t>（6）供应商之间商定部分供应商放弃参加政府采购活动或者放弃中标；</w:t>
      </w:r>
    </w:p>
    <w:p>
      <w:pPr>
        <w:spacing w:line="360" w:lineRule="auto"/>
        <w:ind w:firstLine="420" w:firstLineChars="200"/>
        <w:rPr>
          <w:rFonts w:ascii="宋体" w:hAnsi="宋体" w:cs="宋体"/>
        </w:rPr>
      </w:pPr>
      <w:r>
        <w:rPr>
          <w:rFonts w:hint="eastAsia" w:ascii="宋体" w:hAnsi="宋体" w:cs="宋体"/>
        </w:rPr>
        <w:t>（7）供应商与采购人或者采购代理机构之间、供应商相互之间，为谋求特定供应商中标或者排斥其他供应商的其他串通行为。</w:t>
      </w:r>
    </w:p>
    <w:p>
      <w:pPr>
        <w:pStyle w:val="12"/>
        <w:snapToGrid w:val="0"/>
        <w:spacing w:line="360" w:lineRule="auto"/>
        <w:ind w:left="2" w:leftChars="1" w:firstLine="422" w:firstLineChars="200"/>
        <w:rPr>
          <w:rFonts w:hAnsi="宋体" w:cs="宋体"/>
          <w:b/>
        </w:rPr>
      </w:pPr>
    </w:p>
    <w:p>
      <w:pPr>
        <w:pStyle w:val="4"/>
        <w:keepNext w:val="0"/>
        <w:keepLines w:val="0"/>
        <w:rPr>
          <w:rFonts w:cs="宋体"/>
        </w:rPr>
      </w:pPr>
      <w:bookmarkStart w:id="85" w:name="_Toc22879"/>
      <w:bookmarkStart w:id="86" w:name="_Toc254970534"/>
      <w:bookmarkStart w:id="87" w:name="_Toc254970675"/>
      <w:r>
        <w:rPr>
          <w:rFonts w:hint="eastAsia" w:cs="宋体"/>
        </w:rPr>
        <w:t>二、招标文件</w:t>
      </w:r>
      <w:bookmarkEnd w:id="85"/>
      <w:bookmarkEnd w:id="86"/>
      <w:bookmarkEnd w:id="87"/>
    </w:p>
    <w:p>
      <w:pPr>
        <w:spacing w:line="360" w:lineRule="auto"/>
        <w:ind w:firstLine="480" w:firstLineChars="200"/>
        <w:rPr>
          <w:rFonts w:ascii="宋体" w:hAnsi="宋体" w:cs="宋体"/>
          <w:sz w:val="24"/>
        </w:rPr>
      </w:pPr>
      <w:r>
        <w:rPr>
          <w:rFonts w:hint="eastAsia" w:ascii="宋体" w:hAnsi="宋体" w:cs="宋体"/>
          <w:sz w:val="24"/>
        </w:rPr>
        <w:t>10.招标文件的组成</w:t>
      </w:r>
    </w:p>
    <w:p>
      <w:pPr>
        <w:spacing w:line="360" w:lineRule="auto"/>
        <w:ind w:firstLine="420" w:firstLineChars="200"/>
        <w:rPr>
          <w:rFonts w:ascii="宋体" w:hAnsi="宋体" w:cs="宋体"/>
          <w:szCs w:val="21"/>
        </w:rPr>
      </w:pPr>
      <w:r>
        <w:rPr>
          <w:rFonts w:hint="eastAsia" w:ascii="宋体" w:hAnsi="宋体" w:cs="宋体"/>
          <w:szCs w:val="21"/>
        </w:rPr>
        <w:t>第一章 招标公告；</w:t>
      </w:r>
    </w:p>
    <w:p>
      <w:pPr>
        <w:spacing w:line="360" w:lineRule="auto"/>
        <w:ind w:firstLine="420" w:firstLineChars="200"/>
        <w:rPr>
          <w:rFonts w:ascii="宋体" w:hAnsi="宋体" w:cs="宋体"/>
          <w:szCs w:val="21"/>
        </w:rPr>
      </w:pPr>
      <w:r>
        <w:rPr>
          <w:rFonts w:hint="eastAsia" w:ascii="宋体" w:hAnsi="宋体" w:cs="宋体"/>
          <w:szCs w:val="21"/>
        </w:rPr>
        <w:t xml:space="preserve">第二章 采购需求； </w:t>
      </w:r>
    </w:p>
    <w:p>
      <w:pPr>
        <w:spacing w:line="360" w:lineRule="auto"/>
        <w:ind w:firstLine="420" w:firstLineChars="200"/>
        <w:rPr>
          <w:rFonts w:ascii="宋体" w:hAnsi="宋体" w:cs="宋体"/>
          <w:szCs w:val="21"/>
        </w:rPr>
      </w:pPr>
      <w:r>
        <w:rPr>
          <w:rFonts w:hint="eastAsia" w:ascii="宋体" w:hAnsi="宋体" w:cs="宋体"/>
          <w:szCs w:val="21"/>
        </w:rPr>
        <w:t>第三章 投标人须知；</w:t>
      </w:r>
    </w:p>
    <w:p>
      <w:pPr>
        <w:spacing w:line="360" w:lineRule="auto"/>
        <w:ind w:firstLine="420" w:firstLineChars="200"/>
        <w:rPr>
          <w:rFonts w:ascii="宋体" w:hAnsi="宋体" w:cs="宋体"/>
          <w:szCs w:val="21"/>
        </w:rPr>
      </w:pPr>
      <w:r>
        <w:rPr>
          <w:rFonts w:hint="eastAsia" w:ascii="宋体" w:hAnsi="宋体" w:cs="宋体"/>
          <w:szCs w:val="21"/>
        </w:rPr>
        <w:t>第四章 评标方法及评标标准；</w:t>
      </w:r>
    </w:p>
    <w:p>
      <w:pPr>
        <w:spacing w:line="360" w:lineRule="auto"/>
        <w:ind w:firstLine="420" w:firstLineChars="200"/>
        <w:rPr>
          <w:rFonts w:ascii="宋体" w:hAnsi="宋体" w:cs="宋体"/>
          <w:szCs w:val="21"/>
        </w:rPr>
      </w:pPr>
      <w:r>
        <w:rPr>
          <w:rFonts w:hint="eastAsia" w:ascii="宋体" w:hAnsi="宋体" w:cs="宋体"/>
          <w:szCs w:val="21"/>
        </w:rPr>
        <w:t>第五章 拟签订的合同文本；</w:t>
      </w:r>
    </w:p>
    <w:p>
      <w:pPr>
        <w:spacing w:line="360" w:lineRule="auto"/>
        <w:ind w:firstLine="420" w:firstLineChars="200"/>
        <w:rPr>
          <w:rFonts w:ascii="宋体" w:hAnsi="宋体" w:cs="宋体"/>
          <w:szCs w:val="21"/>
        </w:rPr>
      </w:pPr>
      <w:r>
        <w:rPr>
          <w:rFonts w:hint="eastAsia" w:ascii="宋体" w:hAnsi="宋体" w:cs="宋体"/>
          <w:szCs w:val="21"/>
        </w:rPr>
        <w:t>第六章 投标文件格式；</w:t>
      </w:r>
    </w:p>
    <w:p>
      <w:pPr>
        <w:spacing w:line="360" w:lineRule="auto"/>
        <w:ind w:firstLine="420" w:firstLineChars="200"/>
        <w:rPr>
          <w:rFonts w:ascii="宋体" w:hAnsi="宋体" w:cs="宋体"/>
          <w:szCs w:val="21"/>
        </w:rPr>
      </w:pPr>
      <w:r>
        <w:rPr>
          <w:rFonts w:hint="eastAsia" w:ascii="宋体" w:hAnsi="宋体" w:cs="宋体"/>
          <w:szCs w:val="21"/>
        </w:rPr>
        <w:t>第七章 质疑、投诉材料格式</w:t>
      </w:r>
    </w:p>
    <w:p>
      <w:pPr>
        <w:spacing w:line="360" w:lineRule="auto"/>
        <w:ind w:firstLine="420" w:firstLineChars="200"/>
        <w:rPr>
          <w:rFonts w:ascii="宋体" w:hAnsi="宋体" w:cs="宋体"/>
        </w:rPr>
      </w:pPr>
      <w:r>
        <w:rPr>
          <w:rFonts w:hint="eastAsia" w:ascii="宋体" w:hAnsi="宋体" w:cs="宋体"/>
        </w:rPr>
        <w:t>根据本章第11.1项的规定对公开招标文件所做的澄清、修改，构成招标文件的组成部分。当公开招标文件与招标文件的澄清和修改就同一内容的表述不一致时，以最后澄清或修改公告为准。</w:t>
      </w:r>
    </w:p>
    <w:p>
      <w:pPr>
        <w:spacing w:line="360" w:lineRule="auto"/>
        <w:ind w:firstLine="480" w:firstLineChars="200"/>
        <w:rPr>
          <w:rFonts w:ascii="宋体" w:hAnsi="宋体" w:cs="宋体"/>
          <w:sz w:val="24"/>
        </w:rPr>
      </w:pPr>
      <w:r>
        <w:rPr>
          <w:rFonts w:hint="eastAsia" w:ascii="宋体" w:hAnsi="宋体" w:cs="宋体"/>
          <w:sz w:val="24"/>
        </w:rPr>
        <w:t>11.招标文件的澄清、修改 、现场考察和答疑会</w:t>
      </w:r>
    </w:p>
    <w:p>
      <w:pPr>
        <w:spacing w:line="360" w:lineRule="auto"/>
        <w:ind w:firstLine="422" w:firstLineChars="200"/>
        <w:rPr>
          <w:rFonts w:ascii="宋体" w:hAnsi="宋体" w:cs="宋体"/>
          <w:b/>
          <w:szCs w:val="21"/>
        </w:rPr>
      </w:pPr>
      <w:r>
        <w:rPr>
          <w:rFonts w:hint="eastAsia" w:ascii="宋体" w:hAnsi="宋体" w:cs="宋体"/>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pPr>
        <w:spacing w:line="360" w:lineRule="auto"/>
        <w:ind w:firstLine="420" w:firstLineChars="200"/>
        <w:rPr>
          <w:rFonts w:ascii="宋体" w:hAnsi="宋体" w:cs="宋体"/>
        </w:rPr>
      </w:pPr>
      <w:r>
        <w:rPr>
          <w:rFonts w:hint="eastAsia" w:ascii="宋体" w:hAnsi="宋体" w:cs="宋体"/>
        </w:rPr>
        <w:t>11.2 投标人应认真审阅本公开招标文件，如有疑问，或发现其中有误或有要求不合理的，应在投标人须知前附表规定的</w:t>
      </w:r>
      <w:r>
        <w:rPr>
          <w:rFonts w:hint="eastAsia" w:ascii="宋体" w:hAnsi="宋体" w:cs="宋体"/>
          <w:kern w:val="0"/>
          <w:szCs w:val="21"/>
        </w:rPr>
        <w:t>投标截止时间</w:t>
      </w:r>
      <w:r>
        <w:rPr>
          <w:rFonts w:hint="eastAsia" w:ascii="宋体" w:hAnsi="宋体" w:cs="宋体"/>
        </w:rPr>
        <w:t>前以书面形式要求采购人或采购代理机构对招标文件予以澄清；否则，由此产生的后果由投标人自行负责。</w:t>
      </w:r>
    </w:p>
    <w:p>
      <w:pPr>
        <w:spacing w:line="360" w:lineRule="auto"/>
        <w:ind w:firstLine="420" w:firstLineChars="200"/>
        <w:rPr>
          <w:rFonts w:ascii="宋体" w:hAnsi="宋体" w:cs="宋体"/>
        </w:rPr>
      </w:pPr>
      <w:r>
        <w:rPr>
          <w:rFonts w:hint="eastAsia" w:ascii="宋体" w:hAnsi="宋体" w:cs="宋体"/>
        </w:rPr>
        <w:t>11.3 采购人或者采购代理机构可以对已发出的招标文件进行必要的澄清或者修改。澄清或者修改的内容可能影响投标文件编制的，采购人或者采购代理机构应当在投标截止时间至少15日前，以书面形式通知（在“</w:t>
      </w:r>
      <w:r>
        <w:rPr>
          <w:rFonts w:hint="eastAsia" w:ascii="宋体" w:hAnsi="宋体" w:cs="宋体"/>
          <w:szCs w:val="21"/>
        </w:rPr>
        <w:t>投标人须知前附表”</w:t>
      </w:r>
      <w:r>
        <w:rPr>
          <w:rFonts w:hint="eastAsia" w:ascii="宋体" w:hAnsi="宋体" w:cs="宋体"/>
        </w:rPr>
        <w:t>规定的政府采购信息发布媒体上发布更正公告及平台短信通知）所有获取招标文件的潜在投标人；不足15日的，采购人或者采购代理机构应当顺延提交投标文件的截止时间。发出的澄清或者修改不影响投标文件编制的也应在截标前3日发出。</w:t>
      </w:r>
    </w:p>
    <w:p>
      <w:pPr>
        <w:spacing w:line="360" w:lineRule="auto"/>
        <w:ind w:firstLine="420" w:firstLineChars="200"/>
        <w:rPr>
          <w:rFonts w:ascii="宋体" w:hAnsi="宋体" w:cs="宋体"/>
        </w:rPr>
      </w:pPr>
      <w:r>
        <w:rPr>
          <w:rFonts w:hint="eastAsia" w:ascii="宋体" w:hAnsi="宋体" w:cs="宋体"/>
        </w:rPr>
        <w:t>11.4 采购人和采购代理机构可以视采购具体情况，变更投标截止时间和开标时间，将变更时间将在“</w:t>
      </w:r>
      <w:r>
        <w:rPr>
          <w:rFonts w:hint="eastAsia" w:ascii="宋体" w:hAnsi="宋体" w:cs="宋体"/>
          <w:szCs w:val="21"/>
        </w:rPr>
        <w:t>投标人须知前附表”</w:t>
      </w:r>
      <w:r>
        <w:rPr>
          <w:rFonts w:hint="eastAsia" w:ascii="宋体" w:hAnsi="宋体" w:cs="宋体"/>
          <w:kern w:val="0"/>
          <w:szCs w:val="21"/>
        </w:rPr>
        <w:t>规定的政府采购信息发布媒体上</w:t>
      </w:r>
      <w:r>
        <w:rPr>
          <w:rFonts w:hint="eastAsia" w:ascii="宋体" w:hAnsi="宋体" w:cs="宋体"/>
        </w:rPr>
        <w:t>发布更正公告。</w:t>
      </w:r>
    </w:p>
    <w:p>
      <w:pPr>
        <w:spacing w:line="360" w:lineRule="auto"/>
        <w:ind w:firstLine="420" w:firstLineChars="200"/>
        <w:rPr>
          <w:rFonts w:ascii="宋体" w:hAnsi="宋体" w:cs="宋体"/>
        </w:rPr>
      </w:pPr>
      <w:r>
        <w:rPr>
          <w:rFonts w:hint="eastAsia" w:ascii="宋体" w:hAnsi="宋体" w:cs="宋体"/>
        </w:rPr>
        <w:t>11.</w:t>
      </w:r>
      <w:bookmarkStart w:id="88" w:name="_Hlk53134511"/>
      <w:r>
        <w:rPr>
          <w:rFonts w:hint="eastAsia" w:ascii="宋体" w:hAnsi="宋体" w:cs="宋体"/>
        </w:rPr>
        <w:t>5采购人或者采购代理机构可以在招标文件提供期限截止后，组织已获取招标文件的潜在投标人现场考察或者召开开标前答疑会，具体详见“投标人须知前附表”。</w:t>
      </w:r>
    </w:p>
    <w:bookmarkEnd w:id="88"/>
    <w:p>
      <w:pPr>
        <w:pStyle w:val="4"/>
        <w:keepNext w:val="0"/>
        <w:keepLines w:val="0"/>
        <w:rPr>
          <w:rFonts w:cs="宋体"/>
        </w:rPr>
      </w:pPr>
      <w:bookmarkStart w:id="89" w:name="_Toc254970535"/>
      <w:bookmarkStart w:id="90" w:name="_Toc13765"/>
      <w:bookmarkStart w:id="91" w:name="_Toc254970676"/>
      <w:r>
        <w:rPr>
          <w:rFonts w:hint="eastAsia" w:cs="宋体"/>
        </w:rPr>
        <w:t>三、投标文件的编制</w:t>
      </w:r>
      <w:bookmarkEnd w:id="89"/>
      <w:bookmarkEnd w:id="90"/>
      <w:bookmarkEnd w:id="91"/>
    </w:p>
    <w:p>
      <w:pPr>
        <w:spacing w:line="360" w:lineRule="auto"/>
        <w:ind w:firstLine="480" w:firstLineChars="200"/>
        <w:rPr>
          <w:rFonts w:ascii="宋体" w:hAnsi="宋体" w:cs="宋体"/>
          <w:sz w:val="24"/>
        </w:rPr>
      </w:pPr>
      <w:bookmarkStart w:id="92" w:name="_Toc254970677"/>
      <w:bookmarkStart w:id="93" w:name="_Toc254970536"/>
      <w:r>
        <w:rPr>
          <w:rFonts w:hint="eastAsia" w:ascii="宋体" w:hAnsi="宋体" w:cs="宋体"/>
          <w:sz w:val="24"/>
        </w:rPr>
        <w:t>12.投标文件的编制原则</w:t>
      </w:r>
    </w:p>
    <w:p>
      <w:pPr>
        <w:spacing w:line="360" w:lineRule="auto"/>
        <w:ind w:firstLine="420" w:firstLineChars="200"/>
        <w:rPr>
          <w:rFonts w:ascii="宋体" w:hAnsi="宋体" w:cs="宋体"/>
          <w:szCs w:val="21"/>
        </w:rPr>
      </w:pPr>
      <w:r>
        <w:rPr>
          <w:rFonts w:hint="eastAsia" w:ascii="宋体" w:hAnsi="宋体" w:cs="宋体"/>
          <w:szCs w:val="21"/>
        </w:rPr>
        <w:t>12.1投标人必须按照招标文件的要求编制投标文件。投标文件必须对招标文件提出的要求和条件作出明确响应。</w:t>
      </w:r>
    </w:p>
    <w:p>
      <w:pPr>
        <w:spacing w:line="360" w:lineRule="auto"/>
        <w:ind w:firstLine="420" w:firstLineChars="200"/>
        <w:rPr>
          <w:rFonts w:ascii="宋体" w:hAnsi="宋体" w:cs="宋体"/>
          <w:szCs w:val="21"/>
        </w:rPr>
      </w:pPr>
      <w:r>
        <w:rPr>
          <w:rFonts w:hint="eastAsia" w:ascii="宋体" w:hAnsi="宋体" w:cs="宋体"/>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pPr>
        <w:spacing w:line="360" w:lineRule="auto"/>
        <w:ind w:firstLine="480" w:firstLineChars="200"/>
        <w:rPr>
          <w:rFonts w:ascii="宋体" w:hAnsi="宋体" w:cs="宋体"/>
          <w:sz w:val="24"/>
        </w:rPr>
      </w:pPr>
      <w:r>
        <w:rPr>
          <w:rFonts w:hint="eastAsia" w:ascii="宋体" w:hAnsi="宋体" w:cs="宋体"/>
          <w:sz w:val="24"/>
        </w:rPr>
        <w:t>13.投标文件的组成</w:t>
      </w:r>
      <w:bookmarkEnd w:id="92"/>
      <w:bookmarkEnd w:id="93"/>
    </w:p>
    <w:p>
      <w:pPr>
        <w:spacing w:line="360" w:lineRule="auto"/>
        <w:ind w:firstLine="420" w:firstLineChars="200"/>
        <w:rPr>
          <w:rFonts w:ascii="宋体" w:hAnsi="宋体" w:cs="宋体"/>
          <w:szCs w:val="21"/>
        </w:rPr>
      </w:pPr>
      <w:r>
        <w:rPr>
          <w:rFonts w:hint="eastAsia" w:ascii="宋体" w:hAnsi="宋体" w:cs="宋体"/>
          <w:szCs w:val="21"/>
        </w:rPr>
        <w:t>13.1投标文件由报价文件、资格证明文件、商务文件、技术文件四部分组成。</w:t>
      </w:r>
    </w:p>
    <w:p>
      <w:pPr>
        <w:spacing w:line="360" w:lineRule="auto"/>
        <w:ind w:firstLine="420" w:firstLineChars="200"/>
        <w:rPr>
          <w:rFonts w:ascii="宋体" w:hAnsi="宋体" w:cs="宋体"/>
          <w:bCs/>
          <w:szCs w:val="21"/>
        </w:rPr>
      </w:pPr>
      <w:bookmarkStart w:id="94" w:name="_13.2资格证明文件：具体材料见“投标人须知前附表”。"/>
      <w:bookmarkEnd w:id="94"/>
      <w:bookmarkStart w:id="95" w:name="_13.1报价文件:_具体材料见“投标人须知前附表”。"/>
      <w:bookmarkEnd w:id="95"/>
      <w:r>
        <w:rPr>
          <w:rFonts w:hint="eastAsia" w:ascii="宋体" w:hAnsi="宋体" w:cs="宋体"/>
          <w:bCs/>
          <w:szCs w:val="21"/>
        </w:rPr>
        <w:t>（1）资格证明文件：具体材料见“投标人须知前附表”。</w:t>
      </w:r>
    </w:p>
    <w:p>
      <w:pPr>
        <w:spacing w:line="360" w:lineRule="auto"/>
        <w:ind w:firstLine="420" w:firstLineChars="200"/>
        <w:rPr>
          <w:rFonts w:ascii="宋体" w:hAnsi="宋体" w:cs="宋体"/>
          <w:bCs/>
          <w:szCs w:val="21"/>
        </w:rPr>
      </w:pPr>
      <w:bookmarkStart w:id="96" w:name="_13.3商务文件:_具体材料见“投标人须知前附表”。"/>
      <w:bookmarkEnd w:id="96"/>
      <w:r>
        <w:rPr>
          <w:rFonts w:hint="eastAsia" w:ascii="宋体" w:hAnsi="宋体" w:cs="宋体"/>
          <w:bCs/>
          <w:szCs w:val="21"/>
        </w:rPr>
        <w:t>（2）商务文件：具体材料见“投标人须知前附表”。</w:t>
      </w:r>
    </w:p>
    <w:p>
      <w:pPr>
        <w:spacing w:line="360" w:lineRule="auto"/>
        <w:ind w:firstLine="420" w:firstLineChars="200"/>
        <w:rPr>
          <w:rFonts w:ascii="宋体" w:hAnsi="宋体" w:cs="宋体"/>
          <w:bCs/>
          <w:szCs w:val="21"/>
        </w:rPr>
      </w:pPr>
      <w:bookmarkStart w:id="97" w:name="_13.4技术文件：具体材料见“投标人须知前附表”。"/>
      <w:bookmarkEnd w:id="97"/>
      <w:r>
        <w:rPr>
          <w:rFonts w:hint="eastAsia" w:ascii="宋体" w:hAnsi="宋体" w:cs="宋体"/>
          <w:bCs/>
          <w:szCs w:val="21"/>
        </w:rPr>
        <w:t xml:space="preserve">（3）技术文件：具体材料见“投标人须知前附表”。 </w:t>
      </w:r>
    </w:p>
    <w:p>
      <w:pPr>
        <w:spacing w:line="360" w:lineRule="auto"/>
        <w:ind w:firstLine="420" w:firstLineChars="200"/>
        <w:rPr>
          <w:rFonts w:ascii="宋体" w:hAnsi="宋体" w:cs="宋体"/>
          <w:bCs/>
          <w:szCs w:val="21"/>
        </w:rPr>
      </w:pPr>
      <w:r>
        <w:rPr>
          <w:rFonts w:hint="eastAsia" w:ascii="宋体" w:hAnsi="宋体" w:cs="宋体"/>
          <w:bCs/>
          <w:szCs w:val="21"/>
        </w:rPr>
        <w:t>（4）报价文件： 具体材料见“投标人须知前附表”。</w:t>
      </w:r>
    </w:p>
    <w:p>
      <w:pPr>
        <w:spacing w:line="360" w:lineRule="auto"/>
        <w:ind w:firstLine="420" w:firstLineChars="200"/>
        <w:rPr>
          <w:rFonts w:ascii="宋体" w:hAnsi="宋体" w:cs="宋体"/>
          <w:bCs/>
          <w:szCs w:val="21"/>
        </w:rPr>
      </w:pPr>
      <w:bookmarkStart w:id="98" w:name="_13.5投标文件电子版：具体材料见“投标人须知前附表”。"/>
      <w:bookmarkEnd w:id="98"/>
      <w:r>
        <w:rPr>
          <w:rFonts w:hint="eastAsia" w:ascii="宋体" w:hAnsi="宋体" w:cs="宋体"/>
          <w:bCs/>
          <w:szCs w:val="21"/>
        </w:rPr>
        <w:t>13.2投标文件电子版：具体要求见本节19.投标文件编制。</w:t>
      </w:r>
    </w:p>
    <w:p>
      <w:pPr>
        <w:spacing w:line="360" w:lineRule="auto"/>
        <w:ind w:firstLine="480" w:firstLineChars="200"/>
        <w:rPr>
          <w:rFonts w:ascii="宋体" w:hAnsi="宋体" w:cs="宋体"/>
          <w:sz w:val="24"/>
        </w:rPr>
      </w:pPr>
      <w:bookmarkStart w:id="99" w:name="_Toc254970678"/>
      <w:bookmarkStart w:id="100" w:name="_Toc254970537"/>
      <w:r>
        <w:rPr>
          <w:rFonts w:hint="eastAsia" w:ascii="宋体" w:hAnsi="宋体" w:cs="宋体"/>
          <w:sz w:val="24"/>
        </w:rPr>
        <w:t>14.投标文件的语言及计量</w:t>
      </w:r>
      <w:bookmarkEnd w:id="99"/>
      <w:bookmarkEnd w:id="100"/>
    </w:p>
    <w:p>
      <w:pPr>
        <w:spacing w:line="360" w:lineRule="auto"/>
        <w:ind w:firstLine="420" w:firstLineChars="200"/>
        <w:rPr>
          <w:rFonts w:ascii="宋体" w:hAnsi="宋体" w:cs="宋体"/>
          <w:bCs/>
          <w:szCs w:val="21"/>
        </w:rPr>
      </w:pPr>
      <w:r>
        <w:rPr>
          <w:rFonts w:hint="eastAsia" w:ascii="宋体" w:hAnsi="宋体" w:cs="宋体"/>
          <w:bCs/>
          <w:szCs w:val="21"/>
        </w:rPr>
        <w:t>14.1语言文字</w:t>
      </w:r>
    </w:p>
    <w:p>
      <w:pPr>
        <w:spacing w:line="360" w:lineRule="auto"/>
        <w:ind w:firstLine="420" w:firstLineChars="200"/>
        <w:rPr>
          <w:rFonts w:ascii="宋体" w:hAnsi="宋体" w:cs="宋体"/>
          <w:bCs/>
          <w:szCs w:val="21"/>
        </w:rPr>
      </w:pPr>
      <w:r>
        <w:rPr>
          <w:rFonts w:hint="eastAsia" w:ascii="宋体" w:hAnsi="宋体" w:cs="宋体"/>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pPr>
        <w:spacing w:line="360" w:lineRule="auto"/>
        <w:ind w:firstLine="420" w:firstLineChars="200"/>
        <w:rPr>
          <w:rFonts w:ascii="宋体" w:hAnsi="宋体" w:cs="宋体"/>
          <w:bCs/>
          <w:szCs w:val="21"/>
        </w:rPr>
      </w:pPr>
      <w:r>
        <w:rPr>
          <w:rFonts w:hint="eastAsia" w:ascii="宋体" w:hAnsi="宋体" w:cs="宋体"/>
          <w:bCs/>
          <w:szCs w:val="21"/>
        </w:rPr>
        <w:t>14.2投标计量单位</w:t>
      </w:r>
    </w:p>
    <w:p>
      <w:pPr>
        <w:spacing w:line="360" w:lineRule="auto"/>
        <w:ind w:firstLine="420" w:firstLineChars="200"/>
        <w:rPr>
          <w:rFonts w:ascii="宋体" w:hAnsi="宋体" w:cs="宋体"/>
          <w:bCs/>
          <w:szCs w:val="21"/>
        </w:rPr>
      </w:pPr>
      <w:r>
        <w:rPr>
          <w:rFonts w:hint="eastAsia" w:ascii="宋体" w:hAnsi="宋体" w:cs="宋体"/>
          <w:bCs/>
          <w:szCs w:val="21"/>
        </w:rPr>
        <w:t>招标文件已有明确规定的，使用招标文件规定的计量单位；招标文件没有规定的，应采用中华人民共和国法定计量单位，货币种类为人民币，否则视同未响应。</w:t>
      </w:r>
    </w:p>
    <w:p>
      <w:pPr>
        <w:spacing w:line="360" w:lineRule="auto"/>
        <w:ind w:firstLine="480" w:firstLineChars="200"/>
        <w:rPr>
          <w:rFonts w:ascii="宋体" w:hAnsi="宋体" w:cs="宋体"/>
          <w:sz w:val="24"/>
        </w:rPr>
      </w:pPr>
      <w:r>
        <w:rPr>
          <w:rFonts w:hint="eastAsia" w:ascii="宋体" w:hAnsi="宋体" w:cs="宋体"/>
          <w:sz w:val="24"/>
        </w:rPr>
        <w:t>15.投标的风险</w:t>
      </w:r>
    </w:p>
    <w:p>
      <w:pPr>
        <w:spacing w:line="360" w:lineRule="auto"/>
        <w:ind w:firstLine="420" w:firstLineChars="200"/>
        <w:rPr>
          <w:rFonts w:ascii="宋体" w:hAnsi="宋体" w:cs="宋体"/>
          <w:b/>
          <w:bCs/>
        </w:rPr>
      </w:pPr>
      <w:r>
        <w:rPr>
          <w:rFonts w:hint="eastAsia" w:ascii="宋体" w:hAnsi="宋体" w:cs="宋体"/>
        </w:rPr>
        <w:t>投标文件分为资格文件、商务文件、技术文件、报价文件四部分（其中：商务文件与技术文件合并编辑成一个电子文档）。各投标人在编制投标文件时请按照招标文件规定的格式进行，混乱的编排导致投标文件被误读或评标委员会查找不到有效文件是投标人的风险。▲</w:t>
      </w:r>
      <w:r>
        <w:rPr>
          <w:rFonts w:hint="eastAsia" w:ascii="宋体" w:hAnsi="宋体" w:cs="宋体"/>
          <w:b/>
          <w:bCs/>
        </w:rPr>
        <w:t>投标文件未按规定的格式编制的（如条款中标明“格式后附”等）、没有按照招标文件要求提供全部资料、没有对招标文件作出实质性响应，投标无效；</w:t>
      </w:r>
    </w:p>
    <w:p>
      <w:pPr>
        <w:spacing w:line="360" w:lineRule="auto"/>
        <w:ind w:firstLine="480" w:firstLineChars="200"/>
        <w:rPr>
          <w:rFonts w:ascii="宋体" w:hAnsi="宋体" w:cs="宋体"/>
          <w:sz w:val="24"/>
        </w:rPr>
      </w:pPr>
      <w:bookmarkStart w:id="101" w:name="_Toc254970679"/>
      <w:bookmarkStart w:id="102" w:name="_Toc254970538"/>
      <w:r>
        <w:rPr>
          <w:rFonts w:hint="eastAsia" w:ascii="宋体" w:hAnsi="宋体" w:cs="宋体"/>
          <w:sz w:val="24"/>
        </w:rPr>
        <w:t>16.投标报价</w:t>
      </w:r>
      <w:bookmarkEnd w:id="101"/>
      <w:bookmarkEnd w:id="102"/>
    </w:p>
    <w:p>
      <w:pPr>
        <w:spacing w:line="360" w:lineRule="auto"/>
        <w:ind w:firstLine="420" w:firstLineChars="200"/>
        <w:rPr>
          <w:rFonts w:ascii="宋体" w:hAnsi="宋体" w:cs="宋体"/>
          <w:bCs/>
          <w:szCs w:val="21"/>
        </w:rPr>
      </w:pPr>
      <w:r>
        <w:rPr>
          <w:rFonts w:hint="eastAsia" w:ascii="宋体" w:hAnsi="宋体" w:cs="宋体"/>
          <w:bCs/>
          <w:szCs w:val="21"/>
        </w:rPr>
        <w:t>16.1投标报价应</w:t>
      </w:r>
      <w:r>
        <w:rPr>
          <w:rFonts w:hint="eastAsia" w:ascii="宋体" w:hAnsi="宋体" w:cs="宋体"/>
          <w:bCs/>
          <w:szCs w:val="20"/>
        </w:rPr>
        <w:t>按“第六章　投标文件格式”中“开标一览表”格式填写。</w:t>
      </w:r>
    </w:p>
    <w:p>
      <w:pPr>
        <w:spacing w:line="360" w:lineRule="auto"/>
        <w:ind w:firstLine="420" w:firstLineChars="200"/>
        <w:rPr>
          <w:rFonts w:ascii="宋体" w:hAnsi="宋体" w:cs="宋体"/>
          <w:bCs/>
          <w:szCs w:val="21"/>
        </w:rPr>
      </w:pPr>
      <w:bookmarkStart w:id="103" w:name="_16.2投标报价具体定义见投标人须知前附表。"/>
      <w:bookmarkEnd w:id="103"/>
      <w:r>
        <w:rPr>
          <w:rFonts w:hint="eastAsia" w:ascii="宋体" w:hAnsi="宋体" w:cs="宋体"/>
          <w:bCs/>
          <w:szCs w:val="21"/>
        </w:rPr>
        <w:t>16.2投标报价具体包括内容详见“投标人须知前附表”。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16.3投标人必须就所投每个分标的全部内容分别作完整唯一总价报价，不得存在漏项报价；投标人必须就所投分标的单项内容作唯一报价。</w:t>
      </w:r>
    </w:p>
    <w:p>
      <w:pPr>
        <w:spacing w:line="360" w:lineRule="auto"/>
        <w:ind w:firstLine="480" w:firstLineChars="200"/>
        <w:rPr>
          <w:rFonts w:ascii="宋体" w:hAnsi="宋体" w:cs="宋体"/>
          <w:sz w:val="24"/>
        </w:rPr>
      </w:pPr>
      <w:r>
        <w:rPr>
          <w:rFonts w:hint="eastAsia" w:ascii="宋体" w:hAnsi="宋体" w:cs="宋体"/>
          <w:sz w:val="24"/>
        </w:rPr>
        <w:t>17.投标有效期</w:t>
      </w:r>
    </w:p>
    <w:p>
      <w:pPr>
        <w:spacing w:line="360" w:lineRule="auto"/>
        <w:ind w:firstLine="420" w:firstLineChars="200"/>
        <w:rPr>
          <w:rFonts w:ascii="宋体" w:hAnsi="宋体" w:cs="宋体"/>
          <w:bCs/>
          <w:szCs w:val="21"/>
        </w:rPr>
      </w:pPr>
      <w:bookmarkStart w:id="104" w:name="_17.1投标有效期应按“投标人须知中的前附表”规定的期限。"/>
      <w:bookmarkEnd w:id="104"/>
      <w:r>
        <w:rPr>
          <w:rFonts w:hint="eastAsia" w:ascii="宋体" w:hAnsi="宋体" w:cs="宋体"/>
          <w:bCs/>
          <w:szCs w:val="21"/>
        </w:rPr>
        <w:t>17.1投标有效期是指为保证采购人有足够的时间在开标后完成评标、定标、合同签订等工作而要求投标人提交的投标文件在一定时间内保持有效的期限。</w:t>
      </w:r>
    </w:p>
    <w:p>
      <w:pPr>
        <w:spacing w:line="360" w:lineRule="auto"/>
        <w:ind w:firstLine="420" w:firstLineChars="200"/>
        <w:rPr>
          <w:rFonts w:ascii="宋体" w:hAnsi="宋体" w:cs="宋体"/>
          <w:bCs/>
          <w:szCs w:val="21"/>
        </w:rPr>
      </w:pPr>
      <w:r>
        <w:rPr>
          <w:rFonts w:hint="eastAsia" w:ascii="宋体" w:hAnsi="宋体" w:cs="宋体"/>
          <w:bCs/>
          <w:szCs w:val="21"/>
        </w:rPr>
        <w:t>17.2</w:t>
      </w:r>
      <w:bookmarkStart w:id="105" w:name="_Toc254970540"/>
      <w:bookmarkStart w:id="106" w:name="_Toc254970681"/>
      <w:r>
        <w:rPr>
          <w:rFonts w:hint="eastAsia" w:ascii="宋体" w:hAnsi="宋体" w:cs="宋体"/>
          <w:bCs/>
          <w:szCs w:val="21"/>
        </w:rPr>
        <w:t xml:space="preserve"> 投标有效期应按规定的期限作出承诺，具体详见“投标人须知前附表”。</w:t>
      </w:r>
    </w:p>
    <w:p>
      <w:pPr>
        <w:spacing w:line="360" w:lineRule="auto"/>
        <w:ind w:firstLine="420" w:firstLineChars="200"/>
        <w:rPr>
          <w:rFonts w:ascii="宋体" w:hAnsi="宋体" w:cs="宋体"/>
          <w:bCs/>
          <w:szCs w:val="21"/>
        </w:rPr>
      </w:pPr>
      <w:r>
        <w:rPr>
          <w:rFonts w:hint="eastAsia" w:ascii="宋体" w:hAnsi="宋体" w:cs="宋体"/>
          <w:bCs/>
          <w:szCs w:val="21"/>
        </w:rPr>
        <w:t>17.3投标人的投标文件在投标有效期内均保持有效。</w:t>
      </w:r>
      <w:bookmarkEnd w:id="105"/>
      <w:bookmarkEnd w:id="106"/>
    </w:p>
    <w:p>
      <w:pPr>
        <w:spacing w:line="360" w:lineRule="auto"/>
        <w:ind w:firstLine="480" w:firstLineChars="200"/>
        <w:rPr>
          <w:rFonts w:ascii="宋体" w:hAnsi="宋体" w:cs="宋体"/>
          <w:sz w:val="24"/>
        </w:rPr>
      </w:pPr>
      <w:bookmarkStart w:id="107" w:name="_18.投标保证金"/>
      <w:bookmarkEnd w:id="107"/>
      <w:bookmarkStart w:id="108" w:name="_Toc254970541"/>
      <w:bookmarkStart w:id="109" w:name="_Toc254970682"/>
      <w:r>
        <w:rPr>
          <w:rFonts w:hint="eastAsia" w:ascii="宋体" w:hAnsi="宋体" w:cs="宋体"/>
          <w:sz w:val="24"/>
        </w:rPr>
        <w:t>18.投标保证金</w:t>
      </w:r>
      <w:bookmarkEnd w:id="108"/>
      <w:bookmarkEnd w:id="109"/>
    </w:p>
    <w:p>
      <w:pPr>
        <w:spacing w:line="360" w:lineRule="auto"/>
        <w:ind w:firstLine="420" w:firstLineChars="200"/>
        <w:rPr>
          <w:rFonts w:ascii="宋体" w:hAnsi="宋体" w:cs="宋体"/>
          <w:szCs w:val="21"/>
        </w:rPr>
      </w:pPr>
      <w:bookmarkStart w:id="110" w:name="_Toc254970683"/>
      <w:bookmarkStart w:id="111" w:name="_Toc254970542"/>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19.投标文件的</w:t>
      </w:r>
      <w:bookmarkEnd w:id="110"/>
      <w:bookmarkEnd w:id="111"/>
      <w:r>
        <w:rPr>
          <w:rFonts w:hint="eastAsia" w:ascii="宋体" w:hAnsi="宋体" w:cs="宋体"/>
          <w:sz w:val="24"/>
        </w:rPr>
        <w:t>编制</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19.1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bookmarkStart w:id="112" w:name="_19.2投标文件应按报价文件、资格证明文件、商务文件、技术文件分别编制"/>
      <w:bookmarkEnd w:id="112"/>
      <w:r>
        <w:rPr>
          <w:rFonts w:hint="eastAsia" w:ascii="宋体" w:hAnsi="宋体" w:cs="宋体"/>
          <w:szCs w:val="21"/>
        </w:rPr>
        <w:t xml:space="preserve"> </w:t>
      </w:r>
    </w:p>
    <w:p>
      <w:pPr>
        <w:pStyle w:val="32"/>
        <w:snapToGrid w:val="0"/>
        <w:spacing w:before="0"/>
        <w:ind w:firstLine="420"/>
        <w:rPr>
          <w:rFonts w:ascii="宋体" w:hAnsi="宋体" w:cs="宋体"/>
          <w:sz w:val="21"/>
          <w:szCs w:val="21"/>
        </w:rPr>
      </w:pPr>
      <w:r>
        <w:rPr>
          <w:rFonts w:hint="eastAsia" w:ascii="宋体" w:hAnsi="宋体" w:cs="宋体"/>
          <w:sz w:val="21"/>
          <w:szCs w:val="21"/>
        </w:rPr>
        <w:t>19.2投标文件按照招标文件第六章格式要求在规定位置进行签署、盖章。投标人的投标文件未按照招标文件要求签署、盖章的，</w:t>
      </w:r>
      <w:r>
        <w:rPr>
          <w:rFonts w:hint="eastAsia" w:ascii="宋体" w:hAnsi="宋体" w:cs="宋体"/>
          <w:b/>
          <w:sz w:val="21"/>
          <w:szCs w:val="21"/>
        </w:rPr>
        <w:t>其投标无效。</w:t>
      </w:r>
    </w:p>
    <w:p>
      <w:pPr>
        <w:pStyle w:val="32"/>
        <w:snapToGrid w:val="0"/>
        <w:spacing w:before="0"/>
        <w:ind w:firstLine="420"/>
        <w:rPr>
          <w:rFonts w:ascii="宋体" w:hAnsi="宋体" w:cs="宋体"/>
          <w:sz w:val="21"/>
          <w:szCs w:val="21"/>
        </w:rPr>
      </w:pPr>
      <w:r>
        <w:rPr>
          <w:rFonts w:hint="eastAsia" w:ascii="宋体" w:hAnsi="宋体" w:cs="宋体"/>
          <w:sz w:val="21"/>
          <w:szCs w:val="21"/>
        </w:rPr>
        <w:t>19.3为确保网上操作合法、有效和安全，投标人应当在投标截止时间前完成在“政采云”平台的身份认证，确保在电子投标过程中能够对相关数据电文进行加密和使用电子签名。</w:t>
      </w:r>
    </w:p>
    <w:p>
      <w:pPr>
        <w:spacing w:line="360" w:lineRule="auto"/>
        <w:ind w:firstLine="422" w:firstLineChars="200"/>
        <w:rPr>
          <w:rFonts w:ascii="宋体" w:hAnsi="宋体" w:cs="宋体"/>
          <w:b/>
          <w:szCs w:val="21"/>
        </w:rPr>
      </w:pPr>
      <w:r>
        <w:rPr>
          <w:rFonts w:hint="eastAsia" w:ascii="宋体" w:hAnsi="宋体" w:cs="宋体"/>
          <w:b/>
          <w:szCs w:val="21"/>
        </w:rPr>
        <w:t>19.4投标文件中标注的投标人名称应与主体资格证明（如营业执照、事业单位法人证书、执业许可证、自然人身份证等）及公章一致，</w:t>
      </w:r>
      <w:r>
        <w:rPr>
          <w:rFonts w:hint="eastAsia" w:ascii="宋体" w:hAnsi="宋体" w:cs="宋体"/>
          <w:szCs w:val="21"/>
        </w:rPr>
        <w:t>否则作无效投标处理</w:t>
      </w:r>
      <w:r>
        <w:rPr>
          <w:rFonts w:hint="eastAsia" w:ascii="宋体" w:hAnsi="宋体" w:cs="宋体"/>
          <w:b/>
          <w:szCs w:val="21"/>
        </w:rPr>
        <w:t>。</w:t>
      </w:r>
    </w:p>
    <w:p>
      <w:pPr>
        <w:spacing w:line="360" w:lineRule="auto"/>
        <w:ind w:firstLine="420" w:firstLineChars="200"/>
        <w:rPr>
          <w:rFonts w:ascii="宋体" w:hAnsi="宋体" w:cs="宋体"/>
          <w:szCs w:val="21"/>
        </w:rPr>
      </w:pPr>
      <w:r>
        <w:rPr>
          <w:rFonts w:hint="eastAsia" w:ascii="宋体" w:hAnsi="宋体" w:cs="宋体"/>
          <w:szCs w:val="21"/>
        </w:rPr>
        <w:t xml:space="preserve"> 19.5投标文件应避免涂改、行间插字或者删除，</w:t>
      </w:r>
      <w:r>
        <w:rPr>
          <w:rFonts w:hint="eastAsia" w:ascii="宋体" w:hAnsi="宋体" w:cs="宋体"/>
          <w:b/>
          <w:szCs w:val="21"/>
        </w:rPr>
        <w:t>否则其投标无效。</w:t>
      </w:r>
    </w:p>
    <w:p>
      <w:pPr>
        <w:spacing w:line="360" w:lineRule="auto"/>
        <w:ind w:firstLine="525" w:firstLineChars="250"/>
        <w:rPr>
          <w:rFonts w:ascii="宋体" w:hAnsi="宋体" w:cs="宋体"/>
        </w:rPr>
      </w:pPr>
      <w:r>
        <w:rPr>
          <w:rFonts w:hint="eastAsia" w:ascii="宋体" w:hAnsi="宋体" w:cs="宋体"/>
        </w:rPr>
        <w:t>19.6 对招标文件的实质性要求和条件作出响应是指投标人必须对招标文件中标注为实质性要求和条件的</w:t>
      </w:r>
      <w:r>
        <w:rPr>
          <w:rFonts w:hint="eastAsia" w:ascii="宋体" w:hAnsi="宋体" w:cs="宋体"/>
          <w:szCs w:val="21"/>
        </w:rPr>
        <w:t>货物内容及要求</w:t>
      </w:r>
      <w:r>
        <w:rPr>
          <w:rFonts w:hint="eastAsia" w:ascii="宋体" w:hAnsi="宋体" w:cs="宋体"/>
        </w:rPr>
        <w:t>、商务条款及其他内容</w:t>
      </w:r>
      <w:r>
        <w:rPr>
          <w:rFonts w:hint="eastAsia" w:ascii="宋体" w:hAnsi="宋体" w:cs="宋体"/>
          <w:b/>
        </w:rPr>
        <w:t>作出满足或者优于原要求和条件的承诺</w:t>
      </w:r>
      <w:r>
        <w:rPr>
          <w:rFonts w:hint="eastAsia" w:ascii="宋体" w:hAnsi="宋体" w:cs="宋体"/>
        </w:rPr>
        <w:t>。</w:t>
      </w:r>
    </w:p>
    <w:p>
      <w:pPr>
        <w:spacing w:line="360" w:lineRule="auto"/>
        <w:ind w:firstLine="422" w:firstLineChars="200"/>
        <w:rPr>
          <w:rFonts w:ascii="宋体" w:hAnsi="宋体" w:cs="宋体"/>
          <w:b/>
          <w:szCs w:val="21"/>
          <w:u w:val="single"/>
        </w:rPr>
      </w:pPr>
      <w:r>
        <w:rPr>
          <w:rFonts w:hint="eastAsia" w:ascii="宋体" w:hAnsi="宋体" w:cs="宋体"/>
          <w:b/>
          <w:szCs w:val="21"/>
          <w:u w:val="single"/>
        </w:rPr>
        <w:t>19.7本项目为南宁市全流程电子化项目，异常情况见“第二节 投标人须知正文”中“四、24.2开标程序。</w:t>
      </w:r>
    </w:p>
    <w:p>
      <w:pPr>
        <w:spacing w:line="360" w:lineRule="auto"/>
        <w:ind w:firstLine="480" w:firstLineChars="200"/>
        <w:rPr>
          <w:rFonts w:ascii="宋体" w:hAnsi="宋体" w:cs="宋体"/>
          <w:sz w:val="24"/>
        </w:rPr>
      </w:pPr>
      <w:r>
        <w:rPr>
          <w:rFonts w:hint="eastAsia" w:ascii="宋体" w:hAnsi="宋体" w:cs="宋体"/>
          <w:sz w:val="24"/>
        </w:rPr>
        <w:t>20.备份投标文件</w:t>
      </w:r>
    </w:p>
    <w:p>
      <w:pPr>
        <w:spacing w:line="360" w:lineRule="auto"/>
        <w:ind w:firstLine="420" w:firstLineChars="200"/>
        <w:rPr>
          <w:rFonts w:ascii="宋体" w:hAnsi="宋体" w:cs="宋体"/>
          <w:sz w:val="24"/>
        </w:rPr>
      </w:pPr>
      <w:r>
        <w:rPr>
          <w:rFonts w:hint="eastAsia" w:ascii="宋体" w:hAnsi="宋体" w:cs="宋体"/>
          <w:bCs/>
          <w:szCs w:val="21"/>
        </w:rPr>
        <w:t>详见在“投标人须知前附表”。</w:t>
      </w:r>
    </w:p>
    <w:p>
      <w:pPr>
        <w:spacing w:line="360" w:lineRule="auto"/>
        <w:ind w:firstLine="480" w:firstLineChars="200"/>
        <w:rPr>
          <w:rFonts w:ascii="宋体" w:hAnsi="宋体" w:cs="宋体"/>
          <w:sz w:val="24"/>
        </w:rPr>
      </w:pPr>
      <w:r>
        <w:rPr>
          <w:rFonts w:hint="eastAsia" w:ascii="宋体" w:hAnsi="宋体" w:cs="宋体"/>
          <w:sz w:val="24"/>
        </w:rPr>
        <w:t>21.投标文件的提交</w:t>
      </w:r>
    </w:p>
    <w:p>
      <w:pPr>
        <w:spacing w:line="360" w:lineRule="auto"/>
        <w:ind w:firstLine="420" w:firstLineChars="200"/>
        <w:rPr>
          <w:rFonts w:ascii="宋体" w:hAnsi="宋体" w:cs="宋体"/>
          <w:b/>
        </w:rPr>
      </w:pPr>
      <w:bookmarkStart w:id="113" w:name="_21.1投标人必须在“投标人须知中的前附表”规定的投标文件接收时间和投"/>
      <w:bookmarkEnd w:id="113"/>
      <w:r>
        <w:rPr>
          <w:rFonts w:hint="eastAsia" w:ascii="宋体" w:hAnsi="宋体" w:cs="宋体"/>
          <w:bCs/>
          <w:szCs w:val="21"/>
        </w:rPr>
        <w:t xml:space="preserve">21.1投标人必须在“投标人须知前附表”规定的投标文件接收时间和投标地点提交电子版投标文件。电子投标文件应在制作完成后，在投标截止时间前通过有效数字证书（CA认证锁）进行电子签章、加密，然后通过网络将加密的电子投标文件递交至“南宁市政采云平台”。 </w:t>
      </w:r>
      <w:r>
        <w:rPr>
          <w:rFonts w:hint="eastAsia" w:ascii="宋体" w:hAnsi="宋体" w:cs="宋体"/>
          <w:b/>
        </w:rPr>
        <w:t xml:space="preserve"> </w:t>
      </w:r>
    </w:p>
    <w:p>
      <w:pPr>
        <w:spacing w:line="360" w:lineRule="auto"/>
        <w:ind w:firstLine="422" w:firstLineChars="200"/>
        <w:rPr>
          <w:rFonts w:ascii="宋体" w:hAnsi="宋体" w:cs="宋体"/>
          <w:b/>
          <w:szCs w:val="20"/>
        </w:rPr>
      </w:pPr>
      <w:r>
        <w:rPr>
          <w:rFonts w:hint="eastAsia" w:ascii="宋体" w:hAnsi="宋体" w:cs="宋体"/>
          <w:b/>
          <w:szCs w:val="21"/>
        </w:rPr>
        <w:t>21.2未在规定时间内提交或者未按照招标文件要求密封或者标记的电子投标文件，“政采云”平台将拒收。</w:t>
      </w:r>
    </w:p>
    <w:p>
      <w:pPr>
        <w:spacing w:line="360" w:lineRule="auto"/>
        <w:ind w:firstLine="420" w:firstLineChars="200"/>
        <w:rPr>
          <w:rFonts w:ascii="宋体" w:hAnsi="宋体" w:cs="宋体"/>
          <w:szCs w:val="21"/>
        </w:rPr>
      </w:pPr>
      <w:r>
        <w:rPr>
          <w:rFonts w:hint="eastAsia" w:ascii="宋体" w:hAnsi="宋体" w:cs="宋体"/>
          <w:szCs w:val="21"/>
        </w:rPr>
        <w:t>21.3电子版投标文件提交方式见“招标公告”中“四、提交投标文件截止时间、开标时间和地点”</w:t>
      </w:r>
      <w:r>
        <w:rPr>
          <w:rFonts w:hint="eastAsia" w:ascii="宋体" w:hAnsi="宋体" w:cs="宋体"/>
          <w:b/>
          <w:szCs w:val="21"/>
        </w:rPr>
        <w:t xml:space="preserve"> 。</w:t>
      </w:r>
    </w:p>
    <w:p>
      <w:pPr>
        <w:spacing w:line="360" w:lineRule="auto"/>
        <w:ind w:firstLine="480" w:firstLineChars="200"/>
        <w:rPr>
          <w:rFonts w:ascii="宋体" w:hAnsi="宋体" w:cs="宋体"/>
          <w:sz w:val="24"/>
        </w:rPr>
      </w:pPr>
      <w:r>
        <w:rPr>
          <w:rFonts w:hint="eastAsia" w:ascii="宋体" w:hAnsi="宋体" w:cs="宋体"/>
          <w:sz w:val="24"/>
        </w:rPr>
        <w:t>22. 投标文件的补充、修改、撤回与退回</w:t>
      </w:r>
      <w:bookmarkStart w:id="114" w:name="_Toc254970684"/>
      <w:bookmarkStart w:id="115" w:name="_Toc254970543"/>
    </w:p>
    <w:p>
      <w:pPr>
        <w:spacing w:line="360" w:lineRule="auto"/>
        <w:ind w:firstLine="420" w:firstLineChars="200"/>
        <w:rPr>
          <w:rFonts w:ascii="宋体" w:hAnsi="宋体" w:cs="宋体"/>
          <w:sz w:val="24"/>
        </w:rPr>
      </w:pPr>
      <w:r>
        <w:rPr>
          <w:rFonts w:hint="eastAsia" w:ascii="宋体" w:hAnsi="宋体" w:cs="宋体"/>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政采云”平台将拒收。（补充、修改或者撤回方式见公告附件“电子投标文件制作与投送教程”）</w:t>
      </w:r>
    </w:p>
    <w:p>
      <w:pPr>
        <w:pStyle w:val="32"/>
        <w:spacing w:before="0"/>
        <w:ind w:firstLine="420"/>
        <w:rPr>
          <w:rFonts w:ascii="宋体" w:hAnsi="宋体" w:cs="宋体"/>
          <w:sz w:val="21"/>
          <w:szCs w:val="21"/>
        </w:rPr>
      </w:pPr>
      <w:r>
        <w:rPr>
          <w:rFonts w:hint="eastAsia" w:ascii="宋体" w:hAnsi="宋体" w:cs="宋体"/>
          <w:sz w:val="21"/>
          <w:szCs w:val="21"/>
        </w:rPr>
        <w:t>22.2“政采云”平台收到投标文件，将妥善保存并即时向供应商发出确认回执通知。在投标截止时间前，除供应商补充、修改或者撤回投标文件外，任何单位和个人不得解密或提取投标文件。</w:t>
      </w:r>
    </w:p>
    <w:bookmarkEnd w:id="114"/>
    <w:bookmarkEnd w:id="115"/>
    <w:p>
      <w:pPr>
        <w:spacing w:line="360" w:lineRule="auto"/>
        <w:ind w:firstLine="420" w:firstLineChars="200"/>
        <w:rPr>
          <w:rFonts w:ascii="宋体" w:hAnsi="宋体" w:cs="宋体"/>
          <w:szCs w:val="21"/>
        </w:rPr>
      </w:pPr>
      <w:r>
        <w:rPr>
          <w:rFonts w:hint="eastAsia" w:ascii="宋体" w:hAnsi="宋体" w:cs="宋体"/>
          <w:szCs w:val="21"/>
        </w:rPr>
        <w:t>22.3在投标截止时间止提交电子版投标文件的投标人不足3家时，电子版投标文件由代理机构在“政采云”平台操作退回，除此之外采购人和采购代理机构对已提交的投标文件概不退回。</w:t>
      </w:r>
    </w:p>
    <w:p>
      <w:pPr>
        <w:pStyle w:val="10"/>
        <w:snapToGrid w:val="0"/>
        <w:spacing w:line="360" w:lineRule="auto"/>
        <w:ind w:firstLine="739"/>
        <w:rPr>
          <w:rFonts w:hAnsi="宋体" w:cs="宋体"/>
          <w:snapToGrid w:val="0"/>
          <w:sz w:val="21"/>
          <w:szCs w:val="21"/>
        </w:rPr>
      </w:pPr>
    </w:p>
    <w:p>
      <w:pPr>
        <w:pStyle w:val="4"/>
        <w:keepNext w:val="0"/>
        <w:keepLines w:val="0"/>
        <w:rPr>
          <w:rFonts w:cs="宋体"/>
        </w:rPr>
      </w:pPr>
      <w:bookmarkStart w:id="116" w:name="_Toc254970685"/>
      <w:bookmarkStart w:id="117" w:name="_Toc28352"/>
      <w:bookmarkStart w:id="118" w:name="_Toc254970544"/>
      <w:r>
        <w:rPr>
          <w:rFonts w:hint="eastAsia" w:cs="宋体"/>
        </w:rPr>
        <w:t>四、开    标</w:t>
      </w:r>
      <w:bookmarkEnd w:id="116"/>
      <w:bookmarkEnd w:id="117"/>
      <w:bookmarkEnd w:id="118"/>
    </w:p>
    <w:p>
      <w:pPr>
        <w:spacing w:line="360" w:lineRule="auto"/>
        <w:ind w:firstLine="480" w:firstLineChars="200"/>
        <w:rPr>
          <w:rFonts w:ascii="宋体" w:hAnsi="宋体" w:cs="宋体"/>
          <w:sz w:val="24"/>
        </w:rPr>
      </w:pPr>
      <w:bookmarkStart w:id="119" w:name="_23.开标时间和地点"/>
      <w:bookmarkEnd w:id="119"/>
      <w:r>
        <w:rPr>
          <w:rFonts w:hint="eastAsia" w:ascii="宋体" w:hAnsi="宋体" w:cs="宋体"/>
          <w:sz w:val="24"/>
        </w:rPr>
        <w:t>23.开标时间和地点</w:t>
      </w:r>
    </w:p>
    <w:p>
      <w:pPr>
        <w:spacing w:line="360" w:lineRule="auto"/>
        <w:ind w:firstLine="420" w:firstLineChars="200"/>
        <w:rPr>
          <w:rFonts w:ascii="宋体" w:hAnsi="宋体" w:cs="宋体"/>
          <w:bCs/>
        </w:rPr>
      </w:pPr>
      <w:r>
        <w:rPr>
          <w:rFonts w:hint="eastAsia" w:ascii="宋体" w:hAnsi="宋体" w:cs="宋体"/>
          <w:bCs/>
        </w:rPr>
        <w:t>23.1开标时间及地点详见“投标人须知前附表”</w:t>
      </w:r>
    </w:p>
    <w:p>
      <w:pPr>
        <w:spacing w:line="360" w:lineRule="auto"/>
        <w:ind w:firstLine="420" w:firstLineChars="200"/>
        <w:rPr>
          <w:rFonts w:ascii="宋体" w:hAnsi="宋体" w:cs="宋体"/>
        </w:rPr>
      </w:pPr>
      <w:r>
        <w:rPr>
          <w:rFonts w:hint="eastAsia" w:ascii="宋体" w:hAnsi="宋体" w:cs="宋体"/>
        </w:rPr>
        <w:t>23.2如</w:t>
      </w:r>
      <w:r>
        <w:rPr>
          <w:rFonts w:hint="eastAsia" w:ascii="宋体" w:hAnsi="宋体" w:cs="宋体"/>
          <w:bCs/>
        </w:rPr>
        <w:t>投标人成功解密投标文件，但未在“政采云”电子开标大厅参加开标的，视同认可开标过程和结果，</w:t>
      </w:r>
      <w:r>
        <w:rPr>
          <w:rFonts w:hint="eastAsia" w:ascii="宋体" w:hAnsi="宋体" w:cs="宋体"/>
        </w:rPr>
        <w:t>由此产生的后果由投标人自行负责。 投标人不足3家的，不得开标。</w:t>
      </w:r>
    </w:p>
    <w:p>
      <w:pPr>
        <w:spacing w:line="360" w:lineRule="auto"/>
        <w:ind w:firstLine="480" w:firstLineChars="200"/>
        <w:rPr>
          <w:rFonts w:ascii="宋体" w:hAnsi="宋体" w:cs="宋体"/>
          <w:sz w:val="24"/>
        </w:rPr>
      </w:pPr>
      <w:r>
        <w:rPr>
          <w:rFonts w:hint="eastAsia" w:ascii="宋体" w:hAnsi="宋体" w:cs="宋体"/>
          <w:sz w:val="24"/>
        </w:rPr>
        <w:t>24.开标程序</w:t>
      </w:r>
    </w:p>
    <w:p>
      <w:pPr>
        <w:autoSpaceDE w:val="0"/>
        <w:autoSpaceDN w:val="0"/>
        <w:adjustRightInd w:val="0"/>
        <w:spacing w:line="360" w:lineRule="auto"/>
        <w:ind w:firstLine="420" w:firstLineChars="200"/>
        <w:rPr>
          <w:rFonts w:ascii="宋体" w:hAnsi="宋体" w:cs="宋体"/>
          <w:kern w:val="0"/>
          <w:szCs w:val="21"/>
        </w:rPr>
      </w:pPr>
      <w:r>
        <w:rPr>
          <w:rFonts w:hint="eastAsia" w:ascii="宋体" w:hAnsi="宋体" w:cs="宋体"/>
          <w:bCs/>
          <w:szCs w:val="21"/>
        </w:rPr>
        <w:t>24.1</w:t>
      </w:r>
      <w:r>
        <w:rPr>
          <w:rFonts w:hint="eastAsia" w:ascii="宋体" w:hAnsi="宋体" w:cs="宋体"/>
          <w:kern w:val="0"/>
          <w:szCs w:val="21"/>
        </w:rPr>
        <w:t>开标形式：</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szCs w:val="21"/>
        </w:rPr>
        <w:t>（1）</w:t>
      </w:r>
      <w:r>
        <w:rPr>
          <w:rFonts w:hint="eastAsia" w:ascii="宋体" w:hAnsi="宋体" w:cs="宋体"/>
          <w:bCs/>
          <w:szCs w:val="21"/>
        </w:rPr>
        <w:t>开标的准备工作由采购代理机构负责落实，采购代理机构必须基于“政采云”平台选取评审专家，如采购代理机构未按规定选取专家的，视为本次开评标无效，应当重新采购；</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采购代理机构将按照招标文件规定的时间通过“政采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pPr>
        <w:autoSpaceDE w:val="0"/>
        <w:autoSpaceDN w:val="0"/>
        <w:adjustRightInd w:val="0"/>
        <w:spacing w:line="360" w:lineRule="auto"/>
        <w:ind w:firstLine="420" w:firstLineChars="200"/>
        <w:rPr>
          <w:rFonts w:ascii="宋体" w:hAnsi="宋体" w:cs="宋体"/>
          <w:bCs/>
          <w:szCs w:val="21"/>
        </w:rPr>
      </w:pPr>
      <w:r>
        <w:rPr>
          <w:rFonts w:hint="eastAsia" w:ascii="宋体" w:hAnsi="宋体" w:cs="宋体"/>
          <w:bCs/>
          <w:szCs w:val="21"/>
        </w:rPr>
        <w:t>24.2开标程序：</w:t>
      </w:r>
    </w:p>
    <w:p>
      <w:pPr>
        <w:pStyle w:val="12"/>
        <w:snapToGrid w:val="0"/>
        <w:spacing w:line="360" w:lineRule="auto"/>
        <w:ind w:firstLine="422" w:firstLineChars="200"/>
        <w:rPr>
          <w:rFonts w:hAnsi="宋体" w:cs="宋体"/>
          <w:szCs w:val="21"/>
        </w:rPr>
      </w:pPr>
      <w:r>
        <w:rPr>
          <w:rFonts w:hint="eastAsia" w:hAnsi="宋体" w:cs="宋体"/>
          <w:b/>
          <w:szCs w:val="21"/>
        </w:rPr>
        <w:t>（1）解密电子投标文件。“</w:t>
      </w:r>
      <w:r>
        <w:rPr>
          <w:rFonts w:hint="eastAsia" w:hAnsi="宋体" w:cs="宋体"/>
          <w:szCs w:val="21"/>
        </w:rPr>
        <w:t>政采云”平台按开标时间自动提取所有投标文件。采购代理机构依托“政采云”平台向各投标人发出电子加密投标文件【开始解密】通知，由投标人按招标文件规定的时间内自行进行投标文件解密。投标人的法定代表人或其委托代理人</w:t>
      </w:r>
      <w:r>
        <w:rPr>
          <w:rFonts w:hint="eastAsia" w:hAnsi="宋体" w:cs="宋体"/>
          <w:b/>
          <w:szCs w:val="21"/>
        </w:rPr>
        <w:t>须携带加密时所用的CA锁准时登录到“政采云”平台电子开标大厅签到并对电子投标文件解密</w:t>
      </w:r>
      <w:r>
        <w:rPr>
          <w:rFonts w:hint="eastAsia" w:hAnsi="宋体" w:cs="宋体"/>
          <w:szCs w:val="21"/>
        </w:rPr>
        <w:t>。开标后5分钟投标人还未进行解密的，代理机构要通知投标人。通知后，投标文件仍未按时解密，或者投标人没预留联系方式或预留联系方式无效，导致代理机构无法联系到投标人进行解密的，</w:t>
      </w:r>
      <w:r>
        <w:rPr>
          <w:rFonts w:hint="eastAsia" w:hAnsi="宋体" w:cs="宋体"/>
          <w:b/>
          <w:szCs w:val="21"/>
        </w:rPr>
        <w:t>均视为无效投标。</w:t>
      </w:r>
    </w:p>
    <w:p>
      <w:pPr>
        <w:pStyle w:val="12"/>
        <w:snapToGrid w:val="0"/>
        <w:spacing w:line="360" w:lineRule="auto"/>
        <w:ind w:firstLine="420" w:firstLineChars="200"/>
        <w:rPr>
          <w:rFonts w:hAnsi="宋体" w:cs="宋体"/>
          <w:szCs w:val="21"/>
        </w:rPr>
      </w:pPr>
      <w:r>
        <w:rPr>
          <w:rFonts w:hint="eastAsia" w:hAnsi="宋体" w:cs="宋体"/>
          <w:szCs w:val="21"/>
        </w:rPr>
        <w:t>（解密</w:t>
      </w:r>
      <w:r>
        <w:rPr>
          <w:rFonts w:hint="eastAsia" w:hAnsi="宋体" w:cs="宋体"/>
          <w:bCs/>
          <w:szCs w:val="21"/>
        </w:rPr>
        <w:t>异常情况处理：详见本章</w:t>
      </w:r>
      <w:r>
        <w:rPr>
          <w:rFonts w:hint="eastAsia" w:hAnsi="宋体" w:cs="宋体"/>
        </w:rPr>
        <w:t>29.3 电子交易活动的中止。</w:t>
      </w:r>
      <w:r>
        <w:rPr>
          <w:rFonts w:hint="eastAsia" w:hAnsi="宋体" w:cs="宋体"/>
          <w:szCs w:val="21"/>
        </w:rPr>
        <w:t>）</w:t>
      </w:r>
    </w:p>
    <w:p>
      <w:pPr>
        <w:spacing w:line="360" w:lineRule="auto"/>
        <w:ind w:firstLine="420" w:firstLineChars="200"/>
        <w:rPr>
          <w:rFonts w:ascii="宋体" w:hAnsi="宋体" w:cs="宋体"/>
          <w:szCs w:val="21"/>
        </w:rPr>
      </w:pPr>
      <w:r>
        <w:rPr>
          <w:rFonts w:hint="eastAsia" w:ascii="宋体" w:hAnsi="宋体" w:cs="宋体"/>
          <w:szCs w:val="21"/>
        </w:rPr>
        <w:t>（2）</w:t>
      </w:r>
      <w:r>
        <w:rPr>
          <w:rFonts w:hint="eastAsia" w:ascii="宋体" w:hAnsi="宋体" w:cs="宋体"/>
          <w:b/>
          <w:szCs w:val="21"/>
        </w:rPr>
        <w:t>电子唱标。</w:t>
      </w:r>
      <w:r>
        <w:rPr>
          <w:rFonts w:hint="eastAsia" w:ascii="宋体" w:hAnsi="宋体" w:cs="宋体"/>
          <w:szCs w:val="21"/>
        </w:rPr>
        <w:t>投标文件解密结束，各投标供应商报价均在“政采云”平台远程不见面开标大厅展示；</w:t>
      </w:r>
    </w:p>
    <w:p>
      <w:pPr>
        <w:spacing w:line="360" w:lineRule="auto"/>
        <w:ind w:firstLine="420" w:firstLineChars="200"/>
        <w:rPr>
          <w:rFonts w:ascii="宋体" w:hAnsi="宋体" w:cs="宋体"/>
          <w:szCs w:val="21"/>
        </w:rPr>
      </w:pPr>
      <w:r>
        <w:rPr>
          <w:rFonts w:hint="eastAsia" w:ascii="宋体" w:hAnsi="宋体" w:cs="宋体"/>
          <w:szCs w:val="21"/>
        </w:rPr>
        <w:t>（3）</w:t>
      </w:r>
      <w:r>
        <w:rPr>
          <w:rFonts w:hint="eastAsia" w:ascii="宋体" w:hAnsi="宋体" w:cs="宋体"/>
          <w:b/>
          <w:szCs w:val="21"/>
        </w:rPr>
        <w:t>签署电子《政府采购活动现场确认声明书》。</w:t>
      </w:r>
      <w:r>
        <w:rPr>
          <w:rFonts w:hint="eastAsia" w:ascii="宋体" w:hAnsi="宋体" w:cs="宋体"/>
          <w:szCs w:val="21"/>
        </w:rPr>
        <w:t>通过邮件形式在远程不见面开标大厅发送各投标人签署电子《政府采购活动现场确认声明书》。</w:t>
      </w:r>
    </w:p>
    <w:p>
      <w:pPr>
        <w:spacing w:line="360" w:lineRule="auto"/>
        <w:ind w:firstLine="420" w:firstLineChars="200"/>
        <w:rPr>
          <w:rFonts w:ascii="宋体" w:hAnsi="宋体" w:cs="宋体"/>
          <w:bCs/>
          <w:szCs w:val="21"/>
        </w:rPr>
      </w:pPr>
      <w:r>
        <w:rPr>
          <w:rFonts w:hint="eastAsia" w:ascii="宋体" w:hAnsi="宋体" w:cs="宋体"/>
          <w:bCs/>
          <w:szCs w:val="21"/>
        </w:rPr>
        <w:t>（4）开标过程由采购代理机构如实记录，并电子留痕，由参加电子开标的各投标人代表对电子开标记录在开标记录公布后15分钟内进行当场校核及勘误，并线上确认，未确认的视同认可开标结果。</w:t>
      </w:r>
    </w:p>
    <w:p>
      <w:pPr>
        <w:spacing w:line="360" w:lineRule="auto"/>
        <w:ind w:firstLine="420" w:firstLineChars="200"/>
        <w:rPr>
          <w:rFonts w:ascii="宋体" w:hAnsi="宋体" w:cs="宋体"/>
          <w:bCs/>
          <w:szCs w:val="21"/>
        </w:rPr>
      </w:pPr>
      <w:r>
        <w:rPr>
          <w:rFonts w:hint="eastAsia" w:ascii="宋体" w:hAnsi="宋体" w:cs="宋体"/>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pPr>
        <w:spacing w:line="360" w:lineRule="auto"/>
        <w:ind w:firstLine="420" w:firstLineChars="200"/>
        <w:rPr>
          <w:rFonts w:ascii="宋体" w:hAnsi="宋体" w:cs="宋体"/>
          <w:bCs/>
          <w:szCs w:val="21"/>
        </w:rPr>
      </w:pPr>
      <w:r>
        <w:rPr>
          <w:rFonts w:hint="eastAsia" w:ascii="宋体" w:hAnsi="宋体" w:cs="宋体"/>
          <w:bCs/>
          <w:szCs w:val="21"/>
        </w:rPr>
        <w:t>（6）开标结束。</w:t>
      </w:r>
    </w:p>
    <w:p>
      <w:pPr>
        <w:pStyle w:val="12"/>
        <w:snapToGrid w:val="0"/>
        <w:spacing w:line="360" w:lineRule="auto"/>
        <w:ind w:firstLine="422" w:firstLineChars="200"/>
        <w:rPr>
          <w:rFonts w:hAnsi="宋体" w:cs="宋体"/>
          <w:szCs w:val="21"/>
        </w:rPr>
      </w:pPr>
      <w:r>
        <w:rPr>
          <w:rFonts w:hint="eastAsia" w:hAnsi="宋体" w:cs="宋体"/>
          <w:b/>
          <w:bCs/>
          <w:szCs w:val="21"/>
        </w:rPr>
        <w:t>特别说明：</w:t>
      </w:r>
      <w:r>
        <w:rPr>
          <w:rFonts w:hint="eastAsia" w:hAnsi="宋体" w:cs="宋体"/>
          <w:szCs w:val="21"/>
        </w:rPr>
        <w:t>如遇“政采云”平台电子化开标或评审程序调整的，按调整后执行。</w:t>
      </w:r>
    </w:p>
    <w:p>
      <w:pPr>
        <w:pStyle w:val="12"/>
        <w:snapToGrid w:val="0"/>
        <w:spacing w:line="360" w:lineRule="auto"/>
        <w:ind w:left="689" w:leftChars="228" w:hanging="210" w:hangingChars="100"/>
        <w:rPr>
          <w:rFonts w:hAnsi="宋体" w:cs="宋体"/>
        </w:rPr>
      </w:pPr>
    </w:p>
    <w:p>
      <w:pPr>
        <w:pStyle w:val="4"/>
        <w:keepNext w:val="0"/>
        <w:keepLines w:val="0"/>
        <w:rPr>
          <w:rFonts w:cs="宋体"/>
        </w:rPr>
      </w:pPr>
      <w:bookmarkStart w:id="120" w:name="_Toc10424"/>
      <w:r>
        <w:rPr>
          <w:rFonts w:hint="eastAsia" w:cs="宋体"/>
        </w:rPr>
        <w:t>五、资格审查</w:t>
      </w:r>
      <w:bookmarkEnd w:id="120"/>
    </w:p>
    <w:p>
      <w:pPr>
        <w:spacing w:line="360" w:lineRule="auto"/>
        <w:ind w:firstLine="480" w:firstLineChars="200"/>
        <w:rPr>
          <w:rFonts w:ascii="宋体" w:hAnsi="宋体" w:cs="宋体"/>
          <w:sz w:val="24"/>
        </w:rPr>
      </w:pPr>
      <w:r>
        <w:rPr>
          <w:rFonts w:hint="eastAsia" w:ascii="宋体" w:hAnsi="宋体" w:cs="宋体"/>
          <w:sz w:val="24"/>
        </w:rPr>
        <w:t>25.资格审查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25.1开标结束后，采购人或采购机构依法通过电子投标文件对投标人的资格进行线上审查。</w:t>
      </w:r>
    </w:p>
    <w:p>
      <w:pPr>
        <w:spacing w:line="360" w:lineRule="auto"/>
        <w:ind w:firstLine="422" w:firstLineChars="200"/>
        <w:rPr>
          <w:rFonts w:ascii="宋体" w:hAnsi="宋体" w:cs="宋体"/>
          <w:b/>
          <w:bCs/>
          <w:szCs w:val="20"/>
        </w:rPr>
      </w:pPr>
      <w:r>
        <w:rPr>
          <w:rFonts w:hint="eastAsia" w:ascii="宋体" w:hAnsi="宋体" w:cs="宋体"/>
          <w:b/>
          <w:bCs/>
          <w:szCs w:val="20"/>
        </w:rPr>
        <w:t xml:space="preserve"> 25.2采购人或采购机构依据法律法规和招标文件的规定，对投标人的基本资格条件、特定资格条件进行审查。</w:t>
      </w:r>
    </w:p>
    <w:p>
      <w:pPr>
        <w:spacing w:line="360" w:lineRule="auto"/>
        <w:ind w:firstLine="420" w:firstLineChars="200"/>
        <w:rPr>
          <w:rFonts w:ascii="宋体" w:hAnsi="宋体" w:cs="宋体"/>
        </w:rPr>
      </w:pPr>
      <w:r>
        <w:rPr>
          <w:rFonts w:hint="eastAsia" w:ascii="宋体" w:hAnsi="宋体" w:cs="宋体"/>
        </w:rPr>
        <w:t>25.3资格审查标准为本“招标文件”中“投标人须知前附表”13.1点载明对投标人资格要求的条件。本项目资格审查采用合格制，凡符合招标文件规定的投标人资格要求的投标人均通过资格审查。</w:t>
      </w:r>
    </w:p>
    <w:p>
      <w:pPr>
        <w:spacing w:line="360" w:lineRule="auto"/>
        <w:ind w:firstLine="422" w:firstLineChars="200"/>
        <w:rPr>
          <w:rFonts w:ascii="宋体" w:hAnsi="宋体" w:cs="宋体"/>
          <w:b/>
          <w:bCs/>
          <w:szCs w:val="20"/>
        </w:rPr>
      </w:pPr>
      <w:bookmarkStart w:id="121" w:name="_25.3_投标人有下列情形之一的，资格审查不通过而导致其投标无效："/>
      <w:bookmarkEnd w:id="121"/>
      <w:r>
        <w:rPr>
          <w:rFonts w:hint="eastAsia" w:ascii="宋体" w:hAnsi="宋体" w:cs="宋体"/>
          <w:b/>
          <w:bCs/>
          <w:szCs w:val="20"/>
        </w:rPr>
        <w:t>25.4投标人有下列情形之一的，资格审查不通过，作无效投标处理：</w:t>
      </w:r>
    </w:p>
    <w:p>
      <w:pPr>
        <w:spacing w:line="360" w:lineRule="auto"/>
        <w:ind w:firstLine="420" w:firstLineChars="200"/>
        <w:rPr>
          <w:rFonts w:ascii="宋体" w:hAnsi="宋体" w:cs="宋体"/>
        </w:rPr>
      </w:pPr>
      <w:r>
        <w:rPr>
          <w:rFonts w:hint="eastAsia" w:ascii="宋体" w:hAnsi="宋体" w:cs="宋体"/>
        </w:rPr>
        <w:t>（1）不具备招标文件中规定的资格要求的；（注：其中信用查询规则见“投标人须知前附表”，“政采云”平台已与“信用中国”平台做接口，审查专家可直接在线查询）</w:t>
      </w:r>
    </w:p>
    <w:p>
      <w:pPr>
        <w:spacing w:line="360" w:lineRule="auto"/>
        <w:ind w:firstLine="420" w:firstLineChars="200"/>
        <w:rPr>
          <w:rFonts w:ascii="宋体" w:hAnsi="宋体" w:cs="宋体"/>
        </w:rPr>
      </w:pPr>
      <w:r>
        <w:rPr>
          <w:rFonts w:hint="eastAsia" w:ascii="宋体" w:hAnsi="宋体" w:cs="宋体"/>
        </w:rPr>
        <w:t>（2）投标文件未提供任一项“投标人须知前附表”资格证明文件规定的“必须提供”的文件资料的；</w:t>
      </w:r>
    </w:p>
    <w:p>
      <w:pPr>
        <w:spacing w:line="360" w:lineRule="auto"/>
        <w:ind w:firstLine="420" w:firstLineChars="200"/>
        <w:rPr>
          <w:rFonts w:ascii="宋体" w:hAnsi="宋体" w:cs="宋体"/>
        </w:rPr>
      </w:pPr>
      <w:r>
        <w:rPr>
          <w:rFonts w:hint="eastAsia" w:ascii="宋体" w:hAnsi="宋体" w:cs="宋体"/>
        </w:rPr>
        <w:t>（3）投标文件提供的资格证明文件出现任一项不符合“投标人须知前附表”资格证明文件规定的“必须提供”的文件资料要求或者无效的。</w:t>
      </w:r>
    </w:p>
    <w:p>
      <w:pPr>
        <w:spacing w:line="360" w:lineRule="auto"/>
        <w:ind w:firstLine="420" w:firstLineChars="200"/>
        <w:rPr>
          <w:rFonts w:ascii="宋体" w:hAnsi="宋体" w:cs="宋体"/>
          <w:szCs w:val="20"/>
        </w:rPr>
      </w:pPr>
      <w:r>
        <w:rPr>
          <w:rFonts w:hint="eastAsia" w:ascii="宋体" w:hAnsi="宋体" w:cs="宋体"/>
          <w:szCs w:val="20"/>
        </w:rPr>
        <w:t>25.5资格审查的合格投标人不足3家的，不得评标。</w:t>
      </w:r>
    </w:p>
    <w:p>
      <w:pPr>
        <w:pStyle w:val="4"/>
        <w:keepNext w:val="0"/>
        <w:keepLines w:val="0"/>
        <w:rPr>
          <w:rFonts w:cs="宋体"/>
        </w:rPr>
      </w:pPr>
      <w:bookmarkStart w:id="122" w:name="_Toc7622"/>
      <w:r>
        <w:rPr>
          <w:rFonts w:hint="eastAsia" w:cs="宋体"/>
        </w:rPr>
        <w:t>六、评   标</w:t>
      </w:r>
      <w:bookmarkEnd w:id="122"/>
    </w:p>
    <w:p>
      <w:pPr>
        <w:spacing w:line="360" w:lineRule="auto"/>
        <w:ind w:firstLine="480" w:firstLineChars="200"/>
        <w:rPr>
          <w:rFonts w:ascii="宋体" w:hAnsi="宋体" w:cs="宋体"/>
          <w:sz w:val="24"/>
        </w:rPr>
      </w:pPr>
      <w:bookmarkStart w:id="123" w:name="_26.组建评标委员会"/>
      <w:bookmarkEnd w:id="123"/>
      <w:r>
        <w:rPr>
          <w:rFonts w:hint="eastAsia" w:ascii="宋体" w:hAnsi="宋体" w:cs="宋体"/>
          <w:sz w:val="24"/>
        </w:rPr>
        <w:t>26.组建评标委员会</w:t>
      </w:r>
    </w:p>
    <w:p>
      <w:pPr>
        <w:spacing w:line="360" w:lineRule="auto"/>
        <w:ind w:firstLine="420" w:firstLineChars="200"/>
        <w:rPr>
          <w:rFonts w:ascii="宋体" w:hAnsi="宋体" w:cs="宋体"/>
        </w:rPr>
      </w:pPr>
      <w:r>
        <w:rPr>
          <w:rFonts w:hint="eastAsia" w:ascii="宋体" w:hAnsi="宋体" w:cs="宋体"/>
        </w:rPr>
        <w:t>评标委员会由采购人代表和评审专家组成，人数为5人以上单数，其中评审专家不得少于成员总数的三分之二。</w:t>
      </w:r>
    </w:p>
    <w:p>
      <w:pPr>
        <w:spacing w:line="360" w:lineRule="auto"/>
        <w:ind w:firstLine="420" w:firstLineChars="200"/>
        <w:rPr>
          <w:rFonts w:ascii="宋体" w:hAnsi="宋体" w:cs="宋体"/>
        </w:rPr>
      </w:pPr>
      <w:r>
        <w:rPr>
          <w:rFonts w:hint="eastAsia" w:ascii="宋体" w:hAnsi="宋体" w:cs="宋体"/>
        </w:rPr>
        <w:t>参加过采购项目前期咨询论证的专家，不得参加该采购项目的评审活动。</w:t>
      </w:r>
    </w:p>
    <w:p>
      <w:pPr>
        <w:spacing w:line="360" w:lineRule="auto"/>
        <w:ind w:firstLine="480" w:firstLineChars="200"/>
        <w:rPr>
          <w:rFonts w:ascii="宋体" w:hAnsi="宋体" w:cs="宋体"/>
          <w:sz w:val="24"/>
        </w:rPr>
      </w:pPr>
      <w:r>
        <w:rPr>
          <w:rFonts w:hint="eastAsia" w:ascii="宋体" w:hAnsi="宋体" w:cs="宋体"/>
          <w:sz w:val="24"/>
        </w:rPr>
        <w:t>27.评标的依据</w:t>
      </w:r>
    </w:p>
    <w:p>
      <w:pPr>
        <w:spacing w:line="360" w:lineRule="auto"/>
        <w:ind w:firstLine="420" w:firstLineChars="200"/>
        <w:rPr>
          <w:rFonts w:ascii="宋体" w:hAnsi="宋体" w:cs="宋体"/>
        </w:rPr>
      </w:pPr>
      <w:r>
        <w:rPr>
          <w:rFonts w:hint="eastAsia" w:ascii="宋体" w:hAnsi="宋体" w:cs="宋体"/>
        </w:rPr>
        <w:t>评标委员会以招标文件为依据对投标文件进行评审，“第四章 评标方法和评标标准”没有规定的方法、评审因素和标准，不作为评标依据。</w:t>
      </w:r>
    </w:p>
    <w:p>
      <w:pPr>
        <w:spacing w:line="360" w:lineRule="auto"/>
        <w:ind w:firstLine="480" w:firstLineChars="200"/>
        <w:rPr>
          <w:rFonts w:ascii="宋体" w:hAnsi="宋体" w:cs="宋体"/>
          <w:sz w:val="24"/>
        </w:rPr>
      </w:pPr>
      <w:r>
        <w:rPr>
          <w:rFonts w:hint="eastAsia" w:ascii="宋体" w:hAnsi="宋体" w:cs="宋体"/>
          <w:sz w:val="24"/>
        </w:rPr>
        <w:t>28.评标原则</w:t>
      </w:r>
    </w:p>
    <w:p>
      <w:pPr>
        <w:spacing w:line="360" w:lineRule="auto"/>
        <w:ind w:firstLine="420" w:firstLineChars="200"/>
        <w:rPr>
          <w:rFonts w:ascii="宋体" w:hAnsi="宋体" w:cs="宋体"/>
        </w:rPr>
      </w:pPr>
      <w:r>
        <w:rPr>
          <w:rFonts w:hint="eastAsia" w:ascii="宋体" w:hAnsi="宋体" w:cs="宋体"/>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pPr>
        <w:spacing w:line="360" w:lineRule="auto"/>
        <w:ind w:firstLine="420" w:firstLineChars="200"/>
        <w:rPr>
          <w:rFonts w:ascii="宋体" w:hAnsi="宋体" w:cs="宋体"/>
        </w:rPr>
      </w:pPr>
      <w:r>
        <w:rPr>
          <w:rFonts w:hint="eastAsia" w:ascii="宋体" w:hAnsi="宋体" w:cs="宋体"/>
        </w:rPr>
        <w:t>28.2评委表决。在评标过程中出现法律法规和招标文件均没有明确规定的情形时，由评标委员会现场协商解决，协商不一致的，由全体评委投票表决，以得票率二分之一以上专家的意见为准并由采购代理机构做记录。</w:t>
      </w:r>
      <w:bookmarkStart w:id="124" w:name="_28.3评标方法。本项目将按须知前附表规定的评标办法进行评标，具体评标"/>
      <w:bookmarkEnd w:id="124"/>
    </w:p>
    <w:p>
      <w:pPr>
        <w:spacing w:line="360" w:lineRule="auto"/>
        <w:ind w:firstLine="420" w:firstLineChars="200"/>
        <w:rPr>
          <w:rFonts w:ascii="宋体" w:hAnsi="宋体" w:cs="宋体"/>
        </w:rPr>
      </w:pPr>
      <w:r>
        <w:rPr>
          <w:rFonts w:hint="eastAsia" w:ascii="宋体" w:hAnsi="宋体" w:cs="宋体"/>
        </w:rPr>
        <w:t>28.3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pPr>
        <w:spacing w:line="360" w:lineRule="auto"/>
        <w:ind w:firstLine="420" w:firstLineChars="200"/>
        <w:rPr>
          <w:rFonts w:ascii="宋体" w:hAnsi="宋体" w:cs="宋体"/>
        </w:rPr>
      </w:pPr>
      <w:r>
        <w:rPr>
          <w:rFonts w:hint="eastAsia" w:ascii="宋体" w:hAnsi="宋体" w:cs="宋体"/>
        </w:rPr>
        <w:t>28.4评标过程的监控。本项目电子评标过程实行网上留痕、全程录音、录像监控，投标人在评标过程中所进行的试图影响评标结果的不公正活动，可能导致其投标按无效处理。</w:t>
      </w:r>
    </w:p>
    <w:p>
      <w:pPr>
        <w:spacing w:line="360" w:lineRule="auto"/>
        <w:ind w:firstLine="420" w:firstLineChars="200"/>
        <w:rPr>
          <w:rFonts w:ascii="宋体" w:hAnsi="宋体" w:cs="宋体"/>
          <w:sz w:val="24"/>
        </w:rPr>
      </w:pPr>
      <w:r>
        <w:rPr>
          <w:rFonts w:hint="eastAsia" w:ascii="宋体" w:hAnsi="宋体" w:cs="宋体"/>
        </w:rPr>
        <w:t>28.5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spacing w:line="360" w:lineRule="auto"/>
        <w:ind w:firstLine="480" w:firstLineChars="200"/>
        <w:rPr>
          <w:rFonts w:ascii="宋体" w:hAnsi="宋体" w:cs="宋体"/>
          <w:sz w:val="24"/>
        </w:rPr>
      </w:pPr>
      <w:r>
        <w:rPr>
          <w:rFonts w:hint="eastAsia" w:ascii="宋体" w:hAnsi="宋体" w:cs="宋体"/>
          <w:sz w:val="24"/>
        </w:rPr>
        <w:t>29.评标方法及评标标准</w:t>
      </w:r>
    </w:p>
    <w:p>
      <w:pPr>
        <w:spacing w:line="360" w:lineRule="auto"/>
        <w:ind w:firstLine="420" w:firstLineChars="200"/>
        <w:rPr>
          <w:rFonts w:ascii="宋体" w:hAnsi="宋体" w:cs="宋体"/>
        </w:rPr>
      </w:pPr>
      <w:r>
        <w:rPr>
          <w:rFonts w:hint="eastAsia" w:ascii="宋体" w:hAnsi="宋体" w:cs="宋体"/>
        </w:rPr>
        <w:t>29.1本项目的评标方法详见“投标人须知前附表”。</w:t>
      </w:r>
    </w:p>
    <w:p>
      <w:pPr>
        <w:spacing w:line="360" w:lineRule="auto"/>
        <w:ind w:firstLine="420" w:firstLineChars="200"/>
        <w:rPr>
          <w:rFonts w:ascii="宋体" w:hAnsi="宋体" w:cs="宋体"/>
        </w:rPr>
      </w:pPr>
      <w:r>
        <w:rPr>
          <w:rFonts w:hint="eastAsia" w:ascii="宋体" w:hAnsi="宋体" w:cs="宋体"/>
        </w:rPr>
        <w:t>29.2 评标委员会按照</w:t>
      </w:r>
      <w:r>
        <w:rPr>
          <w:rFonts w:hint="eastAsia" w:ascii="宋体" w:hAnsi="宋体" w:cs="宋体"/>
          <w:b/>
        </w:rPr>
        <w:t>“第四章 评标方法和评标标准”</w:t>
      </w:r>
      <w:r>
        <w:rPr>
          <w:rFonts w:hint="eastAsia" w:ascii="宋体" w:hAnsi="宋体" w:cs="宋体"/>
        </w:rPr>
        <w:t>规定的方法、评审因素、标准和程序对投标文件进行评审。</w:t>
      </w:r>
    </w:p>
    <w:p>
      <w:pPr>
        <w:spacing w:line="360" w:lineRule="auto"/>
        <w:ind w:firstLine="420" w:firstLineChars="200"/>
        <w:rPr>
          <w:rFonts w:ascii="宋体" w:hAnsi="宋体" w:cs="宋体"/>
        </w:rPr>
      </w:pPr>
      <w:r>
        <w:rPr>
          <w:rFonts w:hint="eastAsia" w:ascii="宋体" w:hAnsi="宋体" w:cs="宋体"/>
        </w:rPr>
        <w:t>29.3 电子交易活动的中止。采购过程中出现以下情形，导致电子交易平台无法正常运行，或者无法保证电子交易的公平、公正和安全时，采购机构可中止电子交易活动：</w:t>
      </w:r>
    </w:p>
    <w:p>
      <w:pPr>
        <w:spacing w:line="360" w:lineRule="auto"/>
        <w:ind w:firstLine="420" w:firstLineChars="200"/>
        <w:rPr>
          <w:rFonts w:ascii="宋体" w:hAnsi="宋体" w:cs="宋体"/>
        </w:rPr>
      </w:pPr>
      <w:r>
        <w:rPr>
          <w:rFonts w:hint="eastAsia" w:ascii="宋体" w:hAnsi="宋体" w:cs="宋体"/>
        </w:rPr>
        <w:t xml:space="preserve">（1）电子交易平台发生故障而无法登录访问的； </w:t>
      </w:r>
    </w:p>
    <w:p>
      <w:pPr>
        <w:spacing w:line="360" w:lineRule="auto"/>
        <w:ind w:firstLine="420" w:firstLineChars="200"/>
        <w:rPr>
          <w:rFonts w:ascii="宋体" w:hAnsi="宋体" w:cs="宋体"/>
        </w:rPr>
      </w:pPr>
      <w:r>
        <w:rPr>
          <w:rFonts w:hint="eastAsia" w:ascii="宋体" w:hAnsi="宋体" w:cs="宋体"/>
        </w:rPr>
        <w:t>（2）电子交易平台应用或数据库出现错误，不能进行正常操作的；</w:t>
      </w:r>
    </w:p>
    <w:p>
      <w:pPr>
        <w:spacing w:line="360" w:lineRule="auto"/>
        <w:ind w:firstLine="420" w:firstLineChars="200"/>
        <w:rPr>
          <w:rFonts w:ascii="宋体" w:hAnsi="宋体" w:cs="宋体"/>
        </w:rPr>
      </w:pPr>
      <w:r>
        <w:rPr>
          <w:rFonts w:hint="eastAsia" w:ascii="宋体" w:hAnsi="宋体" w:cs="宋体"/>
        </w:rPr>
        <w:t>（3）电子交易平台发现严重安全漏洞，有潜在泄密危险的；</w:t>
      </w:r>
    </w:p>
    <w:p>
      <w:pPr>
        <w:spacing w:line="360" w:lineRule="auto"/>
        <w:ind w:firstLine="420" w:firstLineChars="200"/>
        <w:rPr>
          <w:rFonts w:ascii="宋体" w:hAnsi="宋体" w:cs="宋体"/>
        </w:rPr>
      </w:pPr>
      <w:r>
        <w:rPr>
          <w:rFonts w:hint="eastAsia" w:ascii="宋体" w:hAnsi="宋体" w:cs="宋体"/>
        </w:rPr>
        <w:t xml:space="preserve">（4）病毒发作导致不能进行正常操作的； </w:t>
      </w:r>
    </w:p>
    <w:p>
      <w:pPr>
        <w:spacing w:line="360" w:lineRule="auto"/>
        <w:ind w:firstLine="420" w:firstLineChars="200"/>
        <w:rPr>
          <w:rFonts w:ascii="宋体" w:hAnsi="宋体" w:cs="宋体"/>
        </w:rPr>
      </w:pPr>
      <w:r>
        <w:rPr>
          <w:rFonts w:hint="eastAsia" w:ascii="宋体" w:hAnsi="宋体" w:cs="宋体"/>
        </w:rPr>
        <w:t>（4）其他无法保证电子交易的公平、公正和安全的情况。</w:t>
      </w:r>
    </w:p>
    <w:p>
      <w:pPr>
        <w:spacing w:line="360" w:lineRule="auto"/>
        <w:ind w:firstLine="420" w:firstLineChars="200"/>
        <w:rPr>
          <w:rFonts w:ascii="宋体" w:hAnsi="宋体" w:cs="宋体"/>
        </w:rPr>
      </w:pPr>
      <w:r>
        <w:rPr>
          <w:rFonts w:hint="eastAsia" w:ascii="宋体" w:hAnsi="宋体" w:cs="宋体"/>
        </w:rPr>
        <w:t>29.4出现以上情形，不影响采购公平、公正性的，采购组织机构可以待上述情形消除后继续组织电子交易活动；影响或可能影响采购公平、公正性的，经采购代理机构确认后，应当重新采购。采购代理机构必须对原有的资料及信息做出妥善保密处理，并报财政部门备案。</w:t>
      </w:r>
    </w:p>
    <w:p>
      <w:pPr>
        <w:pStyle w:val="12"/>
        <w:snapToGrid w:val="0"/>
        <w:spacing w:line="360" w:lineRule="auto"/>
        <w:ind w:firstLine="420" w:firstLineChars="200"/>
        <w:rPr>
          <w:rFonts w:hAnsi="宋体" w:cs="宋体"/>
        </w:rPr>
      </w:pPr>
    </w:p>
    <w:p>
      <w:pPr>
        <w:pStyle w:val="4"/>
        <w:keepNext w:val="0"/>
        <w:keepLines w:val="0"/>
        <w:rPr>
          <w:rFonts w:cs="宋体"/>
        </w:rPr>
      </w:pPr>
      <w:bookmarkStart w:id="125" w:name="_Toc254970546"/>
      <w:bookmarkStart w:id="126" w:name="_Toc254970687"/>
      <w:bookmarkStart w:id="127" w:name="_Toc8362"/>
      <w:r>
        <w:rPr>
          <w:rFonts w:hint="eastAsia" w:cs="宋体"/>
        </w:rPr>
        <w:t>七、</w:t>
      </w:r>
      <w:bookmarkEnd w:id="125"/>
      <w:bookmarkEnd w:id="126"/>
      <w:r>
        <w:rPr>
          <w:rFonts w:hint="eastAsia" w:cs="宋体"/>
        </w:rPr>
        <w:t>中标和合同</w:t>
      </w:r>
      <w:bookmarkEnd w:id="127"/>
    </w:p>
    <w:p>
      <w:pPr>
        <w:spacing w:line="360" w:lineRule="auto"/>
        <w:ind w:firstLine="480" w:firstLineChars="200"/>
        <w:rPr>
          <w:rFonts w:ascii="宋体" w:hAnsi="宋体" w:cs="宋体"/>
          <w:sz w:val="24"/>
        </w:rPr>
      </w:pPr>
      <w:r>
        <w:rPr>
          <w:rFonts w:hint="eastAsia" w:ascii="宋体" w:hAnsi="宋体" w:cs="宋体"/>
          <w:sz w:val="24"/>
        </w:rPr>
        <w:t>30.确定中标人</w:t>
      </w:r>
    </w:p>
    <w:p>
      <w:pPr>
        <w:spacing w:line="360" w:lineRule="auto"/>
        <w:ind w:firstLine="422" w:firstLineChars="200"/>
        <w:rPr>
          <w:rFonts w:ascii="宋体" w:hAnsi="宋体" w:cs="宋体"/>
          <w:b/>
          <w:bCs/>
          <w:szCs w:val="21"/>
        </w:rPr>
      </w:pPr>
      <w:r>
        <w:rPr>
          <w:rFonts w:hint="eastAsia" w:ascii="宋体" w:hAnsi="宋体" w:cs="宋体"/>
          <w:b/>
          <w:bCs/>
          <w:szCs w:val="21"/>
        </w:rPr>
        <w:t>30.1本项目授权评标委员会直接按第四章“评标方法及标准”的规定排列中标候选人顺序，并依照次序确定中标人。</w:t>
      </w:r>
    </w:p>
    <w:p>
      <w:pPr>
        <w:spacing w:line="360" w:lineRule="auto"/>
        <w:ind w:firstLine="420" w:firstLineChars="200"/>
        <w:rPr>
          <w:rFonts w:ascii="宋体" w:hAnsi="宋体" w:cs="宋体"/>
          <w:szCs w:val="21"/>
        </w:rPr>
      </w:pPr>
      <w:r>
        <w:rPr>
          <w:rFonts w:hint="eastAsia" w:ascii="宋体" w:hAnsi="宋体" w:cs="宋体"/>
          <w:szCs w:val="21"/>
        </w:rPr>
        <w:t>30.2提供相同品牌产品且通过资格审查、符合性审查的不同投标人参加同一合同项下投标的，按一家 投标人计算，采用最低评标价法则以报价最低者参与评标，采用综合评分法则以评审得分最高者获得中标人推荐资格，采用最低评标价法报价相同的或者采用综合评分法评审得分相同的，按“投标人须知前附表”规定方式确定，确定后其他同品牌投标人投标无效或不作为中标候选人。</w:t>
      </w:r>
    </w:p>
    <w:p>
      <w:pPr>
        <w:spacing w:line="360" w:lineRule="auto"/>
        <w:ind w:firstLine="420" w:firstLineChars="200"/>
        <w:rPr>
          <w:rFonts w:ascii="宋体" w:hAnsi="宋体" w:cs="宋体"/>
          <w:szCs w:val="21"/>
        </w:rPr>
      </w:pPr>
      <w:r>
        <w:rPr>
          <w:rFonts w:hint="eastAsia" w:ascii="宋体" w:hAnsi="宋体" w:cs="宋体"/>
          <w:szCs w:val="21"/>
        </w:rPr>
        <w:t>30.3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szCs w:val="21"/>
        </w:rPr>
      </w:pPr>
      <w:r>
        <w:rPr>
          <w:rFonts w:hint="eastAsia" w:ascii="宋体" w:hAnsi="宋体" w:cs="宋体"/>
          <w:szCs w:val="21"/>
        </w:rPr>
        <w:t>30.4中标人无正当理由拒签合同的，根据《中华人民共和国政府采购法》第七十七条第一款规定处理。</w:t>
      </w:r>
    </w:p>
    <w:p>
      <w:pPr>
        <w:spacing w:line="360" w:lineRule="auto"/>
        <w:ind w:firstLine="420" w:firstLineChars="200"/>
        <w:rPr>
          <w:rFonts w:ascii="宋体" w:hAnsi="宋体" w:cs="宋体"/>
          <w:szCs w:val="21"/>
        </w:rPr>
      </w:pPr>
      <w:r>
        <w:rPr>
          <w:rFonts w:hint="eastAsia" w:ascii="宋体" w:hAnsi="宋体" w:cs="宋体"/>
          <w:szCs w:val="21"/>
        </w:rPr>
        <w:t>30.5根据《中华人民共和国民法典》</w:t>
      </w:r>
      <w:r>
        <w:rPr>
          <w:rFonts w:hint="eastAsia" w:ascii="宋体" w:hAnsi="宋体" w:cs="宋体"/>
          <w:sz w:val="19"/>
          <w:szCs w:val="19"/>
        </w:rPr>
        <w:t>第五百六十三条</w:t>
      </w:r>
      <w:r>
        <w:rPr>
          <w:rFonts w:hint="eastAsia" w:ascii="宋体" w:hAnsi="宋体" w:cs="宋体"/>
          <w:szCs w:val="21"/>
        </w:rPr>
        <w:t>，因不可抗力致使不能实现合同目的的，当事人可以解除合同。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31. 结果公告</w:t>
      </w:r>
    </w:p>
    <w:p>
      <w:pPr>
        <w:spacing w:line="360" w:lineRule="auto"/>
        <w:ind w:firstLine="420" w:firstLineChars="200"/>
        <w:rPr>
          <w:rFonts w:ascii="宋体" w:hAnsi="宋体" w:cs="宋体"/>
        </w:rPr>
      </w:pPr>
      <w:r>
        <w:rPr>
          <w:rFonts w:hint="eastAsia" w:ascii="宋体" w:hAnsi="宋体" w:cs="宋体"/>
          <w:szCs w:val="21"/>
        </w:rPr>
        <w:t>31.1</w:t>
      </w:r>
      <w:r>
        <w:rPr>
          <w:rFonts w:hint="eastAsia" w:ascii="宋体" w:hAnsi="宋体" w:cs="宋体"/>
        </w:rPr>
        <w:t>在中标人确定之日起2个工作日内，由采购代理机构</w:t>
      </w:r>
      <w:r>
        <w:rPr>
          <w:rFonts w:hint="eastAsia" w:ascii="宋体" w:hAnsi="宋体" w:cs="宋体"/>
          <w:b/>
          <w:szCs w:val="21"/>
        </w:rPr>
        <w:t>在招标公告发布媒体上</w:t>
      </w:r>
      <w:r>
        <w:rPr>
          <w:rFonts w:hint="eastAsia" w:ascii="宋体" w:hAnsi="宋体" w:cs="宋体"/>
        </w:rPr>
        <w:t>发布中标结果公告，中标结果公告期限为1个工作日，发布中标结果公告的同时向中标人发出中标通知书。</w:t>
      </w:r>
      <w:r>
        <w:rPr>
          <w:rFonts w:hint="eastAsia" w:ascii="宋体" w:hAnsi="宋体" w:cs="宋体"/>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Pr>
          <w:rFonts w:hint="eastAsia" w:ascii="宋体" w:hAnsi="宋体" w:cs="宋体"/>
          <w:szCs w:val="21"/>
        </w:rPr>
        <w:t>排名第二的中标候选人因前款规定的同样原因被取消中标资格的，授权的评标委员会可以确定排名第三的中标候选人为中标人，以此类推。</w:t>
      </w:r>
    </w:p>
    <w:p>
      <w:pPr>
        <w:spacing w:line="360" w:lineRule="auto"/>
        <w:ind w:firstLine="420" w:firstLineChars="200"/>
        <w:rPr>
          <w:rFonts w:ascii="宋体" w:hAnsi="宋体" w:cs="宋体"/>
          <w:szCs w:val="21"/>
        </w:rPr>
      </w:pPr>
      <w:r>
        <w:rPr>
          <w:rFonts w:hint="eastAsia" w:ascii="宋体" w:hAnsi="宋体" w:cs="宋体"/>
          <w:szCs w:val="21"/>
        </w:rPr>
        <w:t>以上信息查询记录及相关证据与采购文件一并保存。</w:t>
      </w:r>
    </w:p>
    <w:p>
      <w:pPr>
        <w:spacing w:line="360" w:lineRule="auto"/>
        <w:ind w:firstLine="420" w:firstLineChars="200"/>
        <w:rPr>
          <w:rFonts w:ascii="宋体" w:hAnsi="宋体" w:cs="宋体"/>
          <w:szCs w:val="21"/>
        </w:rPr>
      </w:pPr>
      <w:r>
        <w:rPr>
          <w:rFonts w:hint="eastAsia" w:ascii="宋体" w:hAnsi="宋体" w:cs="宋体"/>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pPr>
        <w:spacing w:line="360" w:lineRule="auto"/>
        <w:ind w:firstLine="480" w:firstLineChars="200"/>
        <w:rPr>
          <w:rFonts w:ascii="宋体" w:hAnsi="宋体" w:cs="宋体"/>
          <w:sz w:val="24"/>
        </w:rPr>
      </w:pPr>
      <w:r>
        <w:rPr>
          <w:rFonts w:hint="eastAsia" w:ascii="宋体" w:hAnsi="宋体" w:cs="宋体"/>
          <w:sz w:val="24"/>
        </w:rPr>
        <w:t>32.发出中标通知书</w:t>
      </w:r>
    </w:p>
    <w:p>
      <w:pPr>
        <w:spacing w:line="360" w:lineRule="auto"/>
        <w:ind w:firstLine="422" w:firstLineChars="200"/>
        <w:rPr>
          <w:rFonts w:ascii="宋体" w:hAnsi="宋体" w:cs="宋体"/>
          <w:b/>
          <w:szCs w:val="21"/>
        </w:rPr>
      </w:pPr>
      <w:r>
        <w:rPr>
          <w:rFonts w:hint="eastAsia" w:ascii="宋体" w:hAnsi="宋体" w:cs="宋体"/>
          <w:b/>
          <w:szCs w:val="21"/>
        </w:rPr>
        <w:t>32.1在发布中标公告的同时，采购代理机构向中标人通过“政采云”平台发出电子中标通知书。</w:t>
      </w:r>
    </w:p>
    <w:p>
      <w:pPr>
        <w:spacing w:line="360" w:lineRule="auto"/>
        <w:ind w:firstLine="422" w:firstLineChars="200"/>
        <w:rPr>
          <w:rFonts w:ascii="宋体" w:hAnsi="宋体" w:cs="宋体"/>
          <w:b/>
          <w:szCs w:val="21"/>
        </w:rPr>
      </w:pPr>
      <w:r>
        <w:rPr>
          <w:rFonts w:hint="eastAsia" w:ascii="宋体" w:hAnsi="宋体" w:cs="宋体"/>
          <w:b/>
          <w:szCs w:val="21"/>
        </w:rPr>
        <w:t>32.2对未通过资格审查的投标人，采购人或采购机构应当告知其未通过的原因；采用综合评分办法评审的，采购人或采购机构还应当告知未中标人本人的评审得分与排序。</w:t>
      </w:r>
    </w:p>
    <w:p>
      <w:pPr>
        <w:spacing w:line="360" w:lineRule="auto"/>
        <w:ind w:firstLine="480" w:firstLineChars="200"/>
        <w:rPr>
          <w:rFonts w:ascii="宋体" w:hAnsi="宋体" w:cs="宋体"/>
          <w:sz w:val="24"/>
        </w:rPr>
      </w:pPr>
      <w:r>
        <w:rPr>
          <w:rFonts w:hint="eastAsia" w:ascii="宋体" w:hAnsi="宋体" w:cs="宋体"/>
          <w:sz w:val="24"/>
        </w:rPr>
        <w:t>33. 无义务解释未中标原因</w:t>
      </w:r>
    </w:p>
    <w:p>
      <w:pPr>
        <w:spacing w:line="360" w:lineRule="auto"/>
        <w:ind w:firstLine="422" w:firstLineChars="200"/>
        <w:rPr>
          <w:rFonts w:ascii="宋体" w:hAnsi="宋体" w:cs="宋体"/>
          <w:b/>
          <w:szCs w:val="21"/>
        </w:rPr>
      </w:pPr>
      <w:r>
        <w:rPr>
          <w:rFonts w:hint="eastAsia" w:ascii="宋体" w:hAnsi="宋体" w:cs="宋体"/>
          <w:b/>
          <w:szCs w:val="21"/>
        </w:rPr>
        <w:t>采购代理机构无义务向未中标的投标人解释未中标原因和退还投标文件。</w:t>
      </w:r>
    </w:p>
    <w:p>
      <w:pPr>
        <w:spacing w:line="360" w:lineRule="auto"/>
        <w:ind w:firstLine="480" w:firstLineChars="200"/>
        <w:rPr>
          <w:rFonts w:ascii="宋体" w:hAnsi="宋体" w:cs="宋体"/>
          <w:sz w:val="24"/>
        </w:rPr>
      </w:pPr>
      <w:r>
        <w:rPr>
          <w:rFonts w:hint="eastAsia" w:ascii="宋体" w:hAnsi="宋体" w:cs="宋体"/>
          <w:sz w:val="24"/>
        </w:rPr>
        <w:t>34.合同授予标准</w:t>
      </w:r>
    </w:p>
    <w:p>
      <w:pPr>
        <w:spacing w:line="360" w:lineRule="auto"/>
        <w:ind w:firstLine="420" w:firstLineChars="200"/>
        <w:rPr>
          <w:rFonts w:ascii="宋体" w:hAnsi="宋体" w:cs="宋体"/>
          <w:szCs w:val="21"/>
        </w:rPr>
      </w:pPr>
      <w:r>
        <w:rPr>
          <w:rFonts w:hint="eastAsia" w:ascii="宋体" w:hAnsi="宋体" w:cs="宋体"/>
          <w:szCs w:val="21"/>
        </w:rPr>
        <w:t>合同将授予被确定实质上响应招标文件要求，具备履行合同能力的中标人（招标文件另有约定多名中标人的除外）。</w:t>
      </w:r>
    </w:p>
    <w:p>
      <w:pPr>
        <w:spacing w:line="360" w:lineRule="auto"/>
        <w:ind w:firstLine="480" w:firstLineChars="200"/>
        <w:rPr>
          <w:rFonts w:ascii="宋体" w:hAnsi="宋体" w:cs="宋体"/>
          <w:sz w:val="24"/>
        </w:rPr>
      </w:pPr>
      <w:r>
        <w:rPr>
          <w:rFonts w:hint="eastAsia" w:ascii="宋体" w:hAnsi="宋体" w:cs="宋体"/>
          <w:sz w:val="24"/>
        </w:rPr>
        <w:t>35.履约保证金</w:t>
      </w:r>
    </w:p>
    <w:p>
      <w:pPr>
        <w:spacing w:line="360" w:lineRule="auto"/>
        <w:ind w:firstLine="420" w:firstLineChars="200"/>
        <w:rPr>
          <w:rFonts w:ascii="宋体" w:hAnsi="宋体" w:cs="宋体"/>
          <w:szCs w:val="21"/>
        </w:rPr>
      </w:pPr>
      <w:bookmarkStart w:id="128" w:name="_39.1中标人须于签订合同前按本须知前附表规定的金额转账或电汇到指定账"/>
      <w:bookmarkEnd w:id="128"/>
      <w:r>
        <w:rPr>
          <w:rFonts w:hint="eastAsia" w:ascii="宋体" w:hAnsi="宋体" w:cs="宋体"/>
          <w:szCs w:val="21"/>
        </w:rPr>
        <w:t>见“投标人须知前附表”。</w:t>
      </w:r>
    </w:p>
    <w:p>
      <w:pPr>
        <w:spacing w:line="360" w:lineRule="auto"/>
        <w:ind w:firstLine="480" w:firstLineChars="200"/>
        <w:rPr>
          <w:rFonts w:ascii="宋体" w:hAnsi="宋体" w:cs="宋体"/>
          <w:sz w:val="24"/>
        </w:rPr>
      </w:pPr>
      <w:r>
        <w:rPr>
          <w:rFonts w:hint="eastAsia" w:ascii="宋体" w:hAnsi="宋体" w:cs="宋体"/>
          <w:sz w:val="24"/>
        </w:rPr>
        <w:t>36.签订合同</w:t>
      </w:r>
    </w:p>
    <w:p>
      <w:pPr>
        <w:pStyle w:val="32"/>
        <w:snapToGrid w:val="0"/>
        <w:spacing w:before="0"/>
        <w:ind w:firstLine="422"/>
        <w:rPr>
          <w:rFonts w:ascii="宋体" w:hAnsi="宋体" w:cs="宋体"/>
          <w:kern w:val="0"/>
          <w:sz w:val="21"/>
          <w:szCs w:val="21"/>
          <w:lang w:val="zh-CN"/>
        </w:rPr>
      </w:pPr>
      <w:bookmarkStart w:id="129" w:name="_40.1投标人接到中标通知书后，按须知前附表规定向采购人出示相关资格证"/>
      <w:bookmarkEnd w:id="129"/>
      <w:r>
        <w:rPr>
          <w:rFonts w:hint="eastAsia" w:ascii="宋体" w:hAnsi="宋体" w:cs="宋体"/>
          <w:b/>
          <w:sz w:val="21"/>
          <w:szCs w:val="21"/>
        </w:rPr>
        <w:t xml:space="preserve"> 36.1中标人领取电子中标通知书后，</w:t>
      </w:r>
      <w:r>
        <w:rPr>
          <w:rFonts w:hint="eastAsia" w:ascii="宋体" w:hAnsi="宋体" w:cs="宋体"/>
          <w:kern w:val="0"/>
          <w:sz w:val="21"/>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pPr>
        <w:pStyle w:val="32"/>
        <w:snapToGrid w:val="0"/>
        <w:spacing w:before="0"/>
        <w:ind w:firstLine="420"/>
        <w:rPr>
          <w:rFonts w:ascii="宋体" w:hAnsi="宋体" w:cs="宋体"/>
          <w:kern w:val="0"/>
          <w:sz w:val="21"/>
          <w:szCs w:val="21"/>
          <w:lang w:val="zh-CN"/>
        </w:rPr>
      </w:pPr>
      <w:r>
        <w:rPr>
          <w:rFonts w:hint="eastAsia" w:ascii="宋体" w:hAnsi="宋体" w:cs="宋体"/>
          <w:kern w:val="0"/>
          <w:sz w:val="21"/>
          <w:szCs w:val="21"/>
          <w:lang w:val="zh-CN"/>
        </w:rPr>
        <w:t>36.2</w:t>
      </w:r>
      <w:r>
        <w:rPr>
          <w:rFonts w:hint="eastAsia" w:ascii="宋体" w:hAnsi="宋体" w:cs="宋体"/>
          <w:sz w:val="21"/>
          <w:szCs w:val="21"/>
        </w:rPr>
        <w:t>采购合同由采购人与中标人根据招标文件、投标文件等内容通过政府采购电子交易平台在线签订，自动备案。</w:t>
      </w:r>
    </w:p>
    <w:p>
      <w:pPr>
        <w:pStyle w:val="32"/>
        <w:snapToGrid w:val="0"/>
        <w:spacing w:before="0"/>
        <w:ind w:firstLine="420"/>
        <w:rPr>
          <w:rFonts w:ascii="宋体" w:hAnsi="宋体" w:cs="宋体"/>
          <w:sz w:val="21"/>
          <w:szCs w:val="21"/>
        </w:rPr>
      </w:pPr>
      <w:r>
        <w:rPr>
          <w:rFonts w:hint="eastAsia" w:ascii="宋体" w:hAnsi="宋体" w:cs="宋体"/>
          <w:sz w:val="21"/>
          <w:szCs w:val="21"/>
        </w:rPr>
        <w:t>36.3签订合同时间：按中标通知书规定的时间与采购人签订合同（最长不能超过25日）。</w:t>
      </w:r>
    </w:p>
    <w:p>
      <w:pPr>
        <w:spacing w:line="360" w:lineRule="auto"/>
        <w:ind w:firstLine="420" w:firstLineChars="200"/>
        <w:rPr>
          <w:rFonts w:ascii="宋体" w:hAnsi="宋体" w:cs="宋体"/>
          <w:szCs w:val="21"/>
        </w:rPr>
      </w:pPr>
      <w:r>
        <w:rPr>
          <w:rFonts w:hint="eastAsia" w:ascii="宋体" w:hAnsi="宋体" w:cs="宋体"/>
          <w:szCs w:val="21"/>
        </w:rPr>
        <w:t>36.4中标人拒绝与采购人签订合同的，采购人可以按照评审报告推荐的中标候选人名单排序，确定下一候选人为中标人，也可以重新开展政府采购活动。如采购人无正当理由拒签合同的，给中标人造成损失的，中标人可追究采购人承担相应的法律责任。</w:t>
      </w:r>
    </w:p>
    <w:p>
      <w:pPr>
        <w:spacing w:line="360" w:lineRule="auto"/>
        <w:ind w:firstLine="420" w:firstLineChars="200"/>
        <w:rPr>
          <w:rFonts w:ascii="宋体" w:hAnsi="宋体" w:cs="宋体"/>
          <w:szCs w:val="21"/>
        </w:rPr>
      </w:pPr>
      <w:r>
        <w:rPr>
          <w:rFonts w:hint="eastAsia" w:ascii="宋体" w:hAnsi="宋体" w:cs="宋体"/>
          <w:szCs w:val="21"/>
        </w:rPr>
        <w:t>36.5政府采购合同是政府采购项目验收的依据，中标人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pPr>
        <w:spacing w:line="360" w:lineRule="auto"/>
        <w:ind w:firstLine="420" w:firstLineChars="200"/>
        <w:rPr>
          <w:rFonts w:ascii="宋体" w:hAnsi="宋体" w:cs="宋体"/>
          <w:szCs w:val="21"/>
        </w:rPr>
      </w:pPr>
      <w:r>
        <w:rPr>
          <w:rFonts w:hint="eastAsia" w:ascii="宋体" w:hAnsi="宋体" w:cs="宋体"/>
          <w:szCs w:val="21"/>
        </w:rPr>
        <w:t>36.6采购人或中标人不得单方面向合同另一方提出任何招标文件没有约定的条件或不合理的要求，作为签订合同的条件；也不得协商另行订立背离招标文件和合同实质性内容的协议。</w:t>
      </w:r>
    </w:p>
    <w:p>
      <w:pPr>
        <w:spacing w:line="360" w:lineRule="auto"/>
        <w:ind w:firstLine="420" w:firstLineChars="200"/>
        <w:rPr>
          <w:rFonts w:ascii="宋体" w:hAnsi="宋体" w:cs="宋体"/>
          <w:szCs w:val="21"/>
        </w:rPr>
      </w:pPr>
      <w:r>
        <w:rPr>
          <w:rFonts w:hint="eastAsia" w:ascii="宋体" w:hAnsi="宋体" w:cs="宋体"/>
          <w:szCs w:val="21"/>
        </w:rPr>
        <w:t>36.7如签订合同并生效后，供应商无故拒绝或延期，除按照合同条款处理外，将承担相应的法律责任。</w:t>
      </w:r>
    </w:p>
    <w:p>
      <w:pPr>
        <w:spacing w:line="360" w:lineRule="auto"/>
        <w:ind w:firstLine="422" w:firstLineChars="200"/>
        <w:rPr>
          <w:rFonts w:ascii="宋体" w:hAnsi="宋体" w:cs="宋体"/>
          <w:b/>
          <w:szCs w:val="21"/>
        </w:rPr>
      </w:pPr>
      <w:r>
        <w:rPr>
          <w:rFonts w:hint="eastAsia" w:ascii="宋体" w:hAnsi="宋体" w:cs="宋体"/>
          <w:b/>
          <w:szCs w:val="21"/>
        </w:rPr>
        <w:t>36.8采购人需追加与合同标的相同的货物或者服务的，在不改变原合同条款且已报财政部门批准落实资金的前提下，可从原中标人处添购， 所签订的补充添置合同的采购资金总额不超过原采购合同金额的10%。</w:t>
      </w:r>
    </w:p>
    <w:p>
      <w:pPr>
        <w:spacing w:line="360" w:lineRule="auto"/>
        <w:ind w:firstLine="480" w:firstLineChars="200"/>
        <w:rPr>
          <w:rFonts w:ascii="宋体" w:hAnsi="宋体" w:cs="宋体"/>
          <w:sz w:val="24"/>
        </w:rPr>
      </w:pPr>
      <w:bookmarkStart w:id="130" w:name="_41.政府采购合同公告"/>
      <w:bookmarkEnd w:id="130"/>
      <w:r>
        <w:rPr>
          <w:rFonts w:hint="eastAsia" w:ascii="宋体" w:hAnsi="宋体" w:cs="宋体"/>
          <w:sz w:val="24"/>
        </w:rPr>
        <w:t>37.政府采购合同公告</w:t>
      </w:r>
    </w:p>
    <w:p>
      <w:pPr>
        <w:spacing w:line="360" w:lineRule="auto"/>
        <w:ind w:firstLine="420" w:firstLineChars="200"/>
        <w:rPr>
          <w:rFonts w:ascii="宋体" w:hAnsi="宋体" w:cs="宋体"/>
        </w:rPr>
      </w:pPr>
      <w:r>
        <w:rPr>
          <w:rFonts w:hint="eastAsia" w:ascii="宋体" w:hAnsi="宋体" w:cs="宋体"/>
        </w:rPr>
        <w:t>采购人或者受托采购代理机构应当自政府采购合同签订之日起2个工作日内，将政府采购合同</w:t>
      </w:r>
      <w:r>
        <w:rPr>
          <w:rFonts w:hint="eastAsia" w:ascii="宋体" w:hAnsi="宋体" w:cs="宋体"/>
          <w:bCs/>
        </w:rPr>
        <w:t>在以下媒体上发布</w:t>
      </w:r>
      <w:r>
        <w:rPr>
          <w:rFonts w:hint="eastAsia" w:ascii="宋体" w:hAnsi="宋体" w:cs="宋体"/>
          <w:kern w:val="0"/>
          <w:szCs w:val="21"/>
        </w:rPr>
        <w:t xml:space="preserve"> “广西政府采购网”（http://zfcg.gxzf.gov.cn）</w:t>
      </w:r>
      <w:r>
        <w:rPr>
          <w:rFonts w:hint="eastAsia" w:ascii="宋体" w:hAnsi="宋体" w:cs="宋体"/>
        </w:rPr>
        <w:t>上公告，但政府采购合同中涉及国家秘密、商业秘密的内容除外。</w:t>
      </w:r>
    </w:p>
    <w:p>
      <w:pPr>
        <w:spacing w:line="360" w:lineRule="auto"/>
        <w:ind w:firstLine="480" w:firstLineChars="200"/>
        <w:rPr>
          <w:rFonts w:ascii="宋体" w:hAnsi="宋体" w:cs="宋体"/>
          <w:sz w:val="24"/>
        </w:rPr>
      </w:pPr>
      <w:r>
        <w:rPr>
          <w:rFonts w:hint="eastAsia" w:ascii="宋体" w:hAnsi="宋体" w:cs="宋体"/>
          <w:sz w:val="24"/>
        </w:rPr>
        <w:t>38. 询问、质疑和投诉</w:t>
      </w:r>
    </w:p>
    <w:p>
      <w:pPr>
        <w:spacing w:line="360" w:lineRule="auto"/>
        <w:ind w:firstLine="422" w:firstLineChars="200"/>
        <w:rPr>
          <w:rFonts w:ascii="宋体" w:hAnsi="宋体" w:cs="宋体"/>
          <w:b/>
          <w:szCs w:val="21"/>
        </w:rPr>
      </w:pPr>
      <w:r>
        <w:rPr>
          <w:rFonts w:hint="eastAsia" w:ascii="宋体" w:hAnsi="宋体" w:cs="宋体"/>
          <w:b/>
          <w:szCs w:val="21"/>
        </w:rPr>
        <w:t>38.1询问</w:t>
      </w:r>
    </w:p>
    <w:p>
      <w:pPr>
        <w:spacing w:line="360" w:lineRule="auto"/>
        <w:ind w:firstLine="420" w:firstLineChars="200"/>
        <w:rPr>
          <w:rFonts w:ascii="宋体" w:hAnsi="宋体" w:cs="宋体"/>
          <w:bCs/>
          <w:szCs w:val="21"/>
        </w:rPr>
      </w:pPr>
      <w:r>
        <w:rPr>
          <w:rFonts w:hint="eastAsia" w:ascii="宋体" w:hAnsi="宋体" w:cs="宋体"/>
          <w:bCs/>
          <w:szCs w:val="21"/>
        </w:rPr>
        <w:t>38.1.1供应商在开标前对政府采购活动事项有疑问的，可以向采购人或采购代理机构项目负责人提出询问。</w:t>
      </w:r>
    </w:p>
    <w:p>
      <w:pPr>
        <w:spacing w:line="360" w:lineRule="auto"/>
        <w:ind w:firstLine="420" w:firstLineChars="200"/>
        <w:rPr>
          <w:rFonts w:ascii="宋体" w:hAnsi="宋体" w:cs="宋体"/>
          <w:bCs/>
          <w:szCs w:val="21"/>
        </w:rPr>
      </w:pPr>
      <w:r>
        <w:rPr>
          <w:rFonts w:hint="eastAsia" w:ascii="宋体" w:hAnsi="宋体" w:cs="宋体"/>
          <w:bCs/>
          <w:szCs w:val="21"/>
        </w:rPr>
        <w:t>38.1.2采购人或采购人委托的采购代理机构自受理询问之日起3个工作日内对供应商依法提出的询问作出答复，</w:t>
      </w:r>
      <w:r>
        <w:rPr>
          <w:rFonts w:hint="eastAsia" w:ascii="宋体" w:hAnsi="宋体" w:cs="宋体"/>
        </w:rPr>
        <w:t>但答复内容不得涉及商业秘密</w:t>
      </w:r>
      <w:r>
        <w:rPr>
          <w:rFonts w:hint="eastAsia" w:ascii="宋体" w:hAnsi="宋体" w:cs="宋体"/>
          <w:bCs/>
          <w:szCs w:val="21"/>
        </w:rPr>
        <w:t>。</w:t>
      </w:r>
    </w:p>
    <w:p>
      <w:pPr>
        <w:spacing w:line="360" w:lineRule="auto"/>
        <w:ind w:firstLine="420" w:firstLineChars="200"/>
        <w:rPr>
          <w:rFonts w:ascii="宋体" w:hAnsi="宋体" w:cs="宋体"/>
          <w:bCs/>
          <w:szCs w:val="21"/>
        </w:rPr>
      </w:pPr>
      <w:r>
        <w:rPr>
          <w:rFonts w:hint="eastAsia" w:ascii="宋体" w:hAnsi="宋体" w:cs="宋体"/>
          <w:bCs/>
          <w:szCs w:val="21"/>
        </w:rPr>
        <w:t>38.1.3 询问事项可能影响中标、成交结果的，采购人应当暂停签订合同，已经签订合同的，应当中止履行合同。</w:t>
      </w:r>
    </w:p>
    <w:p>
      <w:pPr>
        <w:spacing w:line="360" w:lineRule="auto"/>
        <w:ind w:firstLine="422" w:firstLineChars="200"/>
        <w:rPr>
          <w:rFonts w:ascii="宋体" w:hAnsi="宋体" w:cs="宋体"/>
          <w:szCs w:val="21"/>
        </w:rPr>
      </w:pPr>
      <w:r>
        <w:rPr>
          <w:rFonts w:hint="eastAsia" w:ascii="宋体" w:hAnsi="宋体" w:cs="宋体"/>
          <w:b/>
          <w:szCs w:val="21"/>
        </w:rPr>
        <w:t xml:space="preserve"> </w:t>
      </w:r>
      <w:r>
        <w:rPr>
          <w:rFonts w:hint="eastAsia" w:ascii="宋体" w:hAnsi="宋体" w:cs="宋体"/>
          <w:szCs w:val="21"/>
        </w:rPr>
        <w:t>38.2质疑</w:t>
      </w:r>
    </w:p>
    <w:p>
      <w:pPr>
        <w:spacing w:line="360" w:lineRule="auto"/>
        <w:ind w:firstLine="420" w:firstLineChars="200"/>
        <w:rPr>
          <w:rFonts w:ascii="宋体" w:hAnsi="宋体" w:cs="宋体"/>
          <w:b/>
          <w:szCs w:val="21"/>
        </w:rPr>
      </w:pPr>
      <w:r>
        <w:rPr>
          <w:rFonts w:hint="eastAsia" w:ascii="宋体" w:hAnsi="宋体" w:cs="宋体"/>
          <w:szCs w:val="21"/>
        </w:rPr>
        <w:t>38.2.1</w:t>
      </w:r>
      <w:r>
        <w:rPr>
          <w:rFonts w:hint="eastAsia" w:ascii="宋体" w:hAnsi="宋体" w:cs="宋体"/>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pPr>
        <w:spacing w:line="360" w:lineRule="auto"/>
        <w:ind w:firstLine="420" w:firstLineChars="200"/>
        <w:rPr>
          <w:rFonts w:ascii="宋体" w:hAnsi="宋体" w:cs="宋体"/>
          <w:bCs/>
        </w:rPr>
      </w:pPr>
      <w:r>
        <w:rPr>
          <w:rFonts w:hint="eastAsia" w:ascii="宋体" w:hAnsi="宋体" w:cs="宋体"/>
          <w:bCs/>
        </w:rPr>
        <w:t>（1）潜在供应商依法获取公开招标文件后，认为采购文件使自己的权益受到损害的，应当在公开招标文件公告期限届满之日起7个工作日内提出质疑。</w:t>
      </w:r>
      <w:r>
        <w:rPr>
          <w:rFonts w:hint="eastAsia" w:ascii="宋体" w:hAnsi="宋体" w:cs="宋体"/>
        </w:rPr>
        <w:t>委托代理协议无特殊约定的，</w:t>
      </w:r>
      <w:r>
        <w:rPr>
          <w:rFonts w:hint="eastAsia" w:ascii="宋体" w:hAnsi="宋体" w:cs="宋体"/>
          <w:bCs/>
        </w:rPr>
        <w:t>对公开招标文件中采购需求（含资格要求、采购预算和评分办法）的质疑由采购人受理并负责答复；对公开招标文件中的采购执行程序的质疑由采购代理机构受理并负责答复。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pPr>
        <w:spacing w:line="360" w:lineRule="auto"/>
        <w:ind w:firstLine="420" w:firstLineChars="200"/>
        <w:rPr>
          <w:rFonts w:ascii="宋体" w:hAnsi="宋体" w:cs="宋体"/>
          <w:bCs/>
        </w:rPr>
      </w:pPr>
      <w:r>
        <w:rPr>
          <w:rFonts w:hint="eastAsia" w:ascii="宋体" w:hAnsi="宋体" w:cs="宋体"/>
          <w:bCs/>
        </w:rPr>
        <w:t>（3）供应商认为中标或者成交结果使自己的权益受到损害的，应当在中标或者成交结果公告期限届满之日起7个工作日内提出质疑，由采购人受理并负责答复。</w:t>
      </w:r>
    </w:p>
    <w:p>
      <w:pPr>
        <w:spacing w:line="360" w:lineRule="auto"/>
        <w:ind w:firstLine="422" w:firstLineChars="200"/>
        <w:rPr>
          <w:rFonts w:ascii="宋体" w:hAnsi="宋体" w:cs="宋体"/>
          <w:bCs/>
          <w:szCs w:val="21"/>
        </w:rPr>
      </w:pPr>
      <w:r>
        <w:rPr>
          <w:rFonts w:hint="eastAsia" w:ascii="宋体" w:hAnsi="宋体" w:cs="宋体"/>
          <w:b/>
          <w:bCs/>
          <w:szCs w:val="21"/>
        </w:rPr>
        <w:t>38.2.2</w:t>
      </w:r>
      <w:r>
        <w:rPr>
          <w:rFonts w:hint="eastAsia" w:ascii="宋体" w:hAnsi="宋体" w:cs="宋体"/>
          <w:bCs/>
          <w:szCs w:val="21"/>
        </w:rPr>
        <w:t>供应商质疑实行实名制，其质疑应当有具体的质疑事项及事实根据，质疑应当坚持依法依规、诚实信用原则，不得进行虚假、恶意质疑。</w:t>
      </w:r>
    </w:p>
    <w:p>
      <w:pPr>
        <w:spacing w:line="360" w:lineRule="auto"/>
        <w:ind w:firstLine="422" w:firstLineChars="200"/>
        <w:rPr>
          <w:rFonts w:ascii="宋体" w:hAnsi="宋体" w:cs="宋体"/>
          <w:bCs/>
        </w:rPr>
      </w:pPr>
      <w:r>
        <w:rPr>
          <w:rFonts w:hint="eastAsia" w:ascii="宋体" w:hAnsi="宋体" w:cs="宋体"/>
          <w:b/>
          <w:bCs/>
        </w:rPr>
        <w:t>38.2.3</w:t>
      </w:r>
      <w:r>
        <w:rPr>
          <w:rFonts w:hint="eastAsia" w:ascii="宋体" w:hAnsi="宋体" w:cs="宋体"/>
          <w:bCs/>
        </w:rPr>
        <w:t xml:space="preserve"> 质疑供应商可以委托代理人办理质疑事务。委托代理人应熟悉相关业务情况。代理人办理质疑事务时，除提交质疑书外，还应当提交质疑供应商的授权委托书和委托代理人身份证明复印件</w:t>
      </w:r>
      <w:r>
        <w:rPr>
          <w:rFonts w:hint="eastAsia" w:ascii="宋体" w:hAnsi="宋体" w:cs="宋体"/>
        </w:rPr>
        <w:t>。</w:t>
      </w:r>
    </w:p>
    <w:p>
      <w:pPr>
        <w:spacing w:line="360" w:lineRule="auto"/>
        <w:ind w:firstLine="422" w:firstLineChars="200"/>
        <w:rPr>
          <w:rFonts w:ascii="宋体" w:hAnsi="宋体" w:cs="宋体"/>
          <w:b/>
          <w:bCs/>
        </w:rPr>
      </w:pPr>
      <w:r>
        <w:rPr>
          <w:rFonts w:hint="eastAsia" w:ascii="宋体" w:hAnsi="宋体" w:cs="宋体"/>
          <w:b/>
          <w:bCs/>
        </w:rPr>
        <w:t>38.2.4 质疑供应商提起质疑应当符合下列条件：</w:t>
      </w:r>
    </w:p>
    <w:p>
      <w:pPr>
        <w:spacing w:line="360" w:lineRule="auto"/>
        <w:ind w:firstLine="420" w:firstLineChars="200"/>
        <w:rPr>
          <w:rFonts w:ascii="宋体" w:hAnsi="宋体" w:cs="宋体"/>
          <w:bCs/>
        </w:rPr>
      </w:pPr>
      <w:r>
        <w:rPr>
          <w:rFonts w:hint="eastAsia" w:ascii="宋体" w:hAnsi="宋体" w:cs="宋体"/>
          <w:bCs/>
        </w:rPr>
        <w:t>（1）质疑供应商是参与所质疑</w:t>
      </w:r>
      <w:r>
        <w:rPr>
          <w:rFonts w:hint="eastAsia" w:ascii="宋体" w:hAnsi="宋体" w:cs="宋体"/>
          <w:bCs/>
          <w:szCs w:val="21"/>
        </w:rPr>
        <w:t>项目</w:t>
      </w:r>
      <w:r>
        <w:rPr>
          <w:rFonts w:hint="eastAsia" w:ascii="宋体" w:hAnsi="宋体" w:cs="宋体"/>
          <w:bCs/>
        </w:rPr>
        <w:t>采购活动的供应商（潜在供应商已依法获取可质疑的采购文件的，可以对该采购文件质疑）；</w:t>
      </w:r>
    </w:p>
    <w:p>
      <w:pPr>
        <w:spacing w:line="360" w:lineRule="auto"/>
        <w:ind w:firstLine="420" w:firstLineChars="200"/>
        <w:rPr>
          <w:rFonts w:ascii="宋体" w:hAnsi="宋体" w:cs="宋体"/>
          <w:bCs/>
        </w:rPr>
      </w:pPr>
      <w:r>
        <w:rPr>
          <w:rFonts w:hint="eastAsia" w:ascii="宋体" w:hAnsi="宋体" w:cs="宋体"/>
          <w:bCs/>
        </w:rPr>
        <w:t>（2）质疑函内容符合本章第38.2.5项的规定；</w:t>
      </w:r>
    </w:p>
    <w:p>
      <w:pPr>
        <w:spacing w:line="360" w:lineRule="auto"/>
        <w:ind w:firstLine="420" w:firstLineChars="200"/>
        <w:rPr>
          <w:rFonts w:ascii="宋体" w:hAnsi="宋体" w:cs="宋体"/>
          <w:bCs/>
        </w:rPr>
      </w:pPr>
      <w:r>
        <w:rPr>
          <w:rFonts w:hint="eastAsia" w:ascii="宋体" w:hAnsi="宋体" w:cs="宋体"/>
          <w:bCs/>
        </w:rPr>
        <w:t>（3）在质疑有效期限内提起质疑；</w:t>
      </w:r>
    </w:p>
    <w:p>
      <w:pPr>
        <w:spacing w:line="360" w:lineRule="auto"/>
        <w:ind w:firstLine="420" w:firstLineChars="200"/>
        <w:rPr>
          <w:rFonts w:ascii="宋体" w:hAnsi="宋体" w:cs="宋体"/>
          <w:bCs/>
        </w:rPr>
      </w:pPr>
      <w:r>
        <w:rPr>
          <w:rFonts w:hint="eastAsia" w:ascii="宋体" w:hAnsi="宋体" w:cs="宋体"/>
          <w:bCs/>
        </w:rPr>
        <w:t>（4）属于所质疑的采购人或采购人委托的采购代理机构组织的采购活动；</w:t>
      </w:r>
    </w:p>
    <w:p>
      <w:pPr>
        <w:spacing w:line="360" w:lineRule="auto"/>
        <w:ind w:firstLine="420" w:firstLineChars="200"/>
        <w:rPr>
          <w:rFonts w:ascii="宋体" w:hAnsi="宋体" w:cs="宋体"/>
          <w:bCs/>
        </w:rPr>
      </w:pPr>
      <w:r>
        <w:rPr>
          <w:rFonts w:hint="eastAsia" w:ascii="宋体" w:hAnsi="宋体" w:cs="宋体"/>
          <w:bCs/>
        </w:rPr>
        <w:t xml:space="preserve">（5）同一质疑事项未经采购人或采购人委托的采购代理机构质疑处理； </w:t>
      </w:r>
    </w:p>
    <w:p>
      <w:pPr>
        <w:spacing w:line="360" w:lineRule="auto"/>
        <w:ind w:firstLine="420" w:firstLineChars="200"/>
        <w:rPr>
          <w:rFonts w:ascii="宋体" w:hAnsi="宋体" w:cs="宋体"/>
          <w:bCs/>
        </w:rPr>
      </w:pPr>
      <w:r>
        <w:rPr>
          <w:rFonts w:hint="eastAsia" w:ascii="宋体" w:hAnsi="宋体" w:cs="宋体"/>
          <w:bCs/>
        </w:rPr>
        <w:t>（6）供应商对同一采购程序环节的质疑应当在质疑有效期内一次性提出；</w:t>
      </w:r>
    </w:p>
    <w:p>
      <w:pPr>
        <w:spacing w:line="360" w:lineRule="auto"/>
        <w:ind w:firstLine="420" w:firstLineChars="200"/>
        <w:rPr>
          <w:rFonts w:ascii="宋体" w:hAnsi="宋体" w:cs="宋体"/>
          <w:bCs/>
        </w:rPr>
      </w:pPr>
      <w:r>
        <w:rPr>
          <w:rFonts w:hint="eastAsia" w:ascii="宋体" w:hAnsi="宋体" w:cs="宋体"/>
          <w:bCs/>
        </w:rPr>
        <w:t>（7）供应商提交质疑应当提交必要的证明材料，证明材料应以合法手段取得；</w:t>
      </w:r>
    </w:p>
    <w:p>
      <w:pPr>
        <w:spacing w:line="360" w:lineRule="auto"/>
        <w:ind w:firstLine="420" w:firstLineChars="200"/>
        <w:rPr>
          <w:rFonts w:ascii="宋体" w:hAnsi="宋体" w:cs="宋体"/>
        </w:rPr>
      </w:pPr>
      <w:r>
        <w:rPr>
          <w:rFonts w:hint="eastAsia" w:ascii="宋体" w:hAnsi="宋体" w:cs="宋体"/>
          <w:bCs/>
        </w:rPr>
        <w:t>（8）财政部门规定的其他条件。</w:t>
      </w:r>
    </w:p>
    <w:p>
      <w:pPr>
        <w:spacing w:line="360" w:lineRule="auto"/>
        <w:ind w:firstLine="420" w:firstLineChars="200"/>
        <w:rPr>
          <w:rFonts w:ascii="宋体" w:hAnsi="宋体" w:cs="宋体"/>
          <w:b/>
          <w:szCs w:val="21"/>
        </w:rPr>
      </w:pPr>
      <w:bookmarkStart w:id="131" w:name="_9.2质疑、投诉应当采用书面形式，质疑函、投诉书均应明确阐述招标文件、"/>
      <w:bookmarkEnd w:id="131"/>
      <w:r>
        <w:rPr>
          <w:rFonts w:hint="eastAsia" w:ascii="宋体" w:hAnsi="宋体" w:cs="宋体"/>
          <w:szCs w:val="21"/>
        </w:rPr>
        <w:t xml:space="preserve"> 38.2.5 </w:t>
      </w:r>
      <w:r>
        <w:rPr>
          <w:rFonts w:hint="eastAsia" w:ascii="宋体" w:hAnsi="宋体" w:cs="宋体"/>
          <w:bCs/>
        </w:rPr>
        <w:t>供应商提出质疑应当提交质疑函和必要的证明材料，针对同一采购程序环节的质疑必须在法定质疑期内一次性提出。质疑函应当包括下列内容（质疑函格式后附）：</w:t>
      </w:r>
    </w:p>
    <w:p>
      <w:pPr>
        <w:spacing w:line="360" w:lineRule="auto"/>
        <w:ind w:firstLine="420" w:firstLineChars="200"/>
        <w:rPr>
          <w:rFonts w:ascii="宋体" w:hAnsi="宋体" w:cs="宋体"/>
          <w:bCs/>
        </w:rPr>
      </w:pPr>
      <w:r>
        <w:rPr>
          <w:rFonts w:hint="eastAsia" w:ascii="宋体" w:hAnsi="宋体" w:cs="宋体"/>
          <w:bCs/>
        </w:rPr>
        <w:t>（1）供应商的姓名或者名称、地址、邮编、联系人及联系电话；</w:t>
      </w:r>
    </w:p>
    <w:p>
      <w:pPr>
        <w:spacing w:line="360" w:lineRule="auto"/>
        <w:ind w:firstLine="420" w:firstLineChars="200"/>
        <w:rPr>
          <w:rFonts w:ascii="宋体" w:hAnsi="宋体" w:cs="宋体"/>
          <w:bCs/>
        </w:rPr>
      </w:pPr>
      <w:r>
        <w:rPr>
          <w:rFonts w:hint="eastAsia" w:ascii="宋体" w:hAnsi="宋体" w:cs="宋体"/>
          <w:bCs/>
        </w:rPr>
        <w:t>（2）质疑项目的名称、编号；</w:t>
      </w:r>
    </w:p>
    <w:p>
      <w:pPr>
        <w:spacing w:line="360" w:lineRule="auto"/>
        <w:ind w:firstLine="420" w:firstLineChars="200"/>
        <w:rPr>
          <w:rFonts w:ascii="宋体" w:hAnsi="宋体" w:cs="宋体"/>
          <w:bCs/>
        </w:rPr>
      </w:pPr>
      <w:r>
        <w:rPr>
          <w:rFonts w:hint="eastAsia" w:ascii="宋体" w:hAnsi="宋体" w:cs="宋体"/>
          <w:bCs/>
        </w:rPr>
        <w:t>（3）具体、明确的质疑事项和与质疑事项相关的请求；</w:t>
      </w:r>
    </w:p>
    <w:p>
      <w:pPr>
        <w:spacing w:line="360" w:lineRule="auto"/>
        <w:ind w:firstLine="420" w:firstLineChars="200"/>
        <w:rPr>
          <w:rFonts w:ascii="宋体" w:hAnsi="宋体" w:cs="宋体"/>
          <w:bCs/>
        </w:rPr>
      </w:pPr>
      <w:r>
        <w:rPr>
          <w:rFonts w:hint="eastAsia" w:ascii="宋体" w:hAnsi="宋体" w:cs="宋体"/>
          <w:bCs/>
        </w:rPr>
        <w:t>（4）事实依据（列明权益受到损害的事实和理由）；</w:t>
      </w:r>
    </w:p>
    <w:p>
      <w:pPr>
        <w:spacing w:line="360" w:lineRule="auto"/>
        <w:ind w:firstLine="420" w:firstLineChars="200"/>
        <w:rPr>
          <w:rFonts w:ascii="宋体" w:hAnsi="宋体" w:cs="宋体"/>
          <w:bCs/>
        </w:rPr>
      </w:pPr>
      <w:r>
        <w:rPr>
          <w:rFonts w:hint="eastAsia" w:ascii="宋体" w:hAnsi="宋体" w:cs="宋体"/>
          <w:bCs/>
        </w:rPr>
        <w:t>（5）必要的法律依据；</w:t>
      </w:r>
    </w:p>
    <w:p>
      <w:pPr>
        <w:spacing w:line="360" w:lineRule="auto"/>
        <w:ind w:firstLine="420" w:firstLineChars="200"/>
        <w:rPr>
          <w:rFonts w:ascii="宋体" w:hAnsi="宋体" w:cs="宋体"/>
          <w:bCs/>
        </w:rPr>
      </w:pPr>
      <w:r>
        <w:rPr>
          <w:rFonts w:hint="eastAsia" w:ascii="宋体" w:hAnsi="宋体" w:cs="宋体"/>
          <w:bCs/>
        </w:rPr>
        <w:t>（6）提出质疑的日期。</w:t>
      </w:r>
    </w:p>
    <w:p>
      <w:pPr>
        <w:spacing w:line="360" w:lineRule="auto"/>
        <w:ind w:firstLine="420" w:firstLineChars="200"/>
        <w:rPr>
          <w:rFonts w:ascii="宋体" w:hAnsi="宋体" w:cs="宋体"/>
          <w:bCs/>
        </w:rPr>
      </w:pPr>
      <w:r>
        <w:rPr>
          <w:rFonts w:hint="eastAsia" w:ascii="宋体" w:hAnsi="宋体" w:cs="宋体"/>
          <w:bCs/>
        </w:rPr>
        <w:t>供应商为自然人的，应当由本人签字；供应商为法人或者其他组织的，应当由法定代表人、主要负责人，或者其委托代理人签字或者盖章，并加盖公章。</w:t>
      </w:r>
    </w:p>
    <w:p>
      <w:pPr>
        <w:spacing w:line="360" w:lineRule="auto"/>
        <w:ind w:firstLine="422" w:firstLineChars="200"/>
        <w:rPr>
          <w:rFonts w:ascii="宋体" w:hAnsi="宋体" w:cs="宋体"/>
          <w:b/>
          <w:szCs w:val="20"/>
        </w:rPr>
      </w:pPr>
      <w:r>
        <w:rPr>
          <w:rFonts w:hint="eastAsia" w:ascii="宋体" w:hAnsi="宋体" w:cs="宋体"/>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pPr>
        <w:spacing w:line="360" w:lineRule="auto"/>
        <w:ind w:firstLine="420" w:firstLineChars="200"/>
        <w:rPr>
          <w:rFonts w:ascii="宋体" w:hAnsi="宋体" w:cs="宋体"/>
          <w:bCs/>
          <w:szCs w:val="21"/>
        </w:rPr>
      </w:pPr>
      <w:r>
        <w:rPr>
          <w:rFonts w:hint="eastAsia" w:ascii="宋体" w:hAnsi="宋体" w:cs="宋体"/>
          <w:szCs w:val="21"/>
        </w:rPr>
        <w:t>3</w:t>
      </w:r>
      <w:r>
        <w:rPr>
          <w:rFonts w:hint="eastAsia" w:ascii="宋体" w:hAnsi="宋体" w:cs="宋体"/>
          <w:bCs/>
          <w:szCs w:val="21"/>
        </w:rPr>
        <w:t>8.2.7采购人、采购代理机构认为供应商质疑不成立，或者成立但未对中标结果构成影响的，继续开展采购活动；认为供应商质疑成立且影响或者可能影响中标结果的，按照下列情况处理：</w:t>
      </w:r>
    </w:p>
    <w:p>
      <w:pPr>
        <w:spacing w:line="360" w:lineRule="auto"/>
        <w:ind w:firstLine="420" w:firstLineChars="200"/>
        <w:rPr>
          <w:rFonts w:ascii="宋体" w:hAnsi="宋体" w:cs="宋体"/>
          <w:bCs/>
        </w:rPr>
      </w:pPr>
      <w:r>
        <w:rPr>
          <w:rFonts w:hint="eastAsia" w:ascii="宋体" w:hAnsi="宋体" w:cs="宋体"/>
          <w:bCs/>
        </w:rPr>
        <w:t>　　（一）对招标文件提出的质疑，依法通过澄清或者修改可以继续开展采购活动的，澄清或者修改招标文件后继续开展采购活动；否则应当修改招标文件后重新开展采购活动。</w:t>
      </w:r>
    </w:p>
    <w:p>
      <w:pPr>
        <w:spacing w:line="360" w:lineRule="auto"/>
        <w:ind w:firstLine="420" w:firstLineChars="200"/>
        <w:rPr>
          <w:rFonts w:ascii="宋体" w:hAnsi="宋体" w:cs="宋体"/>
          <w:bCs/>
        </w:rPr>
      </w:pPr>
      <w:r>
        <w:rPr>
          <w:rFonts w:hint="eastAsia" w:ascii="宋体" w:hAnsi="宋体" w:cs="宋体"/>
          <w:bCs/>
        </w:rPr>
        <w:t>　　（二）对采购过程、中标结果提出的质疑，合格供应商符合法定数量时，可以从合格的中标候选人中另行确定中标人的，应当依法另行确定中标人；否则应当重新开展采购活动。</w:t>
      </w:r>
    </w:p>
    <w:p>
      <w:pPr>
        <w:spacing w:line="360" w:lineRule="auto"/>
        <w:ind w:firstLine="420" w:firstLineChars="200"/>
        <w:rPr>
          <w:rFonts w:ascii="宋体" w:hAnsi="宋体" w:cs="宋体"/>
          <w:bCs/>
        </w:rPr>
      </w:pPr>
      <w:r>
        <w:rPr>
          <w:rFonts w:hint="eastAsia" w:ascii="宋体" w:hAnsi="宋体" w:cs="宋体"/>
          <w:bCs/>
        </w:rPr>
        <w:t>质疑答复导致中标结果改变的，采购人或者采购代理机构应当将有关情况书面报告本级财政部门。</w:t>
      </w:r>
    </w:p>
    <w:p>
      <w:pPr>
        <w:spacing w:line="360" w:lineRule="auto"/>
        <w:ind w:firstLine="422" w:firstLineChars="200"/>
        <w:rPr>
          <w:rFonts w:ascii="宋体" w:hAnsi="宋体" w:cs="宋体"/>
          <w:b/>
        </w:rPr>
      </w:pPr>
      <w:r>
        <w:rPr>
          <w:rFonts w:hint="eastAsia" w:ascii="宋体" w:hAnsi="宋体" w:cs="宋体"/>
          <w:b/>
        </w:rPr>
        <w:t>38.3投诉</w:t>
      </w:r>
    </w:p>
    <w:p>
      <w:pPr>
        <w:spacing w:line="360" w:lineRule="auto"/>
        <w:ind w:firstLine="422" w:firstLineChars="200"/>
        <w:rPr>
          <w:rFonts w:ascii="宋体" w:hAnsi="宋体" w:cs="宋体"/>
          <w:bCs/>
        </w:rPr>
      </w:pPr>
      <w:r>
        <w:rPr>
          <w:rFonts w:hint="eastAsia" w:ascii="宋体" w:hAnsi="宋体" w:cs="宋体"/>
          <w:b/>
        </w:rPr>
        <w:t>38.3</w:t>
      </w:r>
      <w:r>
        <w:rPr>
          <w:rFonts w:hint="eastAsia" w:ascii="宋体" w:hAnsi="宋体" w:cs="宋体"/>
          <w:bCs/>
        </w:rPr>
        <w:t>.</w:t>
      </w:r>
      <w:r>
        <w:rPr>
          <w:rFonts w:hint="eastAsia" w:ascii="宋体" w:hAnsi="宋体" w:cs="宋体"/>
          <w:b/>
          <w:bCs/>
        </w:rPr>
        <w:t xml:space="preserve">1 </w:t>
      </w:r>
      <w:r>
        <w:rPr>
          <w:rFonts w:hint="eastAsia" w:ascii="宋体" w:hAnsi="宋体" w:cs="宋体"/>
          <w:bCs/>
        </w:rPr>
        <w:t xml:space="preserve"> 供应商认为采购文件、采购过程、中标和成交结果使自己的合法权益受到损害的，应当首先依法向采购人或采购人委托的</w:t>
      </w:r>
      <w:r>
        <w:rPr>
          <w:rFonts w:hint="eastAsia" w:ascii="宋体" w:hAnsi="宋体" w:cs="宋体"/>
        </w:rPr>
        <w:t>采购代理机构</w:t>
      </w:r>
      <w:r>
        <w:rPr>
          <w:rFonts w:hint="eastAsia" w:ascii="宋体" w:hAnsi="宋体" w:cs="宋体"/>
          <w:bCs/>
        </w:rPr>
        <w:t>提出质疑。对采购人、</w:t>
      </w:r>
      <w:r>
        <w:rPr>
          <w:rFonts w:hint="eastAsia" w:ascii="宋体" w:hAnsi="宋体" w:cs="宋体"/>
        </w:rPr>
        <w:t>采购代理机构</w:t>
      </w:r>
      <w:r>
        <w:rPr>
          <w:rFonts w:hint="eastAsia" w:ascii="宋体" w:hAnsi="宋体" w:cs="宋体"/>
          <w:bCs/>
        </w:rPr>
        <w:t>的答复不满意，或者采购人、</w:t>
      </w:r>
      <w:r>
        <w:rPr>
          <w:rFonts w:hint="eastAsia" w:ascii="宋体" w:hAnsi="宋体" w:cs="宋体"/>
        </w:rPr>
        <w:t>采购代理机构</w:t>
      </w:r>
      <w:r>
        <w:rPr>
          <w:rFonts w:hint="eastAsia" w:ascii="宋体" w:hAnsi="宋体" w:cs="宋体"/>
          <w:bCs/>
        </w:rPr>
        <w:t>未在规定期限内作出答复的，供应商可以在答复期满后15个工作日内向隆安县财政局政府采购监督管理办公室提起投诉，投诉联系方式见“投标人须知前附表”。</w:t>
      </w:r>
    </w:p>
    <w:p>
      <w:pPr>
        <w:spacing w:line="360" w:lineRule="auto"/>
        <w:ind w:firstLine="422" w:firstLineChars="200"/>
        <w:rPr>
          <w:rFonts w:ascii="宋体" w:hAnsi="宋体" w:cs="宋体"/>
          <w:bCs/>
        </w:rPr>
      </w:pPr>
      <w:r>
        <w:rPr>
          <w:rFonts w:hint="eastAsia" w:ascii="宋体" w:hAnsi="宋体" w:cs="宋体"/>
          <w:b/>
        </w:rPr>
        <w:t xml:space="preserve">38.3.2 </w:t>
      </w:r>
      <w:r>
        <w:rPr>
          <w:rFonts w:hint="eastAsia" w:ascii="宋体" w:hAnsi="宋体" w:cs="宋体"/>
        </w:rPr>
        <w:t xml:space="preserve"> 投诉人投诉时，应当提交投诉书，并按照被投诉采购人、采购代理机构和与投诉事项有关的供应商数量提供投诉书的副本。投诉书</w:t>
      </w:r>
      <w:r>
        <w:rPr>
          <w:rFonts w:hint="eastAsia" w:ascii="宋体" w:hAnsi="宋体" w:cs="宋体"/>
          <w:szCs w:val="21"/>
        </w:rPr>
        <w:t>应当包括下列主要内容</w:t>
      </w:r>
      <w:r>
        <w:rPr>
          <w:rFonts w:hint="eastAsia" w:ascii="宋体" w:hAnsi="宋体" w:cs="宋体"/>
        </w:rPr>
        <w:t>（如材料中有外文资料应同时附上对应的中文译本）</w:t>
      </w:r>
      <w:r>
        <w:rPr>
          <w:rFonts w:hint="eastAsia" w:ascii="宋体" w:hAnsi="宋体" w:cs="宋体"/>
          <w:bCs/>
        </w:rPr>
        <w:t>（投诉书格式后附）</w:t>
      </w:r>
      <w:r>
        <w:rPr>
          <w:rFonts w:hint="eastAsia" w:ascii="宋体" w:hAnsi="宋体" w:cs="宋体"/>
          <w:szCs w:val="21"/>
        </w:rPr>
        <w:t>：</w:t>
      </w:r>
    </w:p>
    <w:p>
      <w:pPr>
        <w:spacing w:line="360" w:lineRule="auto"/>
        <w:ind w:firstLine="420" w:firstLineChars="200"/>
        <w:rPr>
          <w:rFonts w:ascii="宋体" w:hAnsi="宋体" w:cs="宋体"/>
        </w:rPr>
      </w:pPr>
      <w:r>
        <w:rPr>
          <w:rFonts w:hint="eastAsia" w:ascii="宋体" w:hAnsi="宋体" w:cs="宋体"/>
        </w:rPr>
        <w:t xml:space="preserve">（1）投诉人和被投诉人的名称、地址、邮编、联系人及联系电话等； </w:t>
      </w:r>
    </w:p>
    <w:p>
      <w:pPr>
        <w:spacing w:line="360" w:lineRule="auto"/>
        <w:ind w:firstLine="420" w:firstLineChars="200"/>
        <w:rPr>
          <w:rFonts w:ascii="宋体" w:hAnsi="宋体" w:cs="宋体"/>
        </w:rPr>
      </w:pPr>
      <w:r>
        <w:rPr>
          <w:rFonts w:hint="eastAsia" w:ascii="宋体" w:hAnsi="宋体" w:cs="宋体"/>
        </w:rPr>
        <w:t xml:space="preserve">（2）质疑和质疑答复情况及相关证明材料； </w:t>
      </w:r>
    </w:p>
    <w:p>
      <w:pPr>
        <w:spacing w:line="360" w:lineRule="auto"/>
        <w:ind w:firstLine="420" w:firstLineChars="200"/>
        <w:rPr>
          <w:rFonts w:ascii="宋体" w:hAnsi="宋体" w:cs="宋体"/>
        </w:rPr>
      </w:pPr>
      <w:r>
        <w:rPr>
          <w:rFonts w:hint="eastAsia" w:ascii="宋体" w:hAnsi="宋体" w:cs="宋体"/>
        </w:rPr>
        <w:t>（3）具体、明确的投诉事项和与投诉事项相关的投诉请求；</w:t>
      </w:r>
    </w:p>
    <w:p>
      <w:pPr>
        <w:spacing w:line="360" w:lineRule="auto"/>
        <w:ind w:firstLine="420" w:firstLineChars="200"/>
        <w:rPr>
          <w:rFonts w:ascii="宋体" w:hAnsi="宋体" w:cs="宋体"/>
        </w:rPr>
      </w:pPr>
      <w:r>
        <w:rPr>
          <w:rFonts w:hint="eastAsia" w:ascii="宋体" w:hAnsi="宋体" w:cs="宋体"/>
        </w:rPr>
        <w:t>（4）事实依据；</w:t>
      </w:r>
    </w:p>
    <w:p>
      <w:pPr>
        <w:spacing w:line="360" w:lineRule="auto"/>
        <w:ind w:firstLine="420" w:firstLineChars="200"/>
        <w:rPr>
          <w:rFonts w:ascii="宋体" w:hAnsi="宋体" w:cs="宋体"/>
        </w:rPr>
      </w:pPr>
      <w:r>
        <w:rPr>
          <w:rFonts w:hint="eastAsia" w:ascii="宋体" w:hAnsi="宋体" w:cs="宋体"/>
        </w:rPr>
        <w:t>（5）法律依据；</w:t>
      </w:r>
    </w:p>
    <w:p>
      <w:pPr>
        <w:spacing w:line="360" w:lineRule="auto"/>
        <w:ind w:firstLine="420" w:firstLineChars="200"/>
        <w:rPr>
          <w:rFonts w:ascii="宋体" w:hAnsi="宋体" w:cs="宋体"/>
        </w:rPr>
      </w:pPr>
      <w:r>
        <w:rPr>
          <w:rFonts w:hint="eastAsia" w:ascii="宋体" w:hAnsi="宋体" w:cs="宋体"/>
        </w:rPr>
        <w:t>（6）提起投诉的日期。</w:t>
      </w:r>
    </w:p>
    <w:p>
      <w:pPr>
        <w:spacing w:line="360" w:lineRule="auto"/>
        <w:ind w:firstLine="420" w:firstLineChars="200"/>
        <w:rPr>
          <w:rFonts w:ascii="宋体" w:hAnsi="宋体" w:cs="宋体"/>
        </w:rPr>
      </w:pPr>
      <w:r>
        <w:rPr>
          <w:rFonts w:hint="eastAsia" w:ascii="宋体" w:hAnsi="宋体" w:cs="宋体"/>
        </w:rPr>
        <w:t>（7）附件材料：营业执照副本内页复印件【要求证件有效并清晰反映企业法人经营范围；近期连续三个月依法缴纳税收和在职职工社会保障资金证明材料（复印件）】。</w:t>
      </w:r>
      <w:r>
        <w:rPr>
          <w:rFonts w:hint="eastAsia" w:ascii="宋体" w:hAnsi="宋体" w:cs="宋体"/>
        </w:rPr>
        <w:tab/>
      </w:r>
    </w:p>
    <w:p>
      <w:pPr>
        <w:spacing w:line="360" w:lineRule="auto"/>
        <w:ind w:firstLine="422" w:firstLineChars="200"/>
        <w:rPr>
          <w:rFonts w:ascii="宋体" w:hAnsi="宋体" w:cs="宋体"/>
          <w:bCs/>
        </w:rPr>
      </w:pPr>
      <w:r>
        <w:rPr>
          <w:rFonts w:hint="eastAsia" w:ascii="宋体" w:hAnsi="宋体" w:cs="宋体"/>
          <w:b/>
        </w:rPr>
        <w:t xml:space="preserve">38.3.3  </w:t>
      </w:r>
      <w:r>
        <w:rPr>
          <w:rFonts w:hint="eastAsia" w:ascii="宋体" w:hAnsi="宋体" w:cs="宋体"/>
        </w:rPr>
        <w:t>投诉人可以委托代理人办理投诉事务。</w:t>
      </w:r>
      <w:r>
        <w:rPr>
          <w:rFonts w:hint="eastAsia" w:ascii="宋体" w:hAnsi="宋体" w:cs="宋体"/>
          <w:bCs/>
        </w:rPr>
        <w:t>委托代理人应熟悉相关业务情况。</w:t>
      </w:r>
      <w:r>
        <w:rPr>
          <w:rFonts w:hint="eastAsia" w:ascii="宋体" w:hAnsi="宋体" w:cs="宋体"/>
        </w:rPr>
        <w:t>代理人办理投诉事务时，除提交投诉书外，还应当提交投诉人的授权委托书和委托代理人身份证明复印件。</w:t>
      </w:r>
    </w:p>
    <w:p>
      <w:pPr>
        <w:spacing w:line="360" w:lineRule="auto"/>
        <w:ind w:firstLine="422" w:firstLineChars="200"/>
        <w:rPr>
          <w:rFonts w:ascii="宋体" w:hAnsi="宋体" w:cs="宋体"/>
        </w:rPr>
      </w:pPr>
      <w:r>
        <w:rPr>
          <w:rFonts w:hint="eastAsia" w:ascii="宋体" w:hAnsi="宋体" w:cs="宋体"/>
          <w:b/>
        </w:rPr>
        <w:t>38.3.4</w:t>
      </w:r>
      <w:r>
        <w:rPr>
          <w:rFonts w:hint="eastAsia" w:ascii="宋体" w:hAnsi="宋体" w:cs="宋体"/>
        </w:rPr>
        <w:t xml:space="preserve">  投诉人提起投诉应当符合下列条件：</w:t>
      </w:r>
    </w:p>
    <w:p>
      <w:pPr>
        <w:spacing w:line="360" w:lineRule="auto"/>
        <w:ind w:firstLine="420" w:firstLineChars="200"/>
        <w:rPr>
          <w:rFonts w:ascii="宋体" w:hAnsi="宋体" w:cs="宋体"/>
        </w:rPr>
      </w:pPr>
      <w:r>
        <w:rPr>
          <w:rFonts w:hint="eastAsia" w:ascii="宋体" w:hAnsi="宋体" w:cs="宋体"/>
        </w:rPr>
        <w:t>（1）投诉人是参与所投诉政府采购活动的供应商；</w:t>
      </w:r>
    </w:p>
    <w:p>
      <w:pPr>
        <w:spacing w:line="360" w:lineRule="auto"/>
        <w:ind w:firstLine="420" w:firstLineChars="200"/>
        <w:rPr>
          <w:rFonts w:ascii="宋体" w:hAnsi="宋体" w:cs="宋体"/>
        </w:rPr>
      </w:pPr>
      <w:r>
        <w:rPr>
          <w:rFonts w:hint="eastAsia" w:ascii="宋体" w:hAnsi="宋体" w:cs="宋体"/>
        </w:rPr>
        <w:t>（2）提起投诉前已依法进行质疑；</w:t>
      </w:r>
    </w:p>
    <w:p>
      <w:pPr>
        <w:spacing w:line="360" w:lineRule="auto"/>
        <w:ind w:firstLine="420" w:firstLineChars="200"/>
        <w:rPr>
          <w:rFonts w:ascii="宋体" w:hAnsi="宋体" w:cs="宋体"/>
        </w:rPr>
      </w:pPr>
      <w:r>
        <w:rPr>
          <w:rFonts w:hint="eastAsia" w:ascii="宋体" w:hAnsi="宋体" w:cs="宋体"/>
        </w:rPr>
        <w:t>（3）投诉书内容符合本章第38.3.2项的规定；</w:t>
      </w:r>
    </w:p>
    <w:p>
      <w:pPr>
        <w:spacing w:line="360" w:lineRule="auto"/>
        <w:ind w:firstLine="420" w:firstLineChars="200"/>
        <w:rPr>
          <w:rFonts w:ascii="宋体" w:hAnsi="宋体" w:cs="宋体"/>
        </w:rPr>
      </w:pPr>
      <w:r>
        <w:rPr>
          <w:rFonts w:hint="eastAsia" w:ascii="宋体" w:hAnsi="宋体" w:cs="宋体"/>
        </w:rPr>
        <w:t>（4）在投诉有效期限内提起投诉；</w:t>
      </w:r>
    </w:p>
    <w:p>
      <w:pPr>
        <w:spacing w:line="360" w:lineRule="auto"/>
        <w:ind w:firstLine="420" w:firstLineChars="200"/>
        <w:rPr>
          <w:rFonts w:ascii="宋体" w:hAnsi="宋体" w:cs="宋体"/>
        </w:rPr>
      </w:pPr>
      <w:r>
        <w:rPr>
          <w:rFonts w:hint="eastAsia" w:ascii="宋体" w:hAnsi="宋体" w:cs="宋体"/>
        </w:rPr>
        <w:t>（5）属于隆安县财政局政府采购监督管理办公室管辖；</w:t>
      </w:r>
    </w:p>
    <w:p>
      <w:pPr>
        <w:spacing w:line="360" w:lineRule="auto"/>
        <w:ind w:firstLine="420" w:firstLineChars="200"/>
        <w:rPr>
          <w:rFonts w:ascii="宋体" w:hAnsi="宋体" w:cs="宋体"/>
        </w:rPr>
      </w:pPr>
      <w:r>
        <w:rPr>
          <w:rFonts w:hint="eastAsia" w:ascii="宋体" w:hAnsi="宋体" w:cs="宋体"/>
        </w:rPr>
        <w:t>（6）同一投诉事项未经</w:t>
      </w:r>
      <w:r>
        <w:rPr>
          <w:rFonts w:hint="eastAsia" w:ascii="宋体" w:hAnsi="宋体" w:cs="宋体"/>
          <w:bCs/>
        </w:rPr>
        <w:t>隆安县财政局政府采购监督管理办公室</w:t>
      </w:r>
      <w:r>
        <w:rPr>
          <w:rFonts w:hint="eastAsia" w:ascii="宋体" w:hAnsi="宋体" w:cs="宋体"/>
        </w:rPr>
        <w:t>投诉处理；</w:t>
      </w:r>
    </w:p>
    <w:p>
      <w:pPr>
        <w:spacing w:line="360" w:lineRule="auto"/>
        <w:ind w:firstLine="420" w:firstLineChars="200"/>
        <w:rPr>
          <w:rFonts w:ascii="宋体" w:hAnsi="宋体" w:cs="宋体"/>
        </w:rPr>
      </w:pPr>
      <w:r>
        <w:rPr>
          <w:rFonts w:hint="eastAsia" w:ascii="宋体" w:hAnsi="宋体" w:cs="宋体"/>
        </w:rPr>
        <w:t>（7）国务院财政部门规定的其他条件。</w:t>
      </w:r>
    </w:p>
    <w:p>
      <w:pPr>
        <w:spacing w:line="360" w:lineRule="auto"/>
        <w:ind w:firstLine="422" w:firstLineChars="200"/>
        <w:rPr>
          <w:rFonts w:ascii="宋体" w:hAnsi="宋体" w:cs="宋体"/>
        </w:rPr>
      </w:pPr>
      <w:r>
        <w:rPr>
          <w:rFonts w:hint="eastAsia" w:ascii="宋体" w:hAnsi="宋体" w:cs="宋体"/>
          <w:b/>
        </w:rPr>
        <w:t>38.3.5</w:t>
      </w:r>
      <w:r>
        <w:rPr>
          <w:rFonts w:hint="eastAsia" w:ascii="宋体" w:hAnsi="宋体" w:cs="宋体"/>
        </w:rPr>
        <w:t xml:space="preserve">  隆安县财政局政府采购监督管理办公室自受理投诉之日起30个工作日内，对投诉事项作出处理决定，并以书面形式通知投诉人、被投诉人及其他与投诉处理结果有利害关系的政府采购当事人。并将投诉结果在</w:t>
      </w:r>
      <w:r>
        <w:rPr>
          <w:rFonts w:hint="eastAsia" w:ascii="宋体" w:hAnsi="宋体" w:cs="宋体"/>
          <w:kern w:val="0"/>
          <w:szCs w:val="21"/>
        </w:rPr>
        <w:t>“广西政府采购网”（http://zfcg.gxzf.gov.cn）</w:t>
      </w:r>
      <w:r>
        <w:rPr>
          <w:rFonts w:hint="eastAsia" w:ascii="宋体" w:hAnsi="宋体" w:cs="宋体"/>
        </w:rPr>
        <w:t>发布。</w:t>
      </w:r>
    </w:p>
    <w:p>
      <w:pPr>
        <w:spacing w:line="360" w:lineRule="auto"/>
        <w:ind w:firstLine="422" w:firstLineChars="200"/>
        <w:rPr>
          <w:rFonts w:ascii="宋体" w:hAnsi="宋体" w:cs="宋体"/>
        </w:rPr>
      </w:pPr>
      <w:r>
        <w:rPr>
          <w:rFonts w:hint="eastAsia" w:ascii="宋体" w:hAnsi="宋体" w:cs="宋体"/>
          <w:b/>
        </w:rPr>
        <w:t>38.3.6</w:t>
      </w:r>
      <w:r>
        <w:rPr>
          <w:rFonts w:hint="eastAsia" w:ascii="宋体" w:hAnsi="宋体" w:cs="宋体"/>
        </w:rPr>
        <w:t xml:space="preserve">  隆安县财政局政府采购监督管理办公室在处理投诉事项期间，可以视具体情况暂停采购活动。</w:t>
      </w:r>
    </w:p>
    <w:p>
      <w:pPr>
        <w:pStyle w:val="4"/>
        <w:keepNext w:val="0"/>
        <w:keepLines w:val="0"/>
        <w:rPr>
          <w:rFonts w:cs="宋体"/>
        </w:rPr>
      </w:pPr>
      <w:bookmarkStart w:id="132" w:name="_Toc20741"/>
      <w:r>
        <w:rPr>
          <w:rFonts w:hint="eastAsia" w:cs="宋体"/>
        </w:rPr>
        <w:t>八、验收</w:t>
      </w:r>
      <w:bookmarkEnd w:id="132"/>
    </w:p>
    <w:p>
      <w:pPr>
        <w:spacing w:line="360" w:lineRule="auto"/>
        <w:ind w:firstLine="422" w:firstLineChars="200"/>
        <w:rPr>
          <w:rFonts w:ascii="宋体" w:hAnsi="宋体" w:cs="宋体"/>
          <w:b/>
        </w:rPr>
      </w:pPr>
      <w:r>
        <w:rPr>
          <w:rFonts w:hint="eastAsia" w:ascii="宋体" w:hAnsi="宋体" w:cs="宋体"/>
          <w:b/>
        </w:rPr>
        <w:t>39.验收</w:t>
      </w:r>
    </w:p>
    <w:p>
      <w:pPr>
        <w:tabs>
          <w:tab w:val="left" w:pos="0"/>
        </w:tabs>
        <w:spacing w:line="360" w:lineRule="auto"/>
        <w:ind w:firstLine="480"/>
        <w:rPr>
          <w:rFonts w:ascii="宋体" w:hAnsi="宋体" w:cs="宋体"/>
        </w:rPr>
      </w:pPr>
      <w:r>
        <w:rPr>
          <w:rFonts w:hint="eastAsia" w:ascii="宋体" w:hAnsi="宋体" w:cs="宋体"/>
        </w:rPr>
        <w:t>39.1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宋体" w:hAnsi="宋体" w:cs="宋体"/>
        </w:rPr>
      </w:pPr>
      <w:r>
        <w:rPr>
          <w:rFonts w:hint="eastAsia" w:ascii="宋体" w:hAnsi="宋体" w:cs="宋体"/>
        </w:rPr>
        <w:t>39.2采购人可以邀请参加本项目的其他投标人或者第三方机构参与验收。参与验收的投标人或者第三方机构的意见作为验收书的参考资料一并存档。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宋体" w:hAnsi="宋体" w:cs="宋体"/>
        </w:rPr>
      </w:pPr>
      <w:r>
        <w:rPr>
          <w:rFonts w:hint="eastAsia" w:ascii="宋体" w:hAnsi="宋体" w:cs="宋体"/>
        </w:rPr>
        <w:t>39.3严格按照采购合同开展履约验收。采购人成立验收小组，按照采购合同的约定对供应商履约情况进行验收。验收时，按照采购合同的约定对每一项技术、货物、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宋体" w:hAnsi="宋体" w:cs="宋体"/>
        </w:rPr>
      </w:pPr>
      <w:r>
        <w:rPr>
          <w:rFonts w:hint="eastAsia" w:ascii="宋体" w:hAnsi="宋体" w:cs="宋体"/>
        </w:rPr>
        <w:t>39.4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12"/>
        <w:snapToGrid w:val="0"/>
        <w:spacing w:line="360" w:lineRule="auto"/>
        <w:rPr>
          <w:rFonts w:hAnsi="宋体" w:cs="宋体"/>
        </w:rPr>
      </w:pPr>
    </w:p>
    <w:p>
      <w:pPr>
        <w:pStyle w:val="4"/>
        <w:keepNext w:val="0"/>
        <w:keepLines w:val="0"/>
        <w:rPr>
          <w:rFonts w:cs="宋体"/>
        </w:rPr>
      </w:pPr>
      <w:bookmarkStart w:id="133" w:name="_八、其他事项"/>
      <w:bookmarkEnd w:id="133"/>
      <w:bookmarkStart w:id="134" w:name="_Toc14161"/>
      <w:r>
        <w:rPr>
          <w:rFonts w:hint="eastAsia" w:cs="宋体"/>
        </w:rPr>
        <w:t>九、其他事项</w:t>
      </w:r>
      <w:bookmarkEnd w:id="134"/>
    </w:p>
    <w:p>
      <w:pPr>
        <w:spacing w:line="360" w:lineRule="auto"/>
        <w:ind w:firstLine="480" w:firstLineChars="200"/>
        <w:rPr>
          <w:rFonts w:ascii="宋体" w:hAnsi="宋体" w:cs="宋体"/>
          <w:sz w:val="24"/>
        </w:rPr>
      </w:pPr>
      <w:bookmarkStart w:id="135" w:name="_42.代理服务费"/>
      <w:bookmarkEnd w:id="135"/>
      <w:r>
        <w:rPr>
          <w:rFonts w:hint="eastAsia" w:ascii="宋体" w:hAnsi="宋体" w:cs="宋体"/>
          <w:sz w:val="24"/>
        </w:rPr>
        <w:t>40.代理服务费</w:t>
      </w:r>
    </w:p>
    <w:p>
      <w:pPr>
        <w:spacing w:line="360" w:lineRule="auto"/>
        <w:ind w:firstLine="422" w:firstLineChars="200"/>
        <w:rPr>
          <w:rFonts w:ascii="宋体" w:hAnsi="宋体" w:cs="宋体"/>
          <w:b/>
          <w:szCs w:val="21"/>
        </w:rPr>
      </w:pPr>
      <w:r>
        <w:rPr>
          <w:rFonts w:hint="eastAsia" w:ascii="宋体" w:hAnsi="宋体" w:cs="宋体"/>
          <w:b/>
          <w:szCs w:val="21"/>
        </w:rPr>
        <w:t>代理服务收费标准及缴费账户详见“投标人须知前附表”，投标人为联合体的，可以由联合体中的一方或者多方共同缴纳代理服务费。</w:t>
      </w:r>
    </w:p>
    <w:p>
      <w:pPr>
        <w:spacing w:line="360" w:lineRule="auto"/>
        <w:ind w:firstLine="480" w:firstLineChars="200"/>
        <w:rPr>
          <w:rFonts w:ascii="宋体" w:hAnsi="宋体" w:cs="宋体"/>
          <w:sz w:val="24"/>
        </w:rPr>
      </w:pPr>
      <w:r>
        <w:rPr>
          <w:rFonts w:hint="eastAsia" w:ascii="宋体" w:hAnsi="宋体" w:cs="宋体"/>
          <w:sz w:val="24"/>
        </w:rPr>
        <w:t>41. 需要补充的其他内容</w:t>
      </w:r>
    </w:p>
    <w:p>
      <w:pPr>
        <w:spacing w:line="360" w:lineRule="auto"/>
        <w:ind w:firstLine="420" w:firstLineChars="200"/>
        <w:rPr>
          <w:rFonts w:ascii="宋体" w:hAnsi="宋体" w:cs="宋体"/>
        </w:rPr>
      </w:pPr>
      <w:r>
        <w:rPr>
          <w:rFonts w:hint="eastAsia" w:ascii="宋体" w:hAnsi="宋体" w:cs="宋体"/>
        </w:rPr>
        <w:t>41.1本招标文件解释规则详见“投标人须知前附表”。</w:t>
      </w:r>
    </w:p>
    <w:p>
      <w:pPr>
        <w:spacing w:line="360" w:lineRule="auto"/>
        <w:ind w:firstLine="420" w:firstLineChars="200"/>
        <w:rPr>
          <w:rFonts w:ascii="宋体" w:hAnsi="宋体" w:cs="宋体"/>
        </w:rPr>
      </w:pPr>
      <w:r>
        <w:rPr>
          <w:rFonts w:hint="eastAsia" w:ascii="宋体" w:hAnsi="宋体" w:cs="宋体"/>
        </w:rPr>
        <w:t>41.2 其他事项详见“投标人须知前附表”。</w:t>
      </w:r>
    </w:p>
    <w:p>
      <w:pPr>
        <w:spacing w:line="360" w:lineRule="auto"/>
        <w:ind w:firstLine="420" w:firstLineChars="200"/>
        <w:rPr>
          <w:rFonts w:ascii="宋体" w:hAnsi="宋体" w:cs="宋体"/>
        </w:rPr>
      </w:pPr>
      <w:r>
        <w:rPr>
          <w:rFonts w:hint="eastAsia" w:ascii="宋体" w:hAnsi="宋体" w:cs="宋体"/>
        </w:rPr>
        <w:t>41.3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由中小企业制造，即货物由中小企业生产且使用该中小企业商号或者注册商标， 不对其中涉及的工程承建商和服务的承接商作出要求的， 享受本文件规定的中小企业扶持政策。</w:t>
      </w:r>
    </w:p>
    <w:p>
      <w:pPr>
        <w:spacing w:line="360" w:lineRule="auto"/>
        <w:ind w:firstLine="420" w:firstLineChars="200"/>
        <w:rPr>
          <w:rFonts w:ascii="宋体" w:hAnsi="宋体" w:cs="宋体"/>
        </w:rPr>
      </w:pPr>
      <w:r>
        <w:rPr>
          <w:rFonts w:hint="eastAsia" w:ascii="宋体" w:hAnsi="宋体" w:cs="宋体"/>
        </w:rPr>
        <w:t>在货物采购项目中，供应商提供的货物既有中小企业制造货物，也有大型企业制造货物的，不享受本文件规定的中小企业扶持政策。</w:t>
      </w:r>
    </w:p>
    <w:p>
      <w:pPr>
        <w:spacing w:line="360" w:lineRule="auto"/>
        <w:ind w:firstLine="420" w:firstLineChars="200"/>
        <w:rPr>
          <w:rFonts w:ascii="宋体" w:hAnsi="宋体" w:cs="宋体"/>
        </w:rPr>
      </w:pPr>
      <w:r>
        <w:rPr>
          <w:rFonts w:hint="eastAsia" w:ascii="宋体" w:hAnsi="宋体" w:cs="宋体"/>
        </w:rPr>
        <w:t>以联合体形式参加政府采购活动，联合体各方均为中小企业的，联合体视同中小企业。其中，联合体各方均为小微企业的，联合体视同小微企业。</w:t>
      </w:r>
    </w:p>
    <w:p>
      <w:pPr>
        <w:spacing w:line="360" w:lineRule="auto"/>
        <w:ind w:firstLine="420" w:firstLineChars="200"/>
        <w:rPr>
          <w:rFonts w:ascii="宋体" w:hAnsi="宋体" w:cs="宋体"/>
        </w:rPr>
      </w:pPr>
      <w:r>
        <w:rPr>
          <w:rFonts w:hint="eastAsia" w:ascii="宋体" w:hAnsi="宋体" w:cs="宋体"/>
        </w:rPr>
        <w:t>依据本文件规定享受扶持政策获得政府采购合同的，小微企业不得将合同分包给大中型企业，中型企业不得将合同分包给大型企业。</w:t>
      </w:r>
    </w:p>
    <w:p>
      <w:pPr>
        <w:spacing w:line="360" w:lineRule="auto"/>
        <w:ind w:firstLine="480" w:firstLineChars="200"/>
        <w:rPr>
          <w:rFonts w:ascii="宋体" w:hAnsi="宋体" w:cs="宋体"/>
          <w:sz w:val="24"/>
        </w:rPr>
      </w:pPr>
      <w:r>
        <w:rPr>
          <w:rFonts w:hint="eastAsia" w:ascii="宋体" w:hAnsi="宋体" w:cs="宋体"/>
          <w:sz w:val="24"/>
        </w:rPr>
        <w:t>42. 政采贷相关说明</w:t>
      </w:r>
    </w:p>
    <w:p>
      <w:pPr>
        <w:spacing w:line="360" w:lineRule="auto"/>
        <w:ind w:firstLine="420" w:firstLineChars="200"/>
        <w:jc w:val="left"/>
        <w:rPr>
          <w:rFonts w:ascii="宋体" w:hAnsi="宋体" w:cs="宋体"/>
        </w:rPr>
      </w:pPr>
      <w:r>
        <w:rPr>
          <w:rFonts w:hint="eastAsia" w:ascii="宋体" w:hAnsi="宋体" w:cs="宋体"/>
        </w:rPr>
        <w:t>为优化政府采购营商环境，缓解供应商资金难题，南宁市政府采购试行政府采购信用融资制度，中标人如有融资需求，可凭政府采购合同在“南宁市公共资源交易中心”官网（网址：http://www.nnggzy.org.cn）“交易信息-政府采购-政府采购信用融资”中融资银行和南宁市企业融资服务中心专栏信息申请政府采购信用融资。</w:t>
      </w:r>
      <w:r>
        <w:rPr>
          <w:rFonts w:hint="eastAsia" w:ascii="宋体" w:hAnsi="宋体" w:cs="宋体"/>
        </w:rPr>
        <w:br w:type="page"/>
      </w:r>
      <w:bookmarkStart w:id="136" w:name="_Toc532545043"/>
    </w:p>
    <w:p>
      <w:pPr>
        <w:pStyle w:val="12"/>
        <w:spacing w:line="360" w:lineRule="auto"/>
        <w:jc w:val="center"/>
        <w:outlineLvl w:val="0"/>
        <w:rPr>
          <w:rFonts w:hAnsi="宋体" w:cs="宋体"/>
          <w:b/>
          <w:sz w:val="36"/>
        </w:rPr>
      </w:pPr>
      <w:bookmarkStart w:id="137" w:name="_Toc30466"/>
      <w:r>
        <w:rPr>
          <w:rFonts w:hint="eastAsia" w:hAnsi="宋体" w:cs="宋体"/>
          <w:b/>
          <w:sz w:val="36"/>
        </w:rPr>
        <w:t>第四章  评标方法</w:t>
      </w:r>
      <w:bookmarkEnd w:id="136"/>
      <w:r>
        <w:rPr>
          <w:rFonts w:hint="eastAsia" w:hAnsi="宋体" w:cs="宋体"/>
          <w:b/>
          <w:sz w:val="36"/>
        </w:rPr>
        <w:t>及评分标准</w:t>
      </w:r>
      <w:bookmarkEnd w:id="137"/>
    </w:p>
    <w:p>
      <w:pPr>
        <w:pStyle w:val="12"/>
        <w:spacing w:line="360" w:lineRule="auto"/>
        <w:ind w:firstLine="420"/>
        <w:rPr>
          <w:rFonts w:hAnsi="宋体" w:cs="宋体"/>
          <w:bCs/>
        </w:rPr>
      </w:pPr>
      <w:r>
        <w:rPr>
          <w:rFonts w:hint="eastAsia" w:hAnsi="宋体" w:cs="宋体"/>
          <w:bCs/>
        </w:rPr>
        <w:t>注：计分方法按四舍五入取至百分位。商务技术评审因素为客观评分项的，应在评分项目或评分标准中予以标注为“客观分”。对投标人的客观评分项目，各评标专家评分应当一致。</w:t>
      </w:r>
    </w:p>
    <w:p>
      <w:pPr>
        <w:pStyle w:val="13"/>
        <w:rPr>
          <w:b/>
          <w:bCs/>
          <w:color w:val="FF0000"/>
          <w:sz w:val="28"/>
          <w:szCs w:val="28"/>
        </w:rPr>
      </w:pPr>
      <w:r>
        <w:rPr>
          <w:rFonts w:hint="eastAsia"/>
          <w:b/>
          <w:bCs/>
          <w:color w:val="FF0000"/>
          <w:sz w:val="28"/>
          <w:szCs w:val="28"/>
        </w:rPr>
        <w:t>A</w:t>
      </w:r>
      <w:r>
        <w:rPr>
          <w:rFonts w:hint="eastAsia"/>
          <w:b/>
          <w:bCs/>
          <w:color w:val="FF0000"/>
          <w:sz w:val="28"/>
          <w:szCs w:val="28"/>
          <w:lang w:val="en-US" w:eastAsia="zh-CN"/>
        </w:rPr>
        <w:t>和B</w:t>
      </w:r>
      <w:r>
        <w:rPr>
          <w:rFonts w:hint="eastAsia"/>
          <w:b/>
          <w:bCs/>
          <w:color w:val="FF0000"/>
          <w:sz w:val="28"/>
          <w:szCs w:val="28"/>
        </w:rPr>
        <w:t>分标（1</w:t>
      </w:r>
      <w:r>
        <w:rPr>
          <w:rFonts w:hint="eastAsia"/>
          <w:b/>
          <w:bCs/>
          <w:color w:val="FF0000"/>
          <w:sz w:val="28"/>
          <w:szCs w:val="28"/>
          <w:lang w:val="en-US" w:eastAsia="zh-CN"/>
        </w:rPr>
        <w:t>和2</w:t>
      </w:r>
      <w:r>
        <w:rPr>
          <w:rFonts w:hint="eastAsia"/>
          <w:b/>
          <w:bCs/>
          <w:color w:val="FF0000"/>
          <w:sz w:val="28"/>
          <w:szCs w:val="28"/>
        </w:rPr>
        <w:t>分标）：</w:t>
      </w:r>
    </w:p>
    <w:tbl>
      <w:tblPr>
        <w:tblStyle w:val="25"/>
        <w:tblpPr w:leftFromText="180" w:rightFromText="180" w:vertAnchor="text" w:tblpXSpec="center" w:tblpY="1"/>
        <w:tblOverlap w:val="never"/>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2"/>
        <w:gridCol w:w="715"/>
        <w:gridCol w:w="85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497" w:type="dxa"/>
            <w:gridSpan w:val="2"/>
            <w:vAlign w:val="center"/>
          </w:tcPr>
          <w:p>
            <w:pPr>
              <w:jc w:val="center"/>
              <w:rPr>
                <w:rFonts w:ascii="宋体" w:hAnsi="宋体" w:cs="宋体"/>
                <w:b/>
                <w:szCs w:val="21"/>
              </w:rPr>
            </w:pPr>
            <w:r>
              <w:rPr>
                <w:rFonts w:hint="eastAsia" w:ascii="宋体" w:hAnsi="宋体"/>
                <w:b/>
                <w:szCs w:val="21"/>
              </w:rPr>
              <w:t>评分项目</w:t>
            </w:r>
          </w:p>
        </w:tc>
        <w:tc>
          <w:tcPr>
            <w:tcW w:w="8529" w:type="dxa"/>
            <w:vAlign w:val="center"/>
          </w:tcPr>
          <w:p>
            <w:pPr>
              <w:jc w:val="center"/>
              <w:rPr>
                <w:rFonts w:ascii="宋体" w:hAnsi="宋体"/>
                <w:b/>
                <w:szCs w:val="21"/>
              </w:rPr>
            </w:pPr>
            <w:r>
              <w:rPr>
                <w:rFonts w:hint="eastAsia" w:ascii="宋体" w:hAnsi="宋体" w:cs="宋体"/>
                <w:b/>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97" w:type="dxa"/>
            <w:gridSpan w:val="2"/>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价格部分(30分)</w:t>
            </w:r>
          </w:p>
        </w:tc>
        <w:tc>
          <w:tcPr>
            <w:tcW w:w="8529" w:type="dxa"/>
            <w:vAlign w:val="center"/>
          </w:tcPr>
          <w:p>
            <w:pPr>
              <w:snapToGrid w:val="0"/>
              <w:spacing w:line="360" w:lineRule="auto"/>
              <w:ind w:firstLine="233" w:firstLineChars="111"/>
              <w:rPr>
                <w:rFonts w:ascii="宋体" w:hAnsi="宋体"/>
                <w:bCs/>
                <w:szCs w:val="21"/>
              </w:rPr>
            </w:pPr>
            <w:r>
              <w:rPr>
                <w:rFonts w:hint="eastAsia" w:ascii="宋体" w:hAnsi="宋体"/>
                <w:bCs/>
                <w:szCs w:val="21"/>
              </w:rPr>
              <w:t>（1）评标报价为投标人的投标报价进行政策性扣除后的价格，评标报价只是作为评标时使用。最终中标人的中标金额等于投标报价。</w:t>
            </w:r>
          </w:p>
          <w:p>
            <w:pPr>
              <w:spacing w:line="400" w:lineRule="exact"/>
              <w:ind w:firstLine="420" w:firstLineChars="200"/>
              <w:rPr>
                <w:rFonts w:ascii="宋体" w:hAnsi="Courier New"/>
                <w:szCs w:val="20"/>
              </w:rPr>
            </w:pPr>
            <w:r>
              <w:rPr>
                <w:rFonts w:hint="eastAsia" w:ascii="宋体" w:hAnsi="宋体"/>
                <w:bCs/>
                <w:szCs w:val="21"/>
              </w:rPr>
              <w:t>（2）按照</w:t>
            </w:r>
            <w:r>
              <w:rPr>
                <w:rFonts w:ascii="宋体" w:hAnsi="宋体"/>
              </w:rPr>
              <w:t>《政府采购促进中小企业发展管理办法》（财库﹝2020﹞46号）</w:t>
            </w:r>
            <w:r>
              <w:rPr>
                <w:rFonts w:hint="eastAsia" w:ascii="宋体" w:hAnsi="宋体"/>
              </w:rPr>
              <w:t>及《广西壮族自治区财政厅关于进一步发挥政府采购政策功能促进企业发展的通知》（桂财采〔2022〕30号）规定</w:t>
            </w:r>
            <w:r>
              <w:rPr>
                <w:rFonts w:hint="eastAsia" w:ascii="宋体" w:hAnsi="宋体"/>
                <w:bCs/>
                <w:szCs w:val="21"/>
              </w:rPr>
              <w:t>，投标人在其投标文件中提供《中小企业声明函》，且其服务为小型和微型企业承接的，对其最后报价给予20%的扣除。</w:t>
            </w:r>
          </w:p>
          <w:p>
            <w:pPr>
              <w:snapToGrid w:val="0"/>
              <w:spacing w:line="360" w:lineRule="auto"/>
              <w:ind w:firstLine="233" w:firstLineChars="111"/>
              <w:rPr>
                <w:rFonts w:ascii="宋体" w:hAnsi="宋体"/>
                <w:bCs/>
                <w:szCs w:val="21"/>
              </w:rPr>
            </w:pPr>
            <w:r>
              <w:rPr>
                <w:rFonts w:hint="eastAsia" w:ascii="宋体" w:hAnsi="宋体"/>
                <w:bCs/>
                <w:szCs w:val="21"/>
              </w:rPr>
              <w:t>（3）按照《财政部、司法部关于政府采购支持监狱企业发展有关问题的通知》（财库〔2014〕68号）的规定，监狱企业视同小型、微型企业，享受预留份额、评审中价格扣除等促进中小企业发展的政府采购政策。</w:t>
            </w:r>
            <w:r>
              <w:rPr>
                <w:rFonts w:hint="eastAsia" w:ascii="宋体" w:hAnsi="宋体"/>
                <w:szCs w:val="21"/>
              </w:rPr>
              <w:t>监狱企业参加政府采购活动时，应当提供由省级以上监狱管理局、戒毒管理局(含新疆生产建设兵团)出具的属于监狱企业的证明文件。</w:t>
            </w:r>
            <w:r>
              <w:rPr>
                <w:rFonts w:hint="eastAsia" w:ascii="宋体" w:hAnsi="宋体"/>
                <w:bCs/>
                <w:szCs w:val="21"/>
              </w:rPr>
              <w:t>不重复享受政策。</w:t>
            </w:r>
          </w:p>
          <w:p>
            <w:pPr>
              <w:snapToGrid w:val="0"/>
              <w:spacing w:line="360" w:lineRule="auto"/>
              <w:ind w:firstLine="233" w:firstLineChars="111"/>
              <w:rPr>
                <w:rFonts w:ascii="宋体" w:hAnsi="宋体"/>
                <w:bCs/>
                <w:szCs w:val="21"/>
              </w:rPr>
            </w:pPr>
            <w:r>
              <w:rPr>
                <w:rFonts w:hint="eastAsia" w:ascii="宋体" w:hAnsi="宋体"/>
                <w:szCs w:val="21"/>
              </w:rPr>
              <w:t>（4）按照</w:t>
            </w:r>
            <w:r>
              <w:rPr>
                <w:rFonts w:hint="eastAsia" w:ascii="宋体" w:hAnsi="宋体"/>
                <w:bCs/>
                <w:szCs w:val="21"/>
              </w:rPr>
              <w:t>《关于促进残疾人就业政府采购政策的通知》（财库〔2017〕141号）的规定，残疾人福利性单位视同小型、微型企业，享受预留份额、评审中价格扣除等促进中小企业发展的政府采购政策。</w:t>
            </w:r>
            <w:r>
              <w:rPr>
                <w:rFonts w:hint="eastAsia" w:ascii="宋体" w:hAnsi="宋体"/>
                <w:szCs w:val="21"/>
              </w:rPr>
              <w:t>残疾人福利性单位参加政府采购活动时，应当提供该通知规定的《残疾人福利性单位声明函》，并对声明的真实性负责。</w:t>
            </w:r>
            <w:r>
              <w:rPr>
                <w:rFonts w:hint="eastAsia" w:ascii="宋体" w:hAnsi="宋体"/>
                <w:bCs/>
                <w:szCs w:val="21"/>
              </w:rPr>
              <w:t>残疾人福利性单位属于小型、微型企业的，不重复享受政策。</w:t>
            </w:r>
          </w:p>
          <w:p>
            <w:pPr>
              <w:snapToGrid w:val="0"/>
              <w:spacing w:line="360" w:lineRule="auto"/>
              <w:ind w:firstLine="233" w:firstLineChars="111"/>
              <w:rPr>
                <w:rFonts w:ascii="宋体" w:hAnsi="宋体"/>
                <w:bCs/>
                <w:szCs w:val="21"/>
              </w:rPr>
            </w:pPr>
            <w:r>
              <w:rPr>
                <w:rFonts w:hint="eastAsia" w:ascii="宋体" w:hAnsi="宋体"/>
                <w:bCs/>
                <w:szCs w:val="21"/>
              </w:rPr>
              <w:t>（5）政策性扣除计算方法。</w:t>
            </w:r>
          </w:p>
          <w:p>
            <w:pPr>
              <w:snapToGrid w:val="0"/>
              <w:spacing w:line="360" w:lineRule="auto"/>
              <w:ind w:firstLine="443" w:firstLineChars="211"/>
              <w:rPr>
                <w:rFonts w:ascii="宋体" w:hAnsi="宋体"/>
                <w:szCs w:val="21"/>
              </w:rPr>
            </w:pPr>
            <w:r>
              <w:rPr>
                <w:rFonts w:hint="eastAsia" w:ascii="宋体" w:hAnsi="宋体"/>
                <w:bCs/>
                <w:szCs w:val="21"/>
              </w:rPr>
              <w:t>在服务采购项目中，服务由小微企业承接；对符合上述要求的投标人的投标报价给予20%的扣除，扣除后的价格为评标报价，即评标报价=投标报价×（1-2</w:t>
            </w:r>
            <w:r>
              <w:rPr>
                <w:rFonts w:ascii="宋体" w:hAnsi="宋体"/>
                <w:bCs/>
                <w:szCs w:val="21"/>
              </w:rPr>
              <w:t>0</w:t>
            </w:r>
            <w:r>
              <w:rPr>
                <w:rFonts w:hint="eastAsia" w:ascii="宋体" w:hAnsi="宋体"/>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Pr>
                <w:rFonts w:hint="eastAsia" w:ascii="宋体" w:hAnsi="宋体"/>
                <w:bCs/>
                <w:szCs w:val="21"/>
                <w:u w:val="single"/>
              </w:rPr>
              <w:t xml:space="preserve"> 6%</w:t>
            </w:r>
            <w:r>
              <w:rPr>
                <w:rFonts w:hint="eastAsia" w:ascii="宋体" w:hAnsi="宋体"/>
                <w:bCs/>
                <w:szCs w:val="21"/>
              </w:rPr>
              <w:t>的扣除，用扣除后的价格参加评审，接受分包的小微企业与分包企业之间存在直接控股、管理关系的，不享受价格扣除优惠政策。扣除后的价格为评标报价，即评标报价=投标报价×（1-</w:t>
            </w:r>
            <w:r>
              <w:rPr>
                <w:rFonts w:hint="eastAsia" w:ascii="宋体" w:hAnsi="宋体"/>
                <w:bCs/>
                <w:szCs w:val="21"/>
                <w:u w:val="single"/>
              </w:rPr>
              <w:t>6</w:t>
            </w:r>
            <w:r>
              <w:rPr>
                <w:rFonts w:hint="eastAsia" w:ascii="宋体" w:hAnsi="宋体"/>
                <w:bCs/>
                <w:szCs w:val="21"/>
              </w:rPr>
              <w:t>%）。除上述情况外，评标报价=投标报价。</w:t>
            </w:r>
          </w:p>
          <w:p>
            <w:pPr>
              <w:snapToGrid w:val="0"/>
              <w:spacing w:line="360" w:lineRule="auto"/>
              <w:ind w:firstLine="233" w:firstLineChars="111"/>
              <w:rPr>
                <w:rFonts w:ascii="宋体" w:hAnsi="宋体"/>
                <w:bCs/>
                <w:szCs w:val="21"/>
              </w:rPr>
            </w:pPr>
            <w:r>
              <w:rPr>
                <w:rFonts w:hint="eastAsia" w:ascii="宋体" w:hAnsi="宋体"/>
                <w:bCs/>
                <w:szCs w:val="21"/>
              </w:rPr>
              <w:t>（6）满足招标文件要求且评标报价最低的评标报价为评标基准价，其价格分为满分。</w:t>
            </w:r>
          </w:p>
          <w:p>
            <w:pPr>
              <w:spacing w:line="360" w:lineRule="auto"/>
              <w:ind w:firstLine="233" w:firstLineChars="111"/>
              <w:rPr>
                <w:rFonts w:ascii="宋体" w:hAnsi="宋体"/>
                <w:bCs/>
                <w:szCs w:val="21"/>
              </w:rPr>
            </w:pPr>
            <w:r>
              <w:rPr>
                <w:rFonts w:hint="eastAsia" w:ascii="宋体" w:hAnsi="宋体"/>
                <w:bCs/>
                <w:szCs w:val="21"/>
              </w:rPr>
              <w:t xml:space="preserve">（7）价格分计算公式：        </w:t>
            </w:r>
          </w:p>
          <w:p>
            <w:pPr>
              <w:ind w:firstLine="630" w:firstLineChars="300"/>
              <w:rPr>
                <w:rFonts w:hAnsi="宋体" w:cs="Courier New"/>
                <w:bCs/>
              </w:rPr>
            </w:pPr>
            <w:r>
              <w:rPr>
                <w:rFonts w:hint="eastAsia" w:hAnsi="宋体"/>
                <w:bCs/>
              </w:rPr>
              <w:t>价格分</w:t>
            </w:r>
            <w:r>
              <w:rPr>
                <w:rFonts w:hint="eastAsia" w:hAnsi="宋体" w:cs="Courier New"/>
                <w:bCs/>
              </w:rPr>
              <w:t>=(评标基准价／评标报价)×</w:t>
            </w:r>
            <w:r>
              <w:rPr>
                <w:rFonts w:hint="eastAsia" w:hAnsi="宋体"/>
                <w:bCs/>
                <w:u w:val="single"/>
              </w:rPr>
              <w:t xml:space="preserve"> 30 </w:t>
            </w:r>
            <w:r>
              <w:rPr>
                <w:rFonts w:hint="eastAsia" w:hAnsi="宋体" w:cs="Courier New"/>
                <w:bCs/>
              </w:rPr>
              <w:t>分</w:t>
            </w:r>
          </w:p>
          <w:p>
            <w:pPr>
              <w:ind w:firstLine="630" w:firstLineChars="300"/>
              <w:rPr>
                <w:rFonts w:hAnsi="宋体" w:cs="Courier New"/>
                <w:b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技术分(50分)</w:t>
            </w:r>
          </w:p>
        </w:tc>
        <w:tc>
          <w:tcPr>
            <w:tcW w:w="715" w:type="dxa"/>
            <w:vMerge w:val="restart"/>
            <w:vAlign w:val="center"/>
          </w:tcPr>
          <w:p>
            <w:pPr>
              <w:spacing w:line="400" w:lineRule="exact"/>
              <w:jc w:val="center"/>
              <w:rPr>
                <w:rFonts w:ascii="宋体" w:hAnsi="宋体" w:cs="宋体"/>
                <w:b/>
                <w:kern w:val="0"/>
                <w:szCs w:val="21"/>
              </w:rPr>
            </w:pPr>
            <w:r>
              <w:rPr>
                <w:rFonts w:hint="eastAsia" w:ascii="宋体" w:hAnsi="宋体" w:cs="宋体"/>
                <w:b/>
                <w:kern w:val="0"/>
                <w:szCs w:val="21"/>
                <w:lang w:bidi="ar"/>
              </w:rPr>
              <w:t>货物性能分（35分）</w:t>
            </w:r>
          </w:p>
        </w:tc>
        <w:tc>
          <w:tcPr>
            <w:tcW w:w="8529" w:type="dxa"/>
            <w:vAlign w:val="center"/>
          </w:tcPr>
          <w:p>
            <w:pPr>
              <w:pStyle w:val="12"/>
              <w:spacing w:line="360" w:lineRule="auto"/>
              <w:rPr>
                <w:rFonts w:hAnsi="宋体"/>
                <w:b/>
              </w:rPr>
            </w:pPr>
            <w:r>
              <w:rPr>
                <w:rFonts w:hint="eastAsia" w:hAnsi="宋体"/>
                <w:b/>
              </w:rPr>
              <w:t>产品基本分（满分25分）</w:t>
            </w:r>
          </w:p>
          <w:p>
            <w:pPr>
              <w:pStyle w:val="12"/>
              <w:spacing w:line="360" w:lineRule="auto"/>
              <w:rPr>
                <w:rFonts w:hAnsi="宋体"/>
                <w:bCs/>
              </w:rPr>
            </w:pPr>
            <w:r>
              <w:rPr>
                <w:rFonts w:hint="eastAsia" w:hAnsi="宋体"/>
                <w:bCs/>
              </w:rPr>
              <w:t>标注“▲”号的技术参数为主要技术参数必须满足或优于，不满足做投标无效处理。</w:t>
            </w:r>
          </w:p>
          <w:p>
            <w:pPr>
              <w:pStyle w:val="12"/>
              <w:spacing w:line="360" w:lineRule="auto"/>
              <w:rPr>
                <w:rFonts w:hAnsi="宋体"/>
                <w:bCs/>
              </w:rPr>
            </w:pPr>
            <w:r>
              <w:rPr>
                <w:rFonts w:hint="eastAsia" w:hAnsi="宋体"/>
                <w:bCs/>
              </w:rPr>
              <w:t>完全满足招标文件技术参数要求的得25分；不标注“▲”号的技术参数，出现负偏离的，每一项扣减5分，扣完25分为止。</w:t>
            </w:r>
          </w:p>
          <w:p>
            <w:pPr>
              <w:pStyle w:val="12"/>
              <w:spacing w:line="360" w:lineRule="auto"/>
              <w:rPr>
                <w:rFonts w:hAnsi="宋体"/>
                <w:bCs/>
              </w:rPr>
            </w:pPr>
            <w:r>
              <w:rPr>
                <w:rFonts w:hint="eastAsia" w:hAnsi="宋体"/>
                <w:bCs/>
              </w:rPr>
              <w:t>注：相同型号产品不重复扣分或加分。</w:t>
            </w:r>
          </w:p>
          <w:p>
            <w:pPr>
              <w:ind w:firstLine="420" w:firstLineChars="200"/>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Merge w:val="continue"/>
            <w:vAlign w:val="center"/>
          </w:tcPr>
          <w:p>
            <w:pPr>
              <w:spacing w:line="400" w:lineRule="exact"/>
              <w:jc w:val="center"/>
              <w:rPr>
                <w:rFonts w:ascii="宋体" w:hAnsi="宋体" w:cs="宋体"/>
                <w:b/>
                <w:kern w:val="0"/>
                <w:szCs w:val="21"/>
                <w:lang w:bidi="ar"/>
              </w:rPr>
            </w:pPr>
          </w:p>
        </w:tc>
        <w:tc>
          <w:tcPr>
            <w:tcW w:w="8529" w:type="dxa"/>
            <w:vAlign w:val="center"/>
          </w:tcPr>
          <w:p>
            <w:pPr>
              <w:pStyle w:val="12"/>
              <w:spacing w:line="360" w:lineRule="auto"/>
              <w:rPr>
                <w:rFonts w:hAnsi="宋体"/>
                <w:b/>
              </w:rPr>
            </w:pPr>
            <w:r>
              <w:rPr>
                <w:rFonts w:hint="eastAsia" w:hAnsi="宋体"/>
                <w:b/>
              </w:rPr>
              <w:t>技术参数正偏离加分(满分10分)</w:t>
            </w:r>
          </w:p>
          <w:p>
            <w:r>
              <w:rPr>
                <w:rFonts w:hint="eastAsia"/>
              </w:rPr>
              <w:t>技术参数中</w:t>
            </w:r>
            <w:r>
              <w:rPr>
                <w:rFonts w:hint="eastAsia" w:hAnsi="宋体"/>
                <w:bCs/>
              </w:rPr>
              <w:t>标注“▲”号的技术参数</w:t>
            </w:r>
            <w:r>
              <w:rPr>
                <w:rFonts w:hint="eastAsia"/>
              </w:rPr>
              <w:t>有优于招标文件要求且评标时被评标委员会接受的，每优于1项加2分，本项满分 10分。</w:t>
            </w:r>
          </w:p>
          <w:p>
            <w:r>
              <w:rPr>
                <w:rFonts w:hint="eastAsia"/>
              </w:rPr>
              <w:t>注:技术参数有优于招标文件要求的，投标人须在投标文件中提供</w:t>
            </w:r>
            <w:r>
              <w:rPr>
                <w:rFonts w:hint="eastAsia"/>
                <w:lang w:val="en-US" w:eastAsia="zh-CN"/>
              </w:rPr>
              <w:t>国家认可</w:t>
            </w:r>
            <w:r>
              <w:rPr>
                <w:rFonts w:hint="eastAsia"/>
              </w:rPr>
              <w:t>的检测机构出具的有效检测报告复印件并加盖投标人公章作为佐证材料，否则不得分。</w:t>
            </w:r>
          </w:p>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2" w:type="dxa"/>
            <w:vMerge w:val="continue"/>
            <w:vAlign w:val="center"/>
          </w:tcPr>
          <w:p>
            <w:pPr>
              <w:jc w:val="center"/>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项目实施方案（满分15分）</w:t>
            </w:r>
          </w:p>
        </w:tc>
        <w:tc>
          <w:tcPr>
            <w:tcW w:w="8529" w:type="dxa"/>
          </w:tcPr>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提供实施方案满足招标文件的要求，实施方案科学合理，包括但不限于：（1）总体进度安排；（2）质量保证措施；（3）安全生产保障措施；（4）安装实施方案；（</w:t>
            </w:r>
            <w:r>
              <w:rPr>
                <w:rFonts w:hint="eastAsia" w:ascii="宋体" w:hAnsi="宋体"/>
                <w:bCs/>
                <w:color w:val="000000"/>
                <w:szCs w:val="22"/>
                <w:lang w:val="en-US" w:eastAsia="zh-CN"/>
              </w:rPr>
              <w:t>5</w:t>
            </w:r>
            <w:r>
              <w:rPr>
                <w:rFonts w:hint="eastAsia" w:ascii="宋体" w:hAnsi="宋体"/>
                <w:bCs/>
                <w:color w:val="000000"/>
                <w:szCs w:val="22"/>
              </w:rPr>
              <w:t>）培训方案；</w:t>
            </w:r>
          </w:p>
          <w:p>
            <w:pPr>
              <w:widowControl/>
              <w:spacing w:line="400" w:lineRule="exact"/>
              <w:ind w:firstLine="420" w:firstLineChars="200"/>
              <w:rPr>
                <w:rFonts w:hint="eastAsia" w:ascii="宋体" w:hAnsi="宋体"/>
                <w:bCs/>
                <w:color w:val="000000"/>
                <w:szCs w:val="22"/>
              </w:rPr>
            </w:pPr>
            <w:r>
              <w:rPr>
                <w:rFonts w:hint="eastAsia" w:ascii="宋体" w:hAnsi="宋体"/>
                <w:bCs/>
                <w:color w:val="000000"/>
                <w:szCs w:val="22"/>
              </w:rPr>
              <w:t>方案包含以上</w:t>
            </w:r>
            <w:r>
              <w:rPr>
                <w:rFonts w:hint="eastAsia" w:ascii="宋体" w:hAnsi="宋体"/>
                <w:bCs/>
                <w:color w:val="000000"/>
                <w:szCs w:val="22"/>
                <w:lang w:val="en-US" w:eastAsia="zh-CN"/>
              </w:rPr>
              <w:t>5</w:t>
            </w:r>
            <w:r>
              <w:rPr>
                <w:rFonts w:hint="eastAsia" w:ascii="宋体" w:hAnsi="宋体"/>
                <w:bCs/>
                <w:color w:val="000000"/>
                <w:szCs w:val="22"/>
              </w:rPr>
              <w:t>个内容，所提供的每小项方案中无缺陷得</w:t>
            </w:r>
            <w:r>
              <w:rPr>
                <w:rFonts w:hint="eastAsia" w:ascii="宋体" w:hAnsi="宋体"/>
                <w:bCs/>
                <w:color w:val="000000"/>
                <w:szCs w:val="22"/>
                <w:lang w:val="en-US" w:eastAsia="zh-CN"/>
              </w:rPr>
              <w:t>3</w:t>
            </w:r>
            <w:r>
              <w:rPr>
                <w:rFonts w:hint="eastAsia" w:ascii="宋体" w:hAnsi="宋体"/>
                <w:bCs/>
                <w:color w:val="000000"/>
                <w:szCs w:val="22"/>
              </w:rPr>
              <w:t>分，满分1</w:t>
            </w:r>
            <w:r>
              <w:rPr>
                <w:rFonts w:hint="eastAsia" w:ascii="宋体" w:hAnsi="宋体"/>
                <w:bCs/>
                <w:color w:val="000000"/>
                <w:szCs w:val="22"/>
                <w:lang w:val="en-US" w:eastAsia="zh-CN"/>
              </w:rPr>
              <w:t>5</w:t>
            </w:r>
            <w:r>
              <w:rPr>
                <w:rFonts w:hint="eastAsia" w:ascii="宋体" w:hAnsi="宋体"/>
                <w:bCs/>
                <w:color w:val="000000"/>
                <w:szCs w:val="22"/>
              </w:rPr>
              <w:t>分。未提供或有缺陷不得分。</w:t>
            </w:r>
          </w:p>
          <w:p>
            <w:pPr>
              <w:widowControl/>
              <w:spacing w:line="400" w:lineRule="exact"/>
              <w:ind w:firstLine="420" w:firstLineChars="200"/>
              <w:rPr>
                <w:rFonts w:ascii="宋体" w:hAnsi="宋体" w:cs="宋体"/>
                <w:szCs w:val="21"/>
                <w:lang w:bidi="ar"/>
              </w:rPr>
            </w:pPr>
            <w:r>
              <w:rPr>
                <w:rFonts w:hint="eastAsia" w:ascii="宋体" w:hAnsi="宋体"/>
                <w:bCs/>
                <w:color w:val="000000"/>
                <w:szCs w:val="22"/>
              </w:rPr>
              <w:t>注：（1）缺陷或不足是指内容逻辑混乱，不符合相关的国家、行业标准；（2）不完整指内容具有明显缺陷，前后内容无法连贯，不符合项目实际情况（内容脱离了实际采购情况）不利于采购人依照方案实施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782" w:type="dxa"/>
            <w:vMerge w:val="restart"/>
            <w:vAlign w:val="center"/>
          </w:tcPr>
          <w:p>
            <w:pPr>
              <w:spacing w:line="360" w:lineRule="auto"/>
              <w:jc w:val="left"/>
              <w:rPr>
                <w:rFonts w:ascii="宋体" w:hAnsi="宋体" w:cs="宋体"/>
                <w:b/>
                <w:szCs w:val="21"/>
                <w:shd w:val="clear" w:color="auto" w:fill="FFFFFF"/>
              </w:rPr>
            </w:pPr>
            <w:r>
              <w:rPr>
                <w:rFonts w:hint="eastAsia" w:ascii="宋体" w:hAnsi="宋体" w:cs="宋体"/>
                <w:b/>
                <w:szCs w:val="21"/>
                <w:shd w:val="clear" w:color="auto" w:fill="FFFFFF"/>
              </w:rPr>
              <w:t>商务分(20分)</w:t>
            </w:r>
          </w:p>
        </w:tc>
        <w:tc>
          <w:tcPr>
            <w:tcW w:w="715" w:type="dxa"/>
            <w:vAlign w:val="center"/>
          </w:tcPr>
          <w:p>
            <w:pPr>
              <w:spacing w:line="400" w:lineRule="exact"/>
              <w:rPr>
                <w:rFonts w:ascii="宋体" w:hAnsi="宋体" w:cs="宋体"/>
                <w:b/>
                <w:szCs w:val="21"/>
              </w:rPr>
            </w:pPr>
            <w:r>
              <w:rPr>
                <w:rFonts w:hint="eastAsia" w:ascii="宋体" w:hAnsi="宋体" w:cs="新宋体"/>
                <w:b/>
                <w:bCs/>
                <w:szCs w:val="21"/>
              </w:rPr>
              <w:t>信誉分（满分</w:t>
            </w:r>
            <w:r>
              <w:rPr>
                <w:rFonts w:hint="eastAsia" w:ascii="宋体" w:hAnsi="宋体" w:cs="新宋体"/>
                <w:b/>
                <w:bCs/>
                <w:szCs w:val="21"/>
                <w:lang w:val="en-US" w:eastAsia="zh-CN"/>
              </w:rPr>
              <w:t>4</w:t>
            </w:r>
            <w:r>
              <w:rPr>
                <w:rFonts w:hint="eastAsia" w:ascii="宋体" w:hAnsi="宋体" w:cs="新宋体"/>
                <w:b/>
                <w:bCs/>
                <w:szCs w:val="21"/>
              </w:rPr>
              <w:t>分）</w:t>
            </w:r>
          </w:p>
        </w:tc>
        <w:tc>
          <w:tcPr>
            <w:tcW w:w="8529" w:type="dxa"/>
            <w:vAlign w:val="center"/>
          </w:tcPr>
          <w:p>
            <w:pPr>
              <w:spacing w:line="360" w:lineRule="auto"/>
              <w:ind w:firstLine="435"/>
              <w:jc w:val="left"/>
              <w:rPr>
                <w:rFonts w:hint="eastAsia"/>
                <w:snapToGrid w:val="0"/>
                <w:color w:val="0D0D0D"/>
                <w:lang w:val="en-US" w:eastAsia="zh-CN"/>
              </w:rPr>
            </w:pPr>
            <w:r>
              <w:rPr>
                <w:rFonts w:hint="eastAsia"/>
                <w:snapToGrid w:val="0"/>
                <w:color w:val="0D0D0D"/>
                <w:lang w:val="en-US" w:eastAsia="zh-CN"/>
              </w:rPr>
              <w:t>A分标：投标人或投标核心产品“98寸多媒体设备”具有ISO9001质量管理体系认证证书、ISO14001环境管理体系认证的，每个得2分，满分4分。（提交证书证明材料，且证书必须处于有效期，否则不得分）</w:t>
            </w:r>
          </w:p>
          <w:p>
            <w:pPr>
              <w:spacing w:line="360" w:lineRule="auto"/>
              <w:ind w:firstLine="435"/>
              <w:jc w:val="left"/>
              <w:rPr>
                <w:rFonts w:hint="default"/>
                <w:snapToGrid w:val="0"/>
                <w:color w:val="0D0D0D"/>
                <w:lang w:val="en-US" w:eastAsia="zh-CN"/>
              </w:rPr>
            </w:pPr>
            <w:r>
              <w:rPr>
                <w:rFonts w:hint="eastAsia"/>
                <w:snapToGrid w:val="0"/>
                <w:color w:val="0D0D0D"/>
                <w:lang w:val="en-US" w:eastAsia="zh-CN"/>
              </w:rPr>
              <w:t>B分标：投标人或投标核心产品“计算机”具有</w:t>
            </w:r>
            <w:bookmarkStart w:id="138" w:name="OLE_LINK4"/>
            <w:r>
              <w:rPr>
                <w:rFonts w:hint="eastAsia"/>
                <w:snapToGrid w:val="0"/>
                <w:color w:val="0D0D0D"/>
                <w:lang w:val="en-US" w:eastAsia="zh-CN"/>
              </w:rPr>
              <w:t>ISO9001质量管理体系认证证书</w:t>
            </w:r>
            <w:bookmarkEnd w:id="138"/>
            <w:r>
              <w:rPr>
                <w:rFonts w:hint="eastAsia"/>
                <w:snapToGrid w:val="0"/>
                <w:color w:val="0D0D0D"/>
                <w:lang w:val="en-US" w:eastAsia="zh-CN"/>
              </w:rPr>
              <w:t>、ISO14001环境管理体系认证的，每个得2分，满分4分。（提交证书证明材料，且证书必须处于有效期，否则不得分）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Merge w:val="continue"/>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kern w:val="0"/>
                <w:szCs w:val="21"/>
              </w:rPr>
            </w:pPr>
            <w:r>
              <w:rPr>
                <w:rFonts w:hint="eastAsia" w:ascii="宋体" w:hAnsi="宋体" w:cs="宋体"/>
                <w:b/>
                <w:szCs w:val="21"/>
              </w:rPr>
              <w:t>售后服务分（满分</w:t>
            </w:r>
            <w:r>
              <w:rPr>
                <w:rFonts w:hint="eastAsia" w:ascii="宋体" w:hAnsi="宋体" w:cs="宋体"/>
                <w:b/>
                <w:szCs w:val="21"/>
                <w:lang w:val="en-US" w:eastAsia="zh-CN"/>
              </w:rPr>
              <w:t>14</w:t>
            </w:r>
            <w:r>
              <w:rPr>
                <w:rFonts w:hint="eastAsia" w:ascii="宋体" w:hAnsi="宋体" w:cs="宋体"/>
                <w:b/>
                <w:szCs w:val="21"/>
              </w:rPr>
              <w:t>分）</w:t>
            </w:r>
          </w:p>
        </w:tc>
        <w:tc>
          <w:tcPr>
            <w:tcW w:w="8529" w:type="dxa"/>
            <w:vAlign w:val="center"/>
          </w:tcPr>
          <w:p>
            <w:pPr>
              <w:widowControl/>
              <w:spacing w:line="400" w:lineRule="exact"/>
              <w:ind w:firstLine="420" w:firstLineChars="200"/>
              <w:rPr>
                <w:rFonts w:hint="eastAsia" w:ascii="宋体" w:hAnsi="宋体" w:cs="宋体"/>
                <w:szCs w:val="21"/>
                <w:lang w:val="en-US" w:eastAsia="zh-CN" w:bidi="ar"/>
              </w:rPr>
            </w:pPr>
            <w:r>
              <w:rPr>
                <w:rFonts w:hint="eastAsia" w:ascii="宋体" w:hAnsi="宋体" w:cs="宋体"/>
                <w:szCs w:val="21"/>
                <w:lang w:val="en-US" w:eastAsia="zh-CN" w:bidi="ar"/>
              </w:rPr>
              <w:t>由评委根据投标人的方案优劣独立打分，以下各项以得分最高的计分，不重复得分，不能达到一档要求的得0分。</w:t>
            </w:r>
          </w:p>
          <w:p>
            <w:pPr>
              <w:pStyle w:val="12"/>
              <w:spacing w:line="360" w:lineRule="auto"/>
              <w:ind w:firstLine="420" w:firstLineChars="200"/>
              <w:rPr>
                <w:rFonts w:hAnsi="宋体"/>
                <w:bCs/>
              </w:rPr>
            </w:pPr>
            <w:r>
              <w:rPr>
                <w:rFonts w:hint="eastAsia" w:hAnsi="宋体"/>
                <w:bCs/>
              </w:rPr>
              <w:t>一档（</w:t>
            </w:r>
            <w:r>
              <w:rPr>
                <w:rFonts w:hint="eastAsia" w:hAnsi="宋体"/>
                <w:bCs/>
                <w:lang w:val="en-US" w:eastAsia="zh-CN"/>
              </w:rPr>
              <w:t>6</w:t>
            </w:r>
            <w:r>
              <w:rPr>
                <w:rFonts w:hint="eastAsia" w:hAnsi="宋体"/>
                <w:bCs/>
              </w:rPr>
              <w:t>分）：投标人针对本项目的售后服务方案，要求以售后服务承诺书内容有技术培训方案、保修期（免费软件升级期）外维修方案等。</w:t>
            </w:r>
          </w:p>
          <w:p>
            <w:pPr>
              <w:pStyle w:val="12"/>
              <w:spacing w:line="360" w:lineRule="auto"/>
              <w:ind w:firstLine="420" w:firstLineChars="200"/>
              <w:rPr>
                <w:rFonts w:hAnsi="宋体"/>
                <w:bCs/>
              </w:rPr>
            </w:pPr>
            <w:r>
              <w:rPr>
                <w:rFonts w:hint="eastAsia" w:hAnsi="宋体"/>
                <w:bCs/>
              </w:rPr>
              <w:t>二档（</w:t>
            </w:r>
            <w:r>
              <w:rPr>
                <w:rFonts w:hint="eastAsia" w:hAnsi="宋体"/>
                <w:bCs/>
                <w:lang w:val="en-US" w:eastAsia="zh-CN"/>
              </w:rPr>
              <w:t>10</w:t>
            </w:r>
            <w:r>
              <w:rPr>
                <w:rFonts w:hint="eastAsia" w:hAnsi="宋体"/>
                <w:bCs/>
              </w:rPr>
              <w:t>分）：投标人的售后方案中，售后服务承诺书内容完整、提供免费技术培训方案、保修期（免费软件升级期）外维修方案、售后服务措施，故障解决方案中维修时间超过12小时不超过24个小时，能提供备用产品用于替待使用，有安装要求及方案且描述了项目售后维护和应急保障方案的方法以及实现方式和其他优惠措施。</w:t>
            </w:r>
          </w:p>
          <w:p>
            <w:pPr>
              <w:pStyle w:val="12"/>
              <w:spacing w:line="360" w:lineRule="auto"/>
              <w:ind w:firstLine="420" w:firstLineChars="200"/>
              <w:rPr>
                <w:rFonts w:hAnsi="宋体"/>
                <w:bCs/>
              </w:rPr>
            </w:pPr>
            <w:r>
              <w:rPr>
                <w:rFonts w:hint="eastAsia" w:hAnsi="宋体"/>
                <w:bCs/>
              </w:rPr>
              <w:t>三档（</w:t>
            </w:r>
            <w:r>
              <w:rPr>
                <w:rFonts w:hint="eastAsia" w:hAnsi="宋体"/>
                <w:bCs/>
                <w:lang w:val="en-US" w:eastAsia="zh-CN"/>
              </w:rPr>
              <w:t>14</w:t>
            </w:r>
            <w:r>
              <w:rPr>
                <w:rFonts w:hint="eastAsia" w:hAnsi="宋体"/>
                <w:bCs/>
              </w:rPr>
              <w:t>分）：投标人的售后方案中，售后服务承诺书内容完整、3小时到达故障现场时间、故障出现解决方案中维修时间不超过12小时，当天能提供备用产品用于替代使用，有定期维护 (注明时间)、有免费技术培训方案、免费保修期（免费软件升级期）外维修方案、售后服务措施、其他优惠措施、安装要求及方案，应急保障方案且描述了项目售后维护和应急保障方案的方法以及实现方式，服务承诺和保障措施考虑周全完整。</w:t>
            </w:r>
          </w:p>
          <w:p>
            <w:pPr>
              <w:rPr>
                <w:rFonts w:ascii="宋体" w:hAnsi="宋体"/>
                <w:szCs w:val="21"/>
              </w:rPr>
            </w:pPr>
            <w:r>
              <w:rPr>
                <w:rFonts w:hint="eastAsia" w:ascii="宋体" w:hAnsi="宋体" w:cs="新宋体"/>
                <w:b/>
                <w:szCs w:val="21"/>
              </w:rPr>
              <w:t>评审依据：投标文件中提供方案，由评标委员会判定档次得分</w:t>
            </w:r>
            <w:r>
              <w:rPr>
                <w:rFonts w:hint="eastAsia" w:hAnsi="宋体" w:cs="新宋体"/>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4"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hint="eastAsia" w:ascii="宋体" w:hAnsi="宋体" w:cs="宋体"/>
                <w:b/>
                <w:szCs w:val="21"/>
              </w:rPr>
            </w:pPr>
            <w:r>
              <w:rPr>
                <w:rFonts w:hint="eastAsia" w:ascii="宋体" w:hAnsi="宋体" w:cs="宋体"/>
                <w:b/>
                <w:szCs w:val="21"/>
              </w:rPr>
              <w:t>政策分（满分2）</w:t>
            </w:r>
          </w:p>
        </w:tc>
        <w:tc>
          <w:tcPr>
            <w:tcW w:w="8529" w:type="dxa"/>
            <w:vAlign w:val="center"/>
          </w:tcPr>
          <w:p>
            <w:pPr>
              <w:widowControl/>
              <w:spacing w:line="380" w:lineRule="exact"/>
              <w:jc w:val="left"/>
              <w:rPr>
                <w:rFonts w:ascii="宋体" w:hAnsi="宋体"/>
                <w:szCs w:val="21"/>
              </w:rPr>
            </w:pPr>
            <w:r>
              <w:rPr>
                <w:rFonts w:hint="eastAsia" w:ascii="宋体" w:hAnsi="宋体"/>
                <w:szCs w:val="21"/>
              </w:rPr>
              <w:t>（1）投标产品为政府采购节能产品的得1分（适用于非强制采购节能产品，以有效的政府采购节能产品认证证书复印件为准，投标产品需清晰反映在证书上）。</w:t>
            </w:r>
          </w:p>
          <w:p>
            <w:pPr>
              <w:widowControl/>
              <w:spacing w:line="380" w:lineRule="exact"/>
              <w:jc w:val="left"/>
              <w:rPr>
                <w:rFonts w:ascii="宋体" w:hAnsi="宋体"/>
                <w:szCs w:val="21"/>
              </w:rPr>
            </w:pPr>
            <w:r>
              <w:rPr>
                <w:rFonts w:hint="eastAsia" w:ascii="宋体" w:hAnsi="宋体"/>
                <w:szCs w:val="21"/>
              </w:rPr>
              <w:t>（2）投标产品为政府采购环境标志产品的得1分（以有效的政府采购环境标志产品认证证书复印件为准，投标产品需清晰反映在证书上）。</w:t>
            </w:r>
          </w:p>
          <w:p>
            <w:pPr>
              <w:pStyle w:val="39"/>
              <w:spacing w:line="276" w:lineRule="auto"/>
              <w:ind w:left="420" w:leftChars="0" w:hanging="420" w:firstLineChars="0"/>
              <w:rPr>
                <w:rFonts w:hint="eastAsia" w:ascii="宋体" w:hAnsi="宋体" w:cs="新宋体"/>
                <w:b/>
                <w:szCs w:val="21"/>
              </w:rPr>
            </w:pPr>
            <w:r>
              <w:rPr>
                <w:rFonts w:hint="eastAsia" w:ascii="宋体" w:hAnsi="宋体" w:eastAsia="宋体"/>
                <w:b w:val="0"/>
                <w:sz w:val="21"/>
                <w:szCs w:val="21"/>
              </w:rPr>
              <w:t>（3）非节能、环保的产品不得分。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5" w:hRule="atLeast"/>
          <w:jc w:val="center"/>
        </w:trPr>
        <w:tc>
          <w:tcPr>
            <w:tcW w:w="782" w:type="dxa"/>
            <w:vAlign w:val="center"/>
          </w:tcPr>
          <w:p>
            <w:pPr>
              <w:spacing w:line="360" w:lineRule="auto"/>
              <w:jc w:val="left"/>
              <w:rPr>
                <w:rFonts w:ascii="宋体" w:hAnsi="宋体" w:cs="宋体"/>
                <w:b/>
                <w:szCs w:val="21"/>
                <w:shd w:val="clear" w:color="auto" w:fill="FFFFFF"/>
              </w:rPr>
            </w:pPr>
          </w:p>
        </w:tc>
        <w:tc>
          <w:tcPr>
            <w:tcW w:w="715" w:type="dxa"/>
            <w:vAlign w:val="center"/>
          </w:tcPr>
          <w:p>
            <w:pPr>
              <w:spacing w:line="400" w:lineRule="exact"/>
              <w:jc w:val="center"/>
              <w:rPr>
                <w:rFonts w:ascii="宋体" w:hAnsi="宋体" w:cs="宋体"/>
                <w:b/>
                <w:szCs w:val="21"/>
              </w:rPr>
            </w:pPr>
            <w:r>
              <w:rPr>
                <w:rFonts w:hint="eastAsia" w:ascii="宋体" w:hAnsi="宋体" w:cs="宋体"/>
                <w:b/>
                <w:szCs w:val="21"/>
              </w:rPr>
              <w:t>诚信分（-6~0分</w:t>
            </w:r>
            <w:r>
              <w:rPr>
                <w:rFonts w:hint="eastAsia" w:ascii="宋体" w:hAnsi="宋体"/>
                <w:bCs/>
                <w:szCs w:val="21"/>
              </w:rPr>
              <w:t>）</w:t>
            </w:r>
          </w:p>
        </w:tc>
        <w:tc>
          <w:tcPr>
            <w:tcW w:w="8529" w:type="dxa"/>
            <w:vAlign w:val="center"/>
          </w:tcPr>
          <w:p>
            <w:pPr>
              <w:pStyle w:val="39"/>
              <w:spacing w:line="276" w:lineRule="auto"/>
              <w:rPr>
                <w:rFonts w:ascii="宋体" w:hAnsi="宋体" w:eastAsia="宋体" w:cs="新宋体"/>
                <w:bCs/>
                <w:sz w:val="21"/>
                <w:szCs w:val="21"/>
              </w:rPr>
            </w:pPr>
            <w:r>
              <w:rPr>
                <w:rFonts w:hint="eastAsia" w:ascii="宋体" w:hAnsi="宋体" w:eastAsia="宋体" w:cs="新宋体"/>
                <w:b w:val="0"/>
                <w:sz w:val="21"/>
                <w:szCs w:val="21"/>
              </w:rPr>
              <w:t>投标人在截标日前一年内在政府采购活动中存在违约情况的，每次扣除3分，最高扣6分。(投标人提供出具书面说明或其他有效证明材料作为评分依据，中标后由采购人进行核查，如核查后发现未如实提供的，按提供虚假材料处理。)</w:t>
            </w:r>
          </w:p>
        </w:tc>
      </w:tr>
    </w:tbl>
    <w:p>
      <w:pPr>
        <w:pStyle w:val="13"/>
      </w:pPr>
    </w:p>
    <w:p>
      <w:pPr>
        <w:pStyle w:val="13"/>
        <w:rPr>
          <w:b/>
          <w:bCs/>
          <w:color w:val="FF0000"/>
          <w:sz w:val="28"/>
          <w:szCs w:val="28"/>
        </w:rPr>
      </w:pPr>
    </w:p>
    <w:p>
      <w:pPr>
        <w:pStyle w:val="13"/>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b/>
          <w:bCs/>
          <w:color w:val="FF0000"/>
          <w:sz w:val="28"/>
          <w:szCs w:val="28"/>
        </w:rPr>
      </w:pPr>
    </w:p>
    <w:p>
      <w:pPr>
        <w:rPr>
          <w:rFonts w:hAnsi="宋体" w:cs="宋体"/>
          <w:b/>
          <w:sz w:val="36"/>
        </w:rPr>
      </w:pPr>
      <w:bookmarkStart w:id="139" w:name="_Toc5664"/>
      <w:r>
        <w:rPr>
          <w:rFonts w:hint="eastAsia" w:hAnsi="宋体" w:cs="宋体"/>
          <w:b/>
          <w:sz w:val="36"/>
        </w:rPr>
        <w:br w:type="page"/>
      </w:r>
    </w:p>
    <w:bookmarkEnd w:id="139"/>
    <w:p>
      <w:pPr>
        <w:pStyle w:val="12"/>
        <w:tabs>
          <w:tab w:val="left" w:pos="2472"/>
        </w:tabs>
        <w:spacing w:line="360" w:lineRule="auto"/>
        <w:jc w:val="center"/>
        <w:outlineLvl w:val="0"/>
        <w:rPr>
          <w:rFonts w:hAnsi="宋体" w:cs="宋体"/>
          <w:b/>
          <w:sz w:val="36"/>
        </w:rPr>
      </w:pPr>
      <w:r>
        <w:rPr>
          <w:rFonts w:hint="eastAsia" w:hAnsi="宋体" w:cs="宋体"/>
          <w:b/>
          <w:sz w:val="36"/>
        </w:rPr>
        <w:t>第五章 拟签订的合同文本</w:t>
      </w:r>
    </w:p>
    <w:p>
      <w:pPr>
        <w:spacing w:line="360" w:lineRule="auto"/>
        <w:rPr>
          <w:rFonts w:ascii="宋体" w:hAnsi="宋体" w:cs="宋体"/>
          <w:sz w:val="24"/>
        </w:rPr>
      </w:pPr>
    </w:p>
    <w:p>
      <w:pPr>
        <w:spacing w:line="360" w:lineRule="auto"/>
        <w:rPr>
          <w:rFonts w:ascii="宋体" w:hAnsi="宋体" w:cs="宋体"/>
          <w:sz w:val="24"/>
          <w:u w:val="single"/>
        </w:rPr>
      </w:pPr>
      <w:r>
        <w:rPr>
          <w:rFonts w:hint="eastAsia" w:ascii="宋体" w:hAnsi="宋体" w:cs="宋体"/>
          <w:sz w:val="24"/>
        </w:rPr>
        <w:t>“政采云”平台合同编号：</w:t>
      </w:r>
      <w:r>
        <w:rPr>
          <w:rFonts w:hint="eastAsia" w:ascii="宋体" w:hAnsi="宋体" w:cs="宋体"/>
          <w:sz w:val="24"/>
          <w:u w:val="single"/>
        </w:rPr>
        <w:t xml:space="preserve">           </w:t>
      </w:r>
    </w:p>
    <w:p>
      <w:pPr>
        <w:spacing w:line="360" w:lineRule="auto"/>
        <w:jc w:val="center"/>
        <w:rPr>
          <w:rFonts w:ascii="宋体" w:hAnsi="宋体" w:cs="宋体"/>
          <w:b/>
          <w:bCs/>
          <w:sz w:val="52"/>
        </w:rPr>
      </w:pPr>
    </w:p>
    <w:p>
      <w:pPr>
        <w:spacing w:line="360" w:lineRule="auto"/>
        <w:jc w:val="center"/>
        <w:rPr>
          <w:rFonts w:ascii="宋体" w:hAnsi="宋体" w:cs="宋体"/>
          <w:b/>
          <w:bCs/>
          <w:sz w:val="52"/>
        </w:rPr>
      </w:pPr>
    </w:p>
    <w:p>
      <w:pPr>
        <w:spacing w:line="360" w:lineRule="auto"/>
        <w:jc w:val="center"/>
        <w:rPr>
          <w:rFonts w:ascii="宋体" w:hAnsi="宋体" w:cs="宋体"/>
          <w:b/>
          <w:bCs/>
          <w:sz w:val="52"/>
        </w:rPr>
      </w:pPr>
      <w:r>
        <w:rPr>
          <w:rFonts w:hint="eastAsia" w:ascii="宋体" w:hAnsi="宋体" w:cs="宋体"/>
          <w:b/>
          <w:bCs/>
          <w:sz w:val="52"/>
        </w:rPr>
        <w:t>南 宁 市 政 府 采 购</w:t>
      </w:r>
    </w:p>
    <w:p>
      <w:pPr>
        <w:spacing w:line="360" w:lineRule="auto"/>
        <w:ind w:firstLine="420" w:firstLineChars="200"/>
        <w:rPr>
          <w:rFonts w:ascii="宋体" w:hAnsi="宋体" w:cs="宋体"/>
        </w:rPr>
      </w:pPr>
    </w:p>
    <w:p>
      <w:pPr>
        <w:spacing w:line="360" w:lineRule="auto"/>
        <w:ind w:firstLine="420" w:firstLineChars="200"/>
        <w:rPr>
          <w:rFonts w:ascii="宋体" w:hAnsi="宋体" w:cs="宋体"/>
        </w:rPr>
      </w:pPr>
      <w:r>
        <w:rPr>
          <w:rFonts w:hint="eastAsia" w:ascii="宋体" w:hAnsi="宋体" w:cs="宋体"/>
        </w:rPr>
        <w:t xml:space="preserve">                                                 </w:t>
      </w:r>
    </w:p>
    <w:p>
      <w:pPr>
        <w:spacing w:line="360" w:lineRule="auto"/>
        <w:jc w:val="center"/>
        <w:rPr>
          <w:rFonts w:ascii="宋体" w:hAnsi="宋体" w:cs="宋体"/>
          <w:b/>
          <w:bCs/>
          <w:spacing w:val="-6"/>
          <w:sz w:val="36"/>
          <w:szCs w:val="36"/>
        </w:rPr>
      </w:pPr>
      <w:r>
        <w:rPr>
          <w:rFonts w:hint="eastAsia" w:ascii="宋体" w:hAnsi="宋体" w:cs="宋体"/>
          <w:b/>
          <w:sz w:val="36"/>
          <w:szCs w:val="36"/>
          <w:u w:val="single"/>
        </w:rPr>
        <w:t>隆安县第三中学江滨校区设施设备采购项目</w:t>
      </w:r>
      <w:r>
        <w:rPr>
          <w:rFonts w:hint="eastAsia" w:ascii="宋体" w:hAnsi="宋体" w:cs="宋体"/>
          <w:b/>
          <w:bCs/>
          <w:spacing w:val="-6"/>
          <w:sz w:val="36"/>
          <w:szCs w:val="36"/>
        </w:rPr>
        <w:t>合同</w:t>
      </w:r>
    </w:p>
    <w:p>
      <w:pPr>
        <w:spacing w:line="360" w:lineRule="auto"/>
        <w:jc w:val="center"/>
        <w:rPr>
          <w:rFonts w:ascii="宋体" w:hAnsi="宋体" w:cs="宋体"/>
          <w:b/>
          <w:bCs/>
          <w:sz w:val="44"/>
        </w:rPr>
      </w:pPr>
    </w:p>
    <w:p>
      <w:pPr>
        <w:spacing w:line="360" w:lineRule="auto"/>
        <w:jc w:val="center"/>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3507" w:firstLineChars="794"/>
        <w:rPr>
          <w:rFonts w:ascii="宋体" w:hAnsi="宋体" w:cs="宋体"/>
          <w:b/>
          <w:bCs/>
          <w:sz w:val="44"/>
        </w:rPr>
      </w:pPr>
    </w:p>
    <w:p>
      <w:pPr>
        <w:spacing w:line="360" w:lineRule="auto"/>
        <w:ind w:firstLine="1995" w:firstLineChars="552"/>
        <w:rPr>
          <w:rFonts w:ascii="宋体" w:hAnsi="宋体" w:cs="宋体"/>
          <w:b/>
          <w:sz w:val="36"/>
          <w:szCs w:val="36"/>
        </w:rPr>
      </w:pPr>
      <w:r>
        <w:rPr>
          <w:rFonts w:hint="eastAsia" w:ascii="宋体" w:hAnsi="宋体" w:cs="宋体"/>
          <w:b/>
          <w:sz w:val="36"/>
          <w:szCs w:val="36"/>
        </w:rPr>
        <w:t>项目编号：</w:t>
      </w:r>
      <w:r>
        <w:rPr>
          <w:rFonts w:hint="eastAsia" w:ascii="宋体" w:hAnsi="宋体" w:cs="宋体"/>
          <w:b/>
          <w:sz w:val="36"/>
          <w:szCs w:val="36"/>
          <w:u w:val="single"/>
        </w:rPr>
        <w:t xml:space="preserve"> </w:t>
      </w:r>
      <w:r>
        <w:rPr>
          <w:rFonts w:ascii="宋体" w:hAnsi="宋体" w:cs="宋体"/>
          <w:b/>
          <w:sz w:val="36"/>
          <w:szCs w:val="36"/>
          <w:u w:val="single"/>
        </w:rPr>
        <w:t>NNZC2025-G1-230040-NNSL</w:t>
      </w:r>
    </w:p>
    <w:p>
      <w:pPr>
        <w:spacing w:line="360" w:lineRule="auto"/>
        <w:ind w:firstLine="1995" w:firstLineChars="552"/>
        <w:rPr>
          <w:rFonts w:ascii="宋体" w:hAnsi="宋体" w:cs="宋体"/>
          <w:b/>
          <w:sz w:val="36"/>
          <w:szCs w:val="36"/>
        </w:rPr>
      </w:pPr>
      <w:r>
        <w:rPr>
          <w:rFonts w:hint="eastAsia" w:ascii="宋体" w:hAnsi="宋体" w:cs="宋体"/>
          <w:b/>
          <w:sz w:val="36"/>
          <w:szCs w:val="36"/>
        </w:rPr>
        <w:t>计划编号：</w:t>
      </w:r>
      <w:r>
        <w:rPr>
          <w:rFonts w:hint="eastAsia" w:ascii="宋体" w:hAnsi="宋体" w:cs="宋体"/>
          <w:b/>
          <w:sz w:val="36"/>
          <w:szCs w:val="36"/>
          <w:u w:val="single"/>
        </w:rPr>
        <w:t xml:space="preserve">  LAZC2025-G1-00620  </w:t>
      </w:r>
    </w:p>
    <w:p>
      <w:pPr>
        <w:spacing w:line="360" w:lineRule="auto"/>
        <w:ind w:firstLine="1970" w:firstLineChars="545"/>
        <w:rPr>
          <w:rFonts w:ascii="宋体" w:hAnsi="宋体" w:cs="宋体"/>
          <w:b/>
          <w:sz w:val="36"/>
          <w:szCs w:val="36"/>
          <w:u w:val="single"/>
        </w:rPr>
      </w:pPr>
    </w:p>
    <w:p>
      <w:pPr>
        <w:tabs>
          <w:tab w:val="left" w:pos="7200"/>
        </w:tabs>
        <w:spacing w:line="360" w:lineRule="auto"/>
        <w:ind w:firstLine="1995" w:firstLineChars="552"/>
        <w:rPr>
          <w:rFonts w:ascii="宋体" w:hAnsi="宋体" w:cs="宋体"/>
          <w:b/>
          <w:sz w:val="36"/>
          <w:szCs w:val="36"/>
          <w:u w:val="single"/>
        </w:rPr>
      </w:pPr>
      <w:r>
        <w:rPr>
          <w:rFonts w:hint="eastAsia" w:ascii="宋体" w:hAnsi="宋体" w:cs="宋体"/>
          <w:b/>
          <w:sz w:val="36"/>
          <w:szCs w:val="36"/>
        </w:rPr>
        <w:t>采购人：</w:t>
      </w:r>
      <w:r>
        <w:rPr>
          <w:rFonts w:hint="eastAsia" w:ascii="宋体" w:hAnsi="宋体" w:cs="宋体"/>
          <w:b/>
          <w:sz w:val="36"/>
          <w:szCs w:val="36"/>
          <w:u w:val="single"/>
        </w:rPr>
        <w:t xml:space="preserve"> 隆安县教育局  </w:t>
      </w:r>
    </w:p>
    <w:p>
      <w:pPr>
        <w:tabs>
          <w:tab w:val="left" w:pos="7380"/>
        </w:tabs>
        <w:spacing w:line="360" w:lineRule="auto"/>
        <w:ind w:firstLine="1995" w:firstLineChars="552"/>
        <w:rPr>
          <w:rFonts w:ascii="宋体" w:hAnsi="宋体" w:cs="宋体"/>
          <w:b/>
          <w:bCs/>
          <w:sz w:val="44"/>
        </w:rPr>
      </w:pPr>
      <w:r>
        <w:rPr>
          <w:rFonts w:hint="eastAsia" w:ascii="宋体" w:hAnsi="宋体" w:cs="宋体"/>
          <w:b/>
          <w:sz w:val="36"/>
          <w:szCs w:val="36"/>
        </w:rPr>
        <w:t>中标人：</w:t>
      </w:r>
      <w:r>
        <w:rPr>
          <w:rFonts w:hint="eastAsia" w:ascii="宋体" w:hAnsi="宋体" w:cs="宋体"/>
          <w:b/>
          <w:sz w:val="36"/>
          <w:szCs w:val="36"/>
          <w:u w:val="single"/>
        </w:rPr>
        <w:t xml:space="preserve">                   </w:t>
      </w:r>
    </w:p>
    <w:p>
      <w:pPr>
        <w:tabs>
          <w:tab w:val="left" w:pos="7380"/>
        </w:tabs>
        <w:spacing w:line="360" w:lineRule="auto"/>
        <w:rPr>
          <w:rFonts w:ascii="宋体" w:hAnsi="宋体" w:cs="宋体"/>
          <w:b/>
          <w:bCs/>
          <w:sz w:val="44"/>
        </w:rPr>
      </w:pPr>
    </w:p>
    <w:p>
      <w:pPr>
        <w:spacing w:before="120" w:line="360" w:lineRule="auto"/>
        <w:ind w:firstLine="2280" w:firstLineChars="950"/>
        <w:rPr>
          <w:rFonts w:ascii="宋体" w:hAnsi="宋体" w:cs="宋体"/>
          <w:b/>
          <w:bCs/>
          <w:sz w:val="44"/>
        </w:rPr>
      </w:pPr>
      <w:r>
        <w:rPr>
          <w:rFonts w:hint="eastAsia" w:ascii="宋体" w:hAnsi="宋体" w:cs="宋体"/>
          <w:sz w:val="24"/>
        </w:rPr>
        <w:t>签订日期：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napToGrid w:val="0"/>
        <w:spacing w:line="360" w:lineRule="auto"/>
        <w:jc w:val="center"/>
        <w:rPr>
          <w:rFonts w:ascii="宋体" w:hAnsi="宋体" w:cs="宋体"/>
          <w:b/>
          <w:sz w:val="24"/>
        </w:rPr>
      </w:pPr>
      <w:r>
        <w:rPr>
          <w:rFonts w:hint="eastAsia" w:ascii="宋体" w:hAnsi="宋体" w:cs="宋体"/>
          <w:b/>
          <w:bCs/>
          <w:sz w:val="44"/>
        </w:rPr>
        <w:br w:type="page"/>
      </w:r>
      <w:r>
        <w:rPr>
          <w:rFonts w:hint="eastAsia" w:ascii="宋体" w:hAnsi="宋体" w:cs="宋体"/>
          <w:b/>
          <w:sz w:val="24"/>
        </w:rPr>
        <w:t>合同目录</w:t>
      </w:r>
    </w:p>
    <w:p>
      <w:pPr>
        <w:snapToGrid w:val="0"/>
        <w:spacing w:line="360" w:lineRule="auto"/>
        <w:jc w:val="center"/>
        <w:rPr>
          <w:rFonts w:ascii="宋体" w:hAnsi="宋体" w:cs="宋体"/>
          <w:b/>
          <w:bCs/>
          <w:sz w:val="4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第一部分 合同书</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二、第二部分 合同一般条款……………………………………………………（页码）</w:t>
      </w:r>
    </w:p>
    <w:p>
      <w:pPr>
        <w:snapToGrid w:val="0"/>
        <w:spacing w:line="360" w:lineRule="auto"/>
        <w:rPr>
          <w:rFonts w:ascii="宋体" w:hAnsi="宋体" w:cs="宋体"/>
          <w:kern w:val="0"/>
          <w:sz w:val="24"/>
        </w:rPr>
      </w:pPr>
      <w:r>
        <w:rPr>
          <w:rFonts w:hint="eastAsia" w:ascii="宋体" w:hAnsi="宋体" w:cs="宋体"/>
          <w:kern w:val="0"/>
          <w:sz w:val="24"/>
        </w:rPr>
        <w:t>三、第三部分 合同专用条款……………………………………………………（页码）</w:t>
      </w:r>
    </w:p>
    <w:p>
      <w:pPr>
        <w:snapToGrid w:val="0"/>
        <w:spacing w:line="360" w:lineRule="auto"/>
        <w:rPr>
          <w:rFonts w:ascii="宋体" w:hAnsi="宋体" w:cs="宋体"/>
          <w:kern w:val="0"/>
          <w:sz w:val="24"/>
        </w:rPr>
      </w:pPr>
      <w:r>
        <w:rPr>
          <w:rFonts w:hint="eastAsia" w:ascii="宋体" w:hAnsi="宋体" w:cs="宋体"/>
          <w:kern w:val="0"/>
          <w:sz w:val="24"/>
        </w:rPr>
        <w:t>四、</w:t>
      </w:r>
      <w:r>
        <w:rPr>
          <w:rFonts w:hint="eastAsia" w:ascii="宋体" w:hAnsi="宋体" w:cs="宋体"/>
          <w:sz w:val="24"/>
        </w:rPr>
        <w:t>第四部分 合同附件</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4.1中标通知书 …………………………………………………………………（页码）</w:t>
      </w:r>
    </w:p>
    <w:p>
      <w:pPr>
        <w:snapToGrid w:val="0"/>
        <w:spacing w:line="360" w:lineRule="auto"/>
        <w:rPr>
          <w:rFonts w:ascii="宋体" w:hAnsi="宋体" w:cs="宋体"/>
          <w:kern w:val="0"/>
          <w:sz w:val="24"/>
        </w:rPr>
      </w:pPr>
      <w:r>
        <w:rPr>
          <w:rFonts w:hint="eastAsia" w:ascii="宋体" w:hAnsi="宋体" w:cs="宋体"/>
          <w:kern w:val="0"/>
          <w:sz w:val="24"/>
        </w:rPr>
        <w:t>4.2招标文件货物需求一览表 …………………………………………………（页码）</w:t>
      </w:r>
    </w:p>
    <w:p>
      <w:pPr>
        <w:snapToGrid w:val="0"/>
        <w:spacing w:line="360" w:lineRule="auto"/>
        <w:rPr>
          <w:rFonts w:ascii="宋体" w:hAnsi="宋体" w:cs="宋体"/>
          <w:kern w:val="0"/>
          <w:sz w:val="24"/>
        </w:rPr>
      </w:pPr>
      <w:r>
        <w:rPr>
          <w:rFonts w:hint="eastAsia" w:ascii="宋体" w:hAnsi="宋体" w:cs="宋体"/>
          <w:kern w:val="0"/>
          <w:sz w:val="24"/>
        </w:rPr>
        <w:t>4.3招标文件的更改通知（如有） ……………………………………………（页码）</w:t>
      </w:r>
    </w:p>
    <w:p>
      <w:pPr>
        <w:snapToGrid w:val="0"/>
        <w:spacing w:line="360" w:lineRule="auto"/>
        <w:rPr>
          <w:rFonts w:ascii="宋体" w:hAnsi="宋体" w:cs="宋体"/>
          <w:kern w:val="0"/>
          <w:sz w:val="24"/>
        </w:rPr>
      </w:pPr>
      <w:r>
        <w:rPr>
          <w:rFonts w:hint="eastAsia" w:ascii="宋体" w:hAnsi="宋体" w:cs="宋体"/>
          <w:kern w:val="0"/>
          <w:sz w:val="24"/>
        </w:rPr>
        <w:t>4.4投标函 ………………………………………………………………………（页码）</w:t>
      </w:r>
    </w:p>
    <w:p>
      <w:pPr>
        <w:snapToGrid w:val="0"/>
        <w:spacing w:line="360" w:lineRule="auto"/>
        <w:rPr>
          <w:rFonts w:ascii="宋体" w:hAnsi="宋体" w:cs="宋体"/>
          <w:kern w:val="0"/>
          <w:sz w:val="24"/>
        </w:rPr>
      </w:pPr>
      <w:r>
        <w:rPr>
          <w:rFonts w:hint="eastAsia" w:ascii="宋体" w:hAnsi="宋体" w:cs="宋体"/>
          <w:kern w:val="0"/>
          <w:sz w:val="24"/>
        </w:rPr>
        <w:t>4.5开标一览表 …………………………………………………………………（页码）</w:t>
      </w:r>
    </w:p>
    <w:p>
      <w:pPr>
        <w:snapToGrid w:val="0"/>
        <w:spacing w:line="360" w:lineRule="auto"/>
        <w:rPr>
          <w:rFonts w:ascii="宋体" w:hAnsi="宋体" w:cs="宋体"/>
          <w:kern w:val="0"/>
          <w:sz w:val="24"/>
        </w:rPr>
      </w:pPr>
      <w:r>
        <w:rPr>
          <w:rFonts w:hint="eastAsia" w:ascii="宋体" w:hAnsi="宋体" w:cs="宋体"/>
          <w:kern w:val="0"/>
          <w:sz w:val="24"/>
        </w:rPr>
        <w:t>4.6投标货物技术需求偏离表 …………………………………………………（页码）</w:t>
      </w:r>
    </w:p>
    <w:p>
      <w:pPr>
        <w:snapToGrid w:val="0"/>
        <w:spacing w:line="360" w:lineRule="auto"/>
        <w:rPr>
          <w:rFonts w:ascii="宋体" w:hAnsi="宋体" w:cs="宋体"/>
          <w:kern w:val="0"/>
          <w:sz w:val="24"/>
        </w:rPr>
      </w:pPr>
      <w:r>
        <w:rPr>
          <w:rFonts w:hint="eastAsia" w:ascii="宋体" w:hAnsi="宋体" w:cs="宋体"/>
          <w:kern w:val="0"/>
          <w:sz w:val="24"/>
        </w:rPr>
        <w:t>4.7商务条款偏离表 ……………………………………………………………（页码）</w:t>
      </w:r>
    </w:p>
    <w:p>
      <w:pPr>
        <w:snapToGrid w:val="0"/>
        <w:spacing w:line="360" w:lineRule="auto"/>
        <w:rPr>
          <w:rFonts w:ascii="宋体" w:hAnsi="宋体" w:cs="宋体"/>
          <w:kern w:val="0"/>
          <w:sz w:val="24"/>
        </w:rPr>
      </w:pPr>
      <w:r>
        <w:rPr>
          <w:rFonts w:hint="eastAsia" w:ascii="宋体" w:hAnsi="宋体" w:cs="宋体"/>
          <w:kern w:val="0"/>
          <w:sz w:val="24"/>
        </w:rPr>
        <w:t>4.8中标人澄清函（如有请提供） ……………………………………………（页码）</w:t>
      </w:r>
    </w:p>
    <w:p>
      <w:pPr>
        <w:snapToGrid w:val="0"/>
        <w:spacing w:line="360" w:lineRule="auto"/>
        <w:rPr>
          <w:rFonts w:ascii="宋体" w:hAnsi="宋体" w:cs="宋体"/>
          <w:kern w:val="0"/>
          <w:sz w:val="24"/>
        </w:rPr>
      </w:pPr>
      <w:r>
        <w:rPr>
          <w:rFonts w:hint="eastAsia" w:ascii="宋体" w:hAnsi="宋体" w:cs="宋体"/>
          <w:kern w:val="0"/>
          <w:sz w:val="24"/>
        </w:rPr>
        <w:t>4.9其他与本合同相关的资料（如有请提供） ………………………………（页码）</w:t>
      </w:r>
    </w:p>
    <w:p>
      <w:pPr>
        <w:snapToGrid w:val="0"/>
        <w:spacing w:line="360" w:lineRule="auto"/>
        <w:rPr>
          <w:rFonts w:ascii="宋体" w:hAnsi="宋体" w:cs="宋体"/>
          <w:kern w:val="0"/>
          <w:sz w:val="24"/>
        </w:rPr>
      </w:pPr>
    </w:p>
    <w:p>
      <w:pPr>
        <w:pStyle w:val="10"/>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34"/>
        <w:spacing w:after="0"/>
        <w:ind w:firstLine="562"/>
        <w:jc w:val="center"/>
        <w:rPr>
          <w:rFonts w:ascii="宋体" w:hAnsi="宋体" w:cs="宋体"/>
          <w:b/>
          <w:sz w:val="28"/>
          <w:szCs w:val="28"/>
        </w:rPr>
      </w:pPr>
      <w:r>
        <w:rPr>
          <w:rFonts w:hint="eastAsia" w:ascii="宋体" w:hAnsi="宋体" w:cs="宋体"/>
          <w:b/>
          <w:sz w:val="28"/>
          <w:szCs w:val="28"/>
        </w:rPr>
        <w:t>第一部分 合同书</w:t>
      </w:r>
    </w:p>
    <w:p>
      <w:pPr>
        <w:spacing w:line="360" w:lineRule="auto"/>
        <w:ind w:firstLine="480" w:firstLineChars="200"/>
        <w:rPr>
          <w:rFonts w:ascii="宋体" w:hAnsi="宋体" w:cs="宋体"/>
          <w:sz w:val="24"/>
        </w:rPr>
      </w:pPr>
      <w:r>
        <w:rPr>
          <w:rFonts w:hint="eastAsia" w:ascii="宋体" w:hAnsi="宋体" w:cs="宋体"/>
          <w:sz w:val="24"/>
          <w:u w:val="single"/>
          <w:lang w:val="zh-CN"/>
        </w:rPr>
        <w:t xml:space="preserve">     </w:t>
      </w:r>
      <w:r>
        <w:rPr>
          <w:rFonts w:hint="eastAsia" w:ascii="宋体" w:hAnsi="宋体" w:cs="宋体"/>
          <w:sz w:val="24"/>
          <w:lang w:val="zh-CN"/>
        </w:rPr>
        <w:t>年</w:t>
      </w:r>
      <w:r>
        <w:rPr>
          <w:rFonts w:hint="eastAsia" w:ascii="宋体" w:hAnsi="宋体" w:cs="宋体"/>
          <w:sz w:val="24"/>
          <w:u w:val="single"/>
          <w:lang w:val="zh-CN"/>
        </w:rPr>
        <w:t xml:space="preserve">    </w:t>
      </w:r>
      <w:r>
        <w:rPr>
          <w:rFonts w:hint="eastAsia" w:ascii="宋体" w:hAnsi="宋体" w:cs="宋体"/>
          <w:sz w:val="24"/>
          <w:lang w:val="zh-CN"/>
        </w:rPr>
        <w:t>月</w:t>
      </w:r>
      <w:r>
        <w:rPr>
          <w:rFonts w:hint="eastAsia" w:ascii="宋体" w:hAnsi="宋体" w:cs="宋体"/>
          <w:sz w:val="24"/>
          <w:u w:val="single"/>
          <w:lang w:val="zh-CN"/>
        </w:rPr>
        <w:t xml:space="preserve">    </w:t>
      </w:r>
      <w:r>
        <w:rPr>
          <w:rFonts w:hint="eastAsia" w:ascii="宋体" w:hAnsi="宋体" w:cs="宋体"/>
          <w:sz w:val="24"/>
          <w:lang w:val="zh-CN"/>
        </w:rPr>
        <w:t>日</w:t>
      </w:r>
      <w:r>
        <w:rPr>
          <w:rFonts w:hint="eastAsia" w:ascii="宋体" w:hAnsi="宋体" w:cs="宋体"/>
          <w:sz w:val="24"/>
        </w:rPr>
        <w:t>，</w:t>
      </w:r>
      <w:r>
        <w:rPr>
          <w:rFonts w:hint="eastAsia" w:ascii="宋体" w:hAnsi="宋体" w:cs="宋体"/>
          <w:sz w:val="24"/>
          <w:u w:val="single"/>
        </w:rPr>
        <w:t xml:space="preserve">  隆安县教育局  </w:t>
      </w:r>
      <w:r>
        <w:rPr>
          <w:rFonts w:hint="eastAsia" w:ascii="宋体" w:hAnsi="宋体" w:cs="宋体"/>
          <w:sz w:val="24"/>
        </w:rPr>
        <w:t>以</w:t>
      </w:r>
      <w:r>
        <w:rPr>
          <w:rFonts w:hint="eastAsia" w:ascii="宋体" w:hAnsi="宋体" w:cs="宋体"/>
          <w:sz w:val="24"/>
          <w:u w:val="single"/>
        </w:rPr>
        <w:t xml:space="preserve"> 公开招标方式  </w:t>
      </w:r>
      <w:r>
        <w:rPr>
          <w:rFonts w:hint="eastAsia" w:ascii="宋体" w:hAnsi="宋体" w:cs="宋体"/>
          <w:sz w:val="24"/>
        </w:rPr>
        <w:t>对</w:t>
      </w:r>
      <w:r>
        <w:rPr>
          <w:rFonts w:hint="eastAsia" w:ascii="宋体" w:hAnsi="宋体" w:cs="宋体"/>
          <w:sz w:val="24"/>
          <w:u w:val="single"/>
        </w:rPr>
        <w:t>隆安县第三中学江滨校区设施设备采购项目</w:t>
      </w:r>
      <w:r>
        <w:rPr>
          <w:rFonts w:hint="eastAsia" w:ascii="宋体" w:hAnsi="宋体" w:cs="宋体"/>
          <w:sz w:val="24"/>
        </w:rPr>
        <w:t>项目进行了采购（项目编号：</w:t>
      </w:r>
      <w:r>
        <w:rPr>
          <w:rFonts w:ascii="宋体" w:hAnsi="宋体" w:cs="宋体"/>
          <w:sz w:val="24"/>
        </w:rPr>
        <w:t>NNZC2025-G1-230040-NNSL</w:t>
      </w:r>
      <w:r>
        <w:rPr>
          <w:rFonts w:hint="eastAsia" w:ascii="宋体" w:hAnsi="宋体" w:cs="宋体"/>
          <w:sz w:val="24"/>
        </w:rPr>
        <w:t>）。经</w:t>
      </w:r>
      <w:r>
        <w:rPr>
          <w:rFonts w:hint="eastAsia" w:ascii="宋体" w:hAnsi="宋体" w:cs="宋体"/>
          <w:sz w:val="24"/>
          <w:u w:val="single"/>
        </w:rPr>
        <w:t xml:space="preserve">   项目评标委员会   </w:t>
      </w:r>
      <w:r>
        <w:rPr>
          <w:rFonts w:hint="eastAsia" w:ascii="宋体" w:hAnsi="宋体" w:cs="宋体"/>
          <w:sz w:val="24"/>
        </w:rPr>
        <w:t>评定，</w:t>
      </w:r>
      <w:r>
        <w:rPr>
          <w:rFonts w:hint="eastAsia" w:ascii="宋体" w:hAnsi="宋体" w:cs="宋体"/>
          <w:sz w:val="24"/>
          <w:u w:val="single"/>
        </w:rPr>
        <w:t xml:space="preserve">   （中标人名称）</w:t>
      </w:r>
      <w:r>
        <w:rPr>
          <w:rFonts w:hint="eastAsia" w:ascii="宋体" w:hAnsi="宋体" w:cs="宋体"/>
          <w:sz w:val="24"/>
        </w:rPr>
        <w:t>为该项目中标人。现于中标通知书发出之日起</w:t>
      </w:r>
      <w:r>
        <w:rPr>
          <w:rFonts w:hint="eastAsia" w:ascii="宋体" w:hAnsi="宋体" w:cs="宋体"/>
          <w:sz w:val="24"/>
          <w:u w:val="single"/>
        </w:rPr>
        <w:t xml:space="preserve"> </w:t>
      </w:r>
      <w:r>
        <w:rPr>
          <w:rFonts w:ascii="宋体" w:hAnsi="宋体" w:cs="宋体"/>
          <w:sz w:val="24"/>
          <w:u w:val="single"/>
        </w:rPr>
        <w:t>5</w:t>
      </w:r>
      <w:r>
        <w:rPr>
          <w:rFonts w:hint="eastAsia" w:ascii="宋体" w:hAnsi="宋体" w:cs="宋体"/>
          <w:sz w:val="24"/>
          <w:u w:val="single"/>
        </w:rPr>
        <w:t xml:space="preserve"> </w:t>
      </w:r>
      <w:r>
        <w:rPr>
          <w:rFonts w:hint="eastAsia" w:ascii="宋体" w:hAnsi="宋体" w:cs="宋体"/>
          <w:sz w:val="24"/>
        </w:rPr>
        <w:t>日内（根据项目实际情况填写，不能超过25日），按照采购文件确定的事项签订本合同。</w:t>
      </w:r>
    </w:p>
    <w:p>
      <w:pPr>
        <w:spacing w:line="360" w:lineRule="auto"/>
        <w:ind w:firstLine="480" w:firstLineChars="200"/>
        <w:rPr>
          <w:rFonts w:ascii="宋体" w:hAnsi="宋体" w:cs="宋体"/>
          <w:sz w:val="24"/>
        </w:rPr>
      </w:pPr>
      <w:r>
        <w:rPr>
          <w:rFonts w:hint="eastAsia" w:ascii="宋体" w:hAnsi="宋体" w:cs="宋体"/>
          <w:sz w:val="24"/>
          <w:lang w:val="zh-CN"/>
        </w:rPr>
        <w:t>根据《中华人民共和国民法典》、《中华人民共和国政府采购法》等相关法律法规之规定，按照平等、自愿、公平和诚实信用的原则，经</w:t>
      </w:r>
      <w:r>
        <w:rPr>
          <w:rFonts w:hint="eastAsia" w:ascii="宋体" w:hAnsi="宋体" w:cs="宋体"/>
          <w:sz w:val="24"/>
          <w:u w:val="single"/>
        </w:rPr>
        <w:t xml:space="preserve"> 隆安县教育局 （</w:t>
      </w:r>
      <w:r>
        <w:rPr>
          <w:rFonts w:hint="eastAsia" w:ascii="宋体" w:hAnsi="宋体" w:cs="宋体"/>
          <w:sz w:val="24"/>
          <w:lang w:val="zh-CN"/>
        </w:rPr>
        <w:t>以下简称：甲方）和</w:t>
      </w:r>
      <w:r>
        <w:rPr>
          <w:rFonts w:hint="eastAsia" w:ascii="宋体" w:hAnsi="宋体" w:cs="宋体"/>
          <w:sz w:val="24"/>
          <w:u w:val="single"/>
        </w:rPr>
        <w:t xml:space="preserve">   （中标人名称）   （</w:t>
      </w:r>
      <w:r>
        <w:rPr>
          <w:rFonts w:hint="eastAsia" w:ascii="宋体" w:hAnsi="宋体" w:cs="宋体"/>
          <w:sz w:val="24"/>
          <w:lang w:val="zh-CN"/>
        </w:rPr>
        <w:t>以下简称：乙方）协商一致，约定以下合同</w:t>
      </w:r>
      <w:r>
        <w:rPr>
          <w:rFonts w:hint="eastAsia" w:ascii="宋体" w:hAnsi="宋体" w:cs="宋体"/>
          <w:sz w:val="24"/>
        </w:rPr>
        <w:t>条款，以兹共同遵守、全面履行。</w:t>
      </w:r>
    </w:p>
    <w:p>
      <w:pPr>
        <w:spacing w:line="360" w:lineRule="auto"/>
        <w:ind w:firstLine="482" w:firstLineChars="200"/>
        <w:rPr>
          <w:rFonts w:ascii="宋体" w:hAnsi="宋体" w:cs="宋体"/>
          <w:b/>
          <w:sz w:val="24"/>
        </w:rPr>
      </w:pPr>
      <w:bookmarkStart w:id="140" w:name="_Toc2232"/>
      <w:bookmarkStart w:id="141" w:name="_Toc3029"/>
      <w:bookmarkStart w:id="142" w:name="_Toc24059"/>
      <w:r>
        <w:rPr>
          <w:rFonts w:hint="eastAsia" w:ascii="宋体" w:hAnsi="宋体" w:cs="宋体"/>
          <w:b/>
          <w:sz w:val="24"/>
        </w:rPr>
        <w:t>1.1 合同组成部分</w:t>
      </w:r>
      <w:bookmarkEnd w:id="140"/>
      <w:bookmarkEnd w:id="141"/>
      <w:bookmarkEnd w:id="142"/>
    </w:p>
    <w:p>
      <w:pPr>
        <w:spacing w:line="360" w:lineRule="auto"/>
        <w:ind w:firstLine="480" w:firstLineChars="200"/>
        <w:rPr>
          <w:rFonts w:ascii="宋体" w:hAnsi="宋体" w:cs="宋体"/>
          <w:sz w:val="24"/>
        </w:rPr>
      </w:pPr>
      <w:r>
        <w:rPr>
          <w:rFonts w:hint="eastAsia" w:ascii="宋体" w:hAnsi="宋体" w:cs="宋体"/>
          <w:sz w:val="24"/>
        </w:rPr>
        <w:t>下列文件为本合同的组成部分，并构成一个整体，需综合解释、相互补充。如果下列文件内容出现不一致的情形，在保证按照采购文件确定的事项的前提下，组成本合同的多个文件的优先适用顺序如下：</w:t>
      </w:r>
    </w:p>
    <w:p>
      <w:pPr>
        <w:spacing w:line="360" w:lineRule="auto"/>
        <w:ind w:firstLine="480" w:firstLineChars="200"/>
        <w:rPr>
          <w:rFonts w:ascii="宋体" w:hAnsi="宋体" w:cs="宋体"/>
          <w:sz w:val="24"/>
        </w:rPr>
      </w:pPr>
      <w:r>
        <w:rPr>
          <w:rFonts w:hint="eastAsia" w:ascii="宋体" w:hAnsi="宋体" w:cs="宋体"/>
          <w:sz w:val="24"/>
        </w:rPr>
        <w:t>1.1.1 本合同及其补充合同、变更协议；</w:t>
      </w:r>
    </w:p>
    <w:p>
      <w:pPr>
        <w:spacing w:line="360" w:lineRule="auto"/>
        <w:ind w:firstLine="480" w:firstLineChars="200"/>
        <w:rPr>
          <w:rFonts w:ascii="宋体" w:hAnsi="宋体" w:cs="宋体"/>
          <w:sz w:val="24"/>
        </w:rPr>
      </w:pPr>
      <w:r>
        <w:rPr>
          <w:rFonts w:hint="eastAsia" w:ascii="宋体" w:hAnsi="宋体" w:cs="宋体"/>
          <w:sz w:val="24"/>
        </w:rPr>
        <w:t>1.1.2 中标通知书；</w:t>
      </w:r>
    </w:p>
    <w:p>
      <w:pPr>
        <w:spacing w:line="360" w:lineRule="auto"/>
        <w:ind w:firstLine="480" w:firstLineChars="200"/>
        <w:rPr>
          <w:rFonts w:ascii="宋体" w:hAnsi="宋体" w:cs="宋体"/>
          <w:sz w:val="24"/>
        </w:rPr>
      </w:pPr>
      <w:r>
        <w:rPr>
          <w:rFonts w:hint="eastAsia" w:ascii="宋体" w:hAnsi="宋体" w:cs="宋体"/>
          <w:sz w:val="24"/>
        </w:rPr>
        <w:t>1.1.3 投标文件及“投标报价”（含澄清或者说明文件）；</w:t>
      </w:r>
    </w:p>
    <w:p>
      <w:pPr>
        <w:spacing w:line="360" w:lineRule="auto"/>
        <w:ind w:firstLine="480" w:firstLineChars="200"/>
        <w:rPr>
          <w:rFonts w:ascii="宋体" w:hAnsi="宋体" w:cs="宋体"/>
          <w:sz w:val="24"/>
        </w:rPr>
      </w:pPr>
      <w:r>
        <w:rPr>
          <w:rFonts w:hint="eastAsia" w:ascii="宋体" w:hAnsi="宋体" w:cs="宋体"/>
          <w:sz w:val="24"/>
        </w:rPr>
        <w:t>1.1.4 招标文件（含澄清或者修改文件）；</w:t>
      </w:r>
    </w:p>
    <w:p>
      <w:pPr>
        <w:spacing w:line="360" w:lineRule="auto"/>
        <w:ind w:firstLine="480" w:firstLineChars="200"/>
        <w:rPr>
          <w:rFonts w:ascii="宋体" w:hAnsi="宋体" w:cs="宋体"/>
          <w:sz w:val="24"/>
        </w:rPr>
      </w:pPr>
      <w:r>
        <w:rPr>
          <w:rFonts w:hint="eastAsia" w:ascii="宋体" w:hAnsi="宋体" w:cs="宋体"/>
          <w:sz w:val="24"/>
        </w:rPr>
        <w:t>1.1.5 其他相关采购文件。</w:t>
      </w:r>
    </w:p>
    <w:p>
      <w:pPr>
        <w:spacing w:line="360" w:lineRule="auto"/>
        <w:ind w:firstLine="482" w:firstLineChars="200"/>
        <w:rPr>
          <w:rFonts w:ascii="宋体" w:hAnsi="宋体" w:cs="宋体"/>
          <w:b/>
          <w:sz w:val="24"/>
        </w:rPr>
      </w:pPr>
      <w:bookmarkStart w:id="143" w:name="_Toc24300"/>
      <w:bookmarkStart w:id="144" w:name="_Toc21295"/>
      <w:bookmarkStart w:id="145" w:name="_Toc27126"/>
      <w:r>
        <w:rPr>
          <w:rFonts w:hint="eastAsia" w:ascii="宋体" w:hAnsi="宋体" w:cs="宋体"/>
          <w:b/>
          <w:sz w:val="24"/>
        </w:rPr>
        <w:t>1.2 标的物</w:t>
      </w:r>
      <w:bookmarkEnd w:id="143"/>
      <w:bookmarkEnd w:id="144"/>
      <w:bookmarkEnd w:id="145"/>
    </w:p>
    <w:p>
      <w:pPr>
        <w:spacing w:line="360" w:lineRule="auto"/>
        <w:ind w:firstLine="480" w:firstLineChars="200"/>
        <w:rPr>
          <w:rFonts w:ascii="宋体" w:hAnsi="宋体" w:cs="宋体"/>
          <w:sz w:val="24"/>
        </w:rPr>
      </w:pPr>
      <w:r>
        <w:rPr>
          <w:rFonts w:hint="eastAsia" w:ascii="宋体" w:hAnsi="宋体" w:cs="宋体"/>
          <w:sz w:val="24"/>
        </w:rPr>
        <w:t>1.2.1 标的物1信息</w:t>
      </w:r>
    </w:p>
    <w:p>
      <w:pPr>
        <w:spacing w:line="360" w:lineRule="auto"/>
        <w:ind w:firstLine="480" w:firstLineChars="200"/>
        <w:rPr>
          <w:rFonts w:ascii="宋体" w:hAnsi="宋体" w:cs="宋体"/>
          <w:sz w:val="24"/>
          <w:u w:val="single"/>
        </w:rPr>
      </w:pPr>
      <w:r>
        <w:rPr>
          <w:rFonts w:hint="eastAsia" w:ascii="宋体" w:hAnsi="宋体" w:cs="宋体"/>
          <w:sz w:val="24"/>
        </w:rPr>
        <w:t>1.2.1.1名称：</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u w:val="single"/>
        </w:rPr>
      </w:pPr>
      <w:r>
        <w:rPr>
          <w:rFonts w:hint="eastAsia" w:ascii="宋体" w:hAnsi="宋体" w:cs="宋体"/>
          <w:sz w:val="24"/>
        </w:rPr>
        <w:t>1.2.1.2数量：</w:t>
      </w:r>
      <w:r>
        <w:rPr>
          <w:rFonts w:hint="eastAsia" w:ascii="宋体" w:hAnsi="宋体" w:cs="宋体"/>
          <w:sz w:val="24"/>
          <w:u w:val="single"/>
        </w:rPr>
        <w:t xml:space="preserve">  详见合同附件：开标一览表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1.2.1.3质量：</w:t>
      </w:r>
      <w:r>
        <w:rPr>
          <w:rFonts w:hint="eastAsia" w:ascii="宋体" w:hAnsi="宋体" w:cs="宋体"/>
          <w:sz w:val="24"/>
          <w:u w:val="single"/>
        </w:rPr>
        <w:t xml:space="preserve">　详见合同附件：投标货物技术需求偏离表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w:t>
      </w:r>
    </w:p>
    <w:p>
      <w:pPr>
        <w:spacing w:line="360" w:lineRule="auto"/>
        <w:ind w:firstLine="482" w:firstLineChars="200"/>
        <w:rPr>
          <w:rFonts w:ascii="宋体" w:hAnsi="宋体" w:cs="宋体"/>
          <w:b/>
          <w:sz w:val="24"/>
        </w:rPr>
      </w:pPr>
      <w:bookmarkStart w:id="146" w:name="_Toc21631"/>
      <w:bookmarkStart w:id="147" w:name="_Toc23292"/>
      <w:bookmarkStart w:id="148" w:name="_Toc21551"/>
      <w:r>
        <w:rPr>
          <w:rFonts w:hint="eastAsia" w:ascii="宋体" w:hAnsi="宋体" w:cs="宋体"/>
          <w:b/>
          <w:sz w:val="24"/>
        </w:rPr>
        <w:t>1.3 价款</w:t>
      </w:r>
      <w:bookmarkEnd w:id="146"/>
      <w:bookmarkEnd w:id="147"/>
      <w:bookmarkEnd w:id="148"/>
    </w:p>
    <w:p>
      <w:pPr>
        <w:spacing w:line="360" w:lineRule="auto"/>
        <w:ind w:firstLine="480" w:firstLineChars="200"/>
        <w:rPr>
          <w:rFonts w:ascii="宋体" w:hAnsi="宋体" w:cs="宋体"/>
          <w:sz w:val="24"/>
        </w:rPr>
      </w:pPr>
      <w:r>
        <w:rPr>
          <w:rFonts w:hint="eastAsia" w:ascii="宋体" w:hAnsi="宋体" w:cs="宋体"/>
          <w:sz w:val="24"/>
        </w:rPr>
        <w:t>本合同总价为：人民币</w:t>
      </w:r>
      <w:r>
        <w:rPr>
          <w:rFonts w:hint="eastAsia" w:ascii="宋体" w:hAnsi="宋体" w:cs="宋体"/>
          <w:sz w:val="24"/>
          <w:u w:val="single"/>
        </w:rPr>
        <w:t xml:space="preserve">           </w:t>
      </w:r>
      <w:r>
        <w:rPr>
          <w:rFonts w:hint="eastAsia" w:ascii="宋体" w:hAnsi="宋体" w:cs="宋体"/>
          <w:sz w:val="24"/>
        </w:rPr>
        <w:t>元（大写：</w:t>
      </w:r>
      <w:r>
        <w:rPr>
          <w:rFonts w:hint="eastAsia" w:ascii="宋体" w:hAnsi="宋体" w:cs="宋体"/>
          <w:sz w:val="24"/>
          <w:u w:val="single"/>
        </w:rPr>
        <w:t xml:space="preserve">                 </w:t>
      </w:r>
      <w:r>
        <w:rPr>
          <w:rFonts w:hint="eastAsia" w:ascii="宋体" w:hAnsi="宋体" w:cs="宋体"/>
          <w:sz w:val="24"/>
        </w:rPr>
        <w:t>元人民币，含税）。</w:t>
      </w:r>
    </w:p>
    <w:p>
      <w:pPr>
        <w:spacing w:line="360" w:lineRule="auto"/>
        <w:ind w:firstLine="480" w:firstLineChars="200"/>
        <w:rPr>
          <w:rFonts w:ascii="宋体" w:hAnsi="宋体" w:cs="宋体"/>
          <w:sz w:val="24"/>
          <w:u w:val="single"/>
        </w:rPr>
      </w:pPr>
      <w:r>
        <w:rPr>
          <w:rFonts w:hint="eastAsia" w:ascii="宋体" w:hAnsi="宋体" w:cs="宋体"/>
          <w:sz w:val="24"/>
        </w:rPr>
        <w:t>分项价格：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jc w:val="center"/>
              <w:rPr>
                <w:rFonts w:ascii="宋体" w:hAnsi="宋体" w:cs="宋体"/>
                <w:sz w:val="24"/>
              </w:rPr>
            </w:pPr>
            <w:r>
              <w:rPr>
                <w:rFonts w:hint="eastAsia" w:ascii="宋体" w:hAnsi="宋体" w:cs="宋体"/>
                <w:sz w:val="24"/>
              </w:rPr>
              <w:t>序号</w:t>
            </w:r>
          </w:p>
        </w:tc>
        <w:tc>
          <w:tcPr>
            <w:tcW w:w="3402" w:type="dxa"/>
            <w:vAlign w:val="center"/>
          </w:tcPr>
          <w:p>
            <w:pPr>
              <w:spacing w:line="360" w:lineRule="auto"/>
              <w:jc w:val="center"/>
              <w:rPr>
                <w:rFonts w:ascii="宋体" w:hAnsi="宋体" w:cs="宋体"/>
                <w:sz w:val="24"/>
              </w:rPr>
            </w:pPr>
            <w:r>
              <w:rPr>
                <w:rFonts w:hint="eastAsia" w:ascii="宋体" w:hAnsi="宋体" w:cs="宋体"/>
                <w:sz w:val="24"/>
              </w:rPr>
              <w:t>分项名称</w:t>
            </w:r>
          </w:p>
        </w:tc>
        <w:tc>
          <w:tcPr>
            <w:tcW w:w="2552" w:type="dxa"/>
            <w:vAlign w:val="center"/>
          </w:tcPr>
          <w:p>
            <w:pPr>
              <w:spacing w:line="360" w:lineRule="auto"/>
              <w:jc w:val="center"/>
              <w:rPr>
                <w:rFonts w:ascii="宋体" w:hAnsi="宋体" w:cs="宋体"/>
                <w:sz w:val="24"/>
              </w:rPr>
            </w:pPr>
            <w:r>
              <w:rPr>
                <w:rFonts w:hint="eastAsia" w:ascii="宋体" w:hAnsi="宋体" w:cs="宋体"/>
                <w:sz w:val="24"/>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spacing w:line="360" w:lineRule="auto"/>
              <w:ind w:firstLine="480" w:firstLineChars="200"/>
              <w:rPr>
                <w:rFonts w:ascii="宋体" w:hAnsi="宋体" w:cs="宋体"/>
                <w:sz w:val="24"/>
              </w:rPr>
            </w:pPr>
          </w:p>
        </w:tc>
        <w:tc>
          <w:tcPr>
            <w:tcW w:w="3402" w:type="dxa"/>
            <w:vAlign w:val="center"/>
          </w:tcPr>
          <w:p>
            <w:pPr>
              <w:spacing w:line="360" w:lineRule="auto"/>
              <w:ind w:firstLine="480" w:firstLineChars="200"/>
              <w:rPr>
                <w:rFonts w:ascii="宋体" w:hAnsi="宋体" w:cs="宋体"/>
                <w:sz w:val="24"/>
              </w:rPr>
            </w:pPr>
          </w:p>
        </w:tc>
        <w:tc>
          <w:tcPr>
            <w:tcW w:w="2552" w:type="dxa"/>
            <w:vAlign w:val="center"/>
          </w:tcPr>
          <w:p>
            <w:pPr>
              <w:spacing w:line="360" w:lineRule="auto"/>
              <w:ind w:firstLine="480" w:firstLineChars="20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spacing w:line="360" w:lineRule="auto"/>
              <w:ind w:firstLine="480" w:firstLineChars="200"/>
              <w:rPr>
                <w:rFonts w:ascii="宋体" w:hAnsi="宋体" w:cs="宋体"/>
                <w:sz w:val="24"/>
              </w:rPr>
            </w:pPr>
            <w:r>
              <w:rPr>
                <w:rFonts w:hint="eastAsia" w:ascii="宋体" w:hAnsi="宋体" w:cs="宋体"/>
                <w:sz w:val="24"/>
              </w:rPr>
              <w:t>总价</w:t>
            </w:r>
          </w:p>
        </w:tc>
        <w:tc>
          <w:tcPr>
            <w:tcW w:w="2552" w:type="dxa"/>
            <w:vAlign w:val="center"/>
          </w:tcPr>
          <w:p>
            <w:pPr>
              <w:spacing w:line="360" w:lineRule="auto"/>
              <w:ind w:firstLine="480" w:firstLineChars="200"/>
              <w:rPr>
                <w:rFonts w:ascii="宋体" w:hAnsi="宋体" w:cs="宋体"/>
                <w:sz w:val="24"/>
              </w:rPr>
            </w:pPr>
          </w:p>
        </w:tc>
      </w:tr>
    </w:tbl>
    <w:p>
      <w:pPr>
        <w:spacing w:line="360" w:lineRule="auto"/>
        <w:ind w:firstLine="482" w:firstLineChars="200"/>
        <w:rPr>
          <w:rFonts w:ascii="宋体" w:hAnsi="宋体" w:cs="宋体"/>
          <w:b/>
          <w:sz w:val="24"/>
        </w:rPr>
      </w:pPr>
      <w:bookmarkStart w:id="149" w:name="_Toc22618"/>
      <w:bookmarkStart w:id="150" w:name="_Toc10340"/>
      <w:bookmarkStart w:id="151" w:name="_Toc1814"/>
      <w:r>
        <w:rPr>
          <w:rFonts w:hint="eastAsia" w:ascii="宋体" w:hAnsi="宋体" w:cs="宋体"/>
          <w:b/>
          <w:sz w:val="24"/>
        </w:rPr>
        <w:t>1.4 付款方式和发票开具方式</w:t>
      </w:r>
      <w:bookmarkEnd w:id="149"/>
      <w:bookmarkEnd w:id="150"/>
      <w:bookmarkEnd w:id="151"/>
    </w:p>
    <w:p>
      <w:pPr>
        <w:spacing w:line="360" w:lineRule="auto"/>
        <w:ind w:firstLine="480" w:firstLineChars="200"/>
        <w:rPr>
          <w:rFonts w:ascii="宋体" w:hAnsi="宋体" w:cs="宋体"/>
          <w:sz w:val="24"/>
        </w:rPr>
      </w:pPr>
      <w:r>
        <w:rPr>
          <w:rFonts w:hint="eastAsia" w:ascii="宋体" w:hAnsi="宋体" w:cs="宋体"/>
          <w:sz w:val="24"/>
        </w:rPr>
        <w:t>1.4.1 付款方式：</w:t>
      </w:r>
      <w:r>
        <w:rPr>
          <w:rFonts w:hint="eastAsia" w:ascii="宋体" w:hAnsi="宋体" w:cs="宋体"/>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sz w:val="24"/>
        </w:rPr>
      </w:pPr>
      <w:r>
        <w:rPr>
          <w:rFonts w:hint="eastAsia" w:ascii="宋体" w:hAnsi="宋体" w:cs="宋体"/>
          <w:sz w:val="24"/>
        </w:rPr>
        <w:t>1.4.2 发票开具方式：</w:t>
      </w:r>
      <w:r>
        <w:rPr>
          <w:rFonts w:hint="eastAsia" w:ascii="宋体" w:hAnsi="宋体" w:cs="宋体"/>
          <w:sz w:val="24"/>
          <w:u w:val="single"/>
        </w:rPr>
        <w:t xml:space="preserve">支付货款前，由甲方根据用款计划审批情况通知乙方开具发票。乙方收到通知后，应及时开具不少于请款金额的发票给甲方，乙方未能开具合法有效的发票的，甲方有权不予付款并无需承担任何延期付款责任   </w:t>
      </w:r>
      <w:r>
        <w:rPr>
          <w:rFonts w:hint="eastAsia" w:ascii="宋体" w:hAnsi="宋体" w:cs="宋体"/>
          <w:sz w:val="24"/>
        </w:rPr>
        <w:t>。</w:t>
      </w:r>
    </w:p>
    <w:p>
      <w:pPr>
        <w:spacing w:line="360" w:lineRule="auto"/>
        <w:ind w:firstLine="482" w:firstLineChars="200"/>
        <w:rPr>
          <w:rFonts w:ascii="宋体" w:hAnsi="宋体" w:cs="宋体"/>
          <w:b/>
          <w:sz w:val="24"/>
        </w:rPr>
      </w:pPr>
      <w:bookmarkStart w:id="152" w:name="_Toc2846"/>
      <w:bookmarkStart w:id="153" w:name="_Toc19304"/>
      <w:bookmarkStart w:id="154" w:name="_Toc32071"/>
      <w:r>
        <w:rPr>
          <w:rFonts w:hint="eastAsia" w:ascii="宋体" w:hAnsi="宋体" w:cs="宋体"/>
          <w:b/>
          <w:sz w:val="24"/>
        </w:rPr>
        <w:t>1.5 标的物交付期限、地点、方式</w:t>
      </w:r>
      <w:bookmarkEnd w:id="152"/>
      <w:bookmarkEnd w:id="153"/>
      <w:bookmarkEnd w:id="154"/>
      <w:r>
        <w:rPr>
          <w:rFonts w:hint="eastAsia" w:ascii="宋体" w:hAnsi="宋体" w:cs="宋体"/>
          <w:b/>
          <w:sz w:val="24"/>
        </w:rPr>
        <w:t>和质保期限</w:t>
      </w:r>
    </w:p>
    <w:p>
      <w:pPr>
        <w:spacing w:line="360" w:lineRule="auto"/>
        <w:ind w:firstLine="480" w:firstLineChars="200"/>
        <w:rPr>
          <w:rFonts w:ascii="宋体" w:hAnsi="宋体" w:cs="宋体"/>
          <w:sz w:val="24"/>
          <w:u w:val="single"/>
        </w:rPr>
      </w:pPr>
      <w:r>
        <w:rPr>
          <w:rFonts w:hint="eastAsia" w:ascii="宋体" w:hAnsi="宋体" w:cs="宋体"/>
          <w:sz w:val="24"/>
        </w:rPr>
        <w:t>1.5.1 交付期限：</w:t>
      </w:r>
      <w:r>
        <w:rPr>
          <w:rFonts w:hint="eastAsia" w:ascii="宋体" w:hAnsi="宋体" w:cs="宋体"/>
          <w:sz w:val="24"/>
          <w:u w:val="single"/>
        </w:rPr>
        <w:t xml:space="preserve">  按招标文件商务条款   ；</w:t>
      </w:r>
    </w:p>
    <w:p>
      <w:pPr>
        <w:spacing w:line="360" w:lineRule="auto"/>
        <w:ind w:firstLine="480" w:firstLineChars="200"/>
        <w:rPr>
          <w:rFonts w:ascii="宋体" w:hAnsi="宋体" w:cs="宋体"/>
          <w:sz w:val="24"/>
        </w:rPr>
      </w:pPr>
      <w:r>
        <w:rPr>
          <w:rFonts w:hint="eastAsia" w:ascii="宋体" w:hAnsi="宋体" w:cs="宋体"/>
          <w:sz w:val="24"/>
        </w:rPr>
        <w:t>1.5.2 交付地点：</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1.5.3 交付方式：</w:t>
      </w:r>
      <w:r>
        <w:rPr>
          <w:rFonts w:hint="eastAsia" w:ascii="宋体" w:hAnsi="宋体" w:cs="宋体"/>
          <w:sz w:val="24"/>
          <w:u w:val="single"/>
        </w:rPr>
        <w:t xml:space="preserve">  现场交货  </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1.5.4 货物质保期限：</w:t>
      </w:r>
      <w:r>
        <w:rPr>
          <w:rFonts w:hint="eastAsia" w:ascii="宋体" w:hAnsi="宋体" w:cs="宋体"/>
          <w:sz w:val="24"/>
          <w:u w:val="single"/>
        </w:rPr>
        <w:t xml:space="preserve">   按招标文件商务条款    </w:t>
      </w:r>
      <w:r>
        <w:rPr>
          <w:rFonts w:hint="eastAsia" w:ascii="宋体" w:hAnsi="宋体" w:cs="宋体"/>
          <w:sz w:val="24"/>
        </w:rPr>
        <w:t>。</w:t>
      </w:r>
    </w:p>
    <w:p>
      <w:pPr>
        <w:spacing w:line="360" w:lineRule="auto"/>
        <w:ind w:firstLine="482" w:firstLineChars="200"/>
        <w:rPr>
          <w:rFonts w:ascii="宋体" w:hAnsi="宋体" w:cs="宋体"/>
          <w:b/>
          <w:sz w:val="24"/>
        </w:rPr>
      </w:pPr>
      <w:bookmarkStart w:id="155" w:name="_Toc21423"/>
      <w:bookmarkStart w:id="156" w:name="_Toc27250"/>
      <w:bookmarkStart w:id="157" w:name="_Toc19554"/>
      <w:r>
        <w:rPr>
          <w:rFonts w:hint="eastAsia" w:ascii="宋体" w:hAnsi="宋体" w:cs="宋体"/>
          <w:b/>
          <w:sz w:val="24"/>
        </w:rPr>
        <w:t>1.6 违约责任</w:t>
      </w:r>
      <w:bookmarkEnd w:id="155"/>
      <w:bookmarkEnd w:id="156"/>
      <w:bookmarkEnd w:id="157"/>
    </w:p>
    <w:p>
      <w:pPr>
        <w:spacing w:line="360" w:lineRule="auto"/>
        <w:ind w:firstLine="480" w:firstLineChars="200"/>
        <w:rPr>
          <w:rFonts w:ascii="宋体" w:hAnsi="宋体" w:cs="宋体"/>
          <w:sz w:val="24"/>
        </w:rPr>
      </w:pPr>
      <w:r>
        <w:rPr>
          <w:rFonts w:hint="eastAsia" w:ascii="宋体" w:hAnsi="宋体" w:cs="宋体"/>
          <w:sz w:val="24"/>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cs="宋体"/>
          <w:sz w:val="24"/>
          <w:u w:val="single"/>
        </w:rPr>
        <w:t xml:space="preserve">       万分之五</w:t>
      </w:r>
      <w:r>
        <w:rPr>
          <w:rFonts w:hint="eastAsia" w:ascii="宋体" w:hAnsi="宋体" w:cs="宋体"/>
          <w:sz w:val="24"/>
        </w:rPr>
        <w:t>（根据项目实际填写，一般为万分之五）计算，最高限额为本合同总价的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%（根据项目实际填写，一般为20%）；迟延超过【</w:t>
      </w:r>
      <w:r>
        <w:rPr>
          <w:rFonts w:ascii="宋体" w:hAnsi="宋体" w:cs="宋体"/>
          <w:sz w:val="24"/>
        </w:rPr>
        <w:t>7</w:t>
      </w:r>
      <w:r>
        <w:rPr>
          <w:rFonts w:hint="eastAsia" w:ascii="宋体" w:hAnsi="宋体" w:cs="宋体"/>
          <w:sz w:val="24"/>
        </w:rPr>
        <w:t>】（根据项目实际填写）日的，甲方有权在要求乙方支付违约金的同时，书面通知乙方解除本合同，乙方应退回全部已收取的合同价款并按合同总金额的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（根据项目实际填写，一般为20%）向甲方支付违约金；</w:t>
      </w:r>
    </w:p>
    <w:p>
      <w:pPr>
        <w:spacing w:line="360" w:lineRule="auto"/>
        <w:ind w:firstLine="480" w:firstLineChars="200"/>
        <w:rPr>
          <w:rFonts w:ascii="宋体" w:hAnsi="宋体" w:cs="宋体"/>
          <w:sz w:val="24"/>
        </w:rPr>
      </w:pPr>
      <w:r>
        <w:rPr>
          <w:rFonts w:hint="eastAsia" w:ascii="宋体" w:hAnsi="宋体" w:cs="宋体"/>
          <w:sz w:val="24"/>
        </w:rPr>
        <w:t>1.6.2 除不可抗力外，如果甲方没有按照本合同约定的付款方式付款，乙方可要求甲方支付违约金，违约金按每迟延付款一日的应付而未付款的</w:t>
      </w:r>
      <w:r>
        <w:rPr>
          <w:rFonts w:hint="eastAsia" w:ascii="宋体" w:hAnsi="宋体" w:cs="宋体"/>
          <w:sz w:val="24"/>
          <w:u w:val="single"/>
        </w:rPr>
        <w:t xml:space="preserve">  万分之五 </w:t>
      </w:r>
      <w:r>
        <w:rPr>
          <w:rFonts w:hint="eastAsia" w:ascii="宋体" w:hAnsi="宋体" w:cs="宋体"/>
          <w:sz w:val="24"/>
        </w:rPr>
        <w:t>（根据项目实际填写，一般为万分之五）计算，最高限额为欠付金额的</w:t>
      </w:r>
      <w:r>
        <w:rPr>
          <w:rFonts w:hint="eastAsia" w:ascii="宋体" w:hAnsi="宋体" w:cs="宋体"/>
          <w:sz w:val="24"/>
          <w:u w:val="single"/>
        </w:rPr>
        <w:t xml:space="preserve"> </w:t>
      </w:r>
      <w:r>
        <w:rPr>
          <w:rFonts w:ascii="宋体" w:hAnsi="宋体" w:cs="宋体"/>
          <w:sz w:val="24"/>
          <w:u w:val="single"/>
        </w:rPr>
        <w:t>20</w:t>
      </w:r>
      <w:r>
        <w:rPr>
          <w:rFonts w:hint="eastAsia" w:ascii="宋体" w:hAnsi="宋体" w:cs="宋体"/>
          <w:sz w:val="24"/>
          <w:u w:val="single"/>
        </w:rPr>
        <w:t xml:space="preserve"> </w:t>
      </w:r>
      <w:r>
        <w:rPr>
          <w:rFonts w:hint="eastAsia" w:ascii="宋体" w:hAnsi="宋体" w:cs="宋体"/>
          <w:sz w:val="24"/>
        </w:rPr>
        <w:t>%（根据项目实际填写，一般为20%）；迟延付款的违约金计算数额达到前述最高限额之日起，乙方有权在要求甲方支付违约金的同时，书面通知甲方解除本合同；</w:t>
      </w:r>
      <w:r>
        <w:rPr>
          <w:rFonts w:ascii="宋体" w:hAnsi="宋体" w:cs="宋体"/>
          <w:sz w:val="24"/>
        </w:rPr>
        <w:t xml:space="preserve"> </w:t>
      </w:r>
    </w:p>
    <w:p>
      <w:pPr>
        <w:spacing w:line="360" w:lineRule="auto"/>
        <w:ind w:firstLine="480" w:firstLineChars="200"/>
        <w:rPr>
          <w:rFonts w:ascii="宋体" w:hAnsi="宋体" w:cs="宋体"/>
          <w:sz w:val="24"/>
        </w:rPr>
      </w:pPr>
      <w:r>
        <w:rPr>
          <w:rFonts w:hint="eastAsia" w:ascii="宋体" w:hAnsi="宋体" w:cs="宋体"/>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仿宋_GB2312" w:hAnsi="楷体" w:eastAsia="仿宋_GB2312"/>
          <w:sz w:val="24"/>
        </w:rPr>
        <w:t>并可要求违约方按合同总金额的2</w:t>
      </w:r>
      <w:r>
        <w:rPr>
          <w:rFonts w:ascii="仿宋_GB2312" w:hAnsi="楷体" w:eastAsia="仿宋_GB2312"/>
          <w:sz w:val="24"/>
        </w:rPr>
        <w:t>0</w:t>
      </w:r>
      <w:r>
        <w:rPr>
          <w:rFonts w:hint="eastAsia" w:ascii="仿宋_GB2312" w:hAnsi="楷体" w:eastAsia="仿宋_GB2312"/>
          <w:sz w:val="24"/>
        </w:rPr>
        <w:t>%支付违约金。</w:t>
      </w:r>
    </w:p>
    <w:p>
      <w:pPr>
        <w:spacing w:line="360" w:lineRule="auto"/>
        <w:ind w:firstLine="480" w:firstLineChars="200"/>
        <w:rPr>
          <w:rFonts w:ascii="宋体" w:hAnsi="宋体" w:cs="宋体"/>
          <w:sz w:val="24"/>
          <w:u w:val="single"/>
        </w:rPr>
      </w:pPr>
      <w:r>
        <w:rPr>
          <w:rFonts w:hint="eastAsia" w:ascii="宋体" w:hAnsi="宋体" w:cs="宋体"/>
          <w:sz w:val="24"/>
        </w:rPr>
        <w:t>1.6.4乙方在质保期内未按承诺提供售后等服务的，每发生一次向甲方支付违约金额</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u w:val="single"/>
        </w:rPr>
        <w:t xml:space="preserve"> </w:t>
      </w:r>
      <w:r>
        <w:rPr>
          <w:rFonts w:ascii="宋体" w:hAnsi="宋体" w:cs="宋体"/>
          <w:sz w:val="24"/>
          <w:u w:val="single"/>
        </w:rPr>
        <w:t>2000</w:t>
      </w:r>
      <w:r>
        <w:rPr>
          <w:rFonts w:hint="eastAsia" w:ascii="宋体" w:hAnsi="宋体" w:cs="宋体"/>
          <w:sz w:val="24"/>
          <w:u w:val="single"/>
        </w:rPr>
        <w:t xml:space="preserve"> </w:t>
      </w:r>
      <w:r>
        <w:rPr>
          <w:rFonts w:hint="eastAsia" w:ascii="宋体" w:hAnsi="宋体" w:cs="宋体"/>
          <w:sz w:val="24"/>
        </w:rPr>
        <w:t>元（根据项目实际填写）。</w:t>
      </w:r>
      <w:r>
        <w:rPr>
          <w:rFonts w:hint="eastAsia" w:ascii="仿宋_GB2312" w:hAnsi="楷体" w:eastAsia="仿宋_GB2312"/>
          <w:sz w:val="24"/>
        </w:rPr>
        <w:t>乙方收到甲方售后服务要求通知后3日内（甲方按照本合同尾部所留联系人及联系电话完成通知或者按照本合同第1.</w:t>
      </w:r>
      <w:r>
        <w:rPr>
          <w:rFonts w:ascii="仿宋_GB2312" w:hAnsi="楷体" w:eastAsia="仿宋_GB2312"/>
          <w:sz w:val="24"/>
        </w:rPr>
        <w:t>8</w:t>
      </w:r>
      <w:r>
        <w:rPr>
          <w:rFonts w:hint="eastAsia" w:ascii="仿宋_GB2312" w:hAnsi="楷体" w:eastAsia="仿宋_GB2312"/>
          <w:sz w:val="24"/>
        </w:rPr>
        <w:t>条完成通知的，均视为乙方已经收到通知），乙方未能提供售后服务的，甲方另行委托他人完成，产生的费用由乙方承担。</w:t>
      </w:r>
    </w:p>
    <w:p>
      <w:pPr>
        <w:spacing w:line="360" w:lineRule="auto"/>
        <w:ind w:firstLine="480" w:firstLineChars="200"/>
        <w:rPr>
          <w:rFonts w:ascii="宋体" w:hAnsi="宋体" w:cs="宋体"/>
          <w:sz w:val="24"/>
        </w:rPr>
      </w:pPr>
      <w:r>
        <w:rPr>
          <w:rFonts w:hint="eastAsia" w:ascii="宋体" w:hAnsi="宋体" w:cs="宋体"/>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60" w:lineRule="auto"/>
        <w:ind w:firstLine="480" w:firstLineChars="200"/>
        <w:rPr>
          <w:rFonts w:ascii="宋体" w:hAnsi="宋体" w:cs="宋体"/>
          <w:sz w:val="24"/>
        </w:rPr>
      </w:pPr>
      <w:r>
        <w:rPr>
          <w:rFonts w:hint="eastAsia" w:ascii="宋体" w:hAnsi="宋体" w:cs="宋体"/>
          <w:sz w:val="24"/>
        </w:rPr>
        <w:t>1.6.7 如果出现政府采购监督管理部门在处理投诉事项期间，书面通知甲方暂停采购活动的情形，或者询问或质疑事项可能影响中标结果的，导致甲方中止履行合同</w:t>
      </w:r>
      <w:r>
        <w:rPr>
          <w:rFonts w:hint="eastAsia" w:ascii="仿宋_GB2312" w:hAnsi="楷体" w:eastAsia="仿宋_GB2312"/>
          <w:sz w:val="24"/>
        </w:rPr>
        <w:t>或最终导致废标、合同无效的</w:t>
      </w:r>
      <w:r>
        <w:rPr>
          <w:rFonts w:hint="eastAsia" w:ascii="宋体" w:hAnsi="宋体" w:cs="宋体"/>
          <w:sz w:val="24"/>
        </w:rPr>
        <w:t>的情形，均不视为甲方违约。</w:t>
      </w:r>
      <w:r>
        <w:rPr>
          <w:rFonts w:hint="eastAsia" w:ascii="仿宋_GB2312" w:hAnsi="楷体" w:eastAsia="仿宋_GB2312"/>
          <w:sz w:val="24"/>
        </w:rPr>
        <w:t>如废标原因是乙方过错导致，甲方可要求乙方因废标对甲方造成的损失承担赔偿责任。</w:t>
      </w:r>
    </w:p>
    <w:p>
      <w:pPr>
        <w:spacing w:line="360" w:lineRule="auto"/>
        <w:ind w:firstLine="482" w:firstLineChars="200"/>
        <w:rPr>
          <w:rFonts w:ascii="宋体" w:hAnsi="宋体" w:cs="宋体"/>
          <w:b/>
          <w:sz w:val="24"/>
        </w:rPr>
      </w:pPr>
      <w:bookmarkStart w:id="158" w:name="_Toc16021"/>
      <w:bookmarkStart w:id="159" w:name="_Toc15583"/>
      <w:bookmarkStart w:id="160" w:name="_Toc28375"/>
      <w:r>
        <w:rPr>
          <w:rFonts w:hint="eastAsia" w:ascii="宋体" w:hAnsi="宋体" w:cs="宋体"/>
          <w:b/>
          <w:sz w:val="24"/>
        </w:rPr>
        <w:t>1.7 合同争议的解决</w:t>
      </w:r>
      <w:bookmarkEnd w:id="158"/>
      <w:bookmarkEnd w:id="159"/>
      <w:bookmarkEnd w:id="160"/>
    </w:p>
    <w:p>
      <w:pPr>
        <w:spacing w:line="360" w:lineRule="auto"/>
        <w:ind w:firstLine="480" w:firstLineChars="200"/>
        <w:rPr>
          <w:rFonts w:ascii="宋体" w:hAnsi="宋体" w:cs="宋体"/>
          <w:sz w:val="24"/>
        </w:rPr>
      </w:pPr>
      <w:r>
        <w:rPr>
          <w:rFonts w:hint="eastAsia" w:ascii="宋体" w:hAnsi="宋体" w:cs="宋体"/>
          <w:sz w:val="24"/>
        </w:rPr>
        <w:t>本合同履行过程中发生的任何争议，双方当事人均应通过友好协商的方式和解或者调解解决；不愿和解、调解或者和解、调解不成的，可以选择下列第</w:t>
      </w:r>
      <w:r>
        <w:rPr>
          <w:rFonts w:hint="eastAsia" w:ascii="宋体" w:hAnsi="宋体" w:cs="宋体"/>
          <w:sz w:val="24"/>
          <w:u w:val="single"/>
        </w:rPr>
        <w:t xml:space="preserve"> </w:t>
      </w:r>
      <w:r>
        <w:rPr>
          <w:rFonts w:ascii="宋体" w:hAnsi="宋体" w:cs="宋体"/>
          <w:sz w:val="24"/>
          <w:u w:val="single"/>
        </w:rPr>
        <w:t>1</w:t>
      </w:r>
      <w:r>
        <w:rPr>
          <w:rFonts w:hint="eastAsia" w:ascii="宋体" w:hAnsi="宋体" w:cs="宋体"/>
          <w:sz w:val="24"/>
          <w:u w:val="single"/>
        </w:rPr>
        <w:t>.</w:t>
      </w:r>
      <w:r>
        <w:rPr>
          <w:rFonts w:ascii="宋体" w:hAnsi="宋体" w:cs="宋体"/>
          <w:sz w:val="24"/>
          <w:u w:val="single"/>
        </w:rPr>
        <w:t>7</w:t>
      </w:r>
      <w:r>
        <w:rPr>
          <w:rFonts w:hint="eastAsia" w:ascii="宋体" w:hAnsi="宋体" w:cs="宋体"/>
          <w:sz w:val="24"/>
          <w:u w:val="single"/>
        </w:rPr>
        <w:t>.</w:t>
      </w:r>
      <w:r>
        <w:rPr>
          <w:rFonts w:ascii="宋体" w:hAnsi="宋体" w:cs="宋体"/>
          <w:sz w:val="24"/>
          <w:u w:val="single"/>
        </w:rPr>
        <w:t>2</w:t>
      </w:r>
      <w:r>
        <w:rPr>
          <w:rFonts w:hint="eastAsia" w:ascii="宋体" w:hAnsi="宋体" w:cs="宋体"/>
          <w:sz w:val="24"/>
          <w:u w:val="single"/>
        </w:rPr>
        <w:t xml:space="preserve"> </w:t>
      </w:r>
      <w:r>
        <w:rPr>
          <w:rFonts w:hint="eastAsia" w:ascii="宋体" w:hAnsi="宋体" w:cs="宋体"/>
          <w:sz w:val="24"/>
        </w:rPr>
        <w:t>种方式解决：</w:t>
      </w:r>
    </w:p>
    <w:p>
      <w:pPr>
        <w:spacing w:line="360" w:lineRule="auto"/>
        <w:ind w:firstLine="480" w:firstLineChars="200"/>
        <w:rPr>
          <w:rFonts w:ascii="宋体" w:hAnsi="宋体" w:cs="宋体"/>
          <w:sz w:val="24"/>
        </w:rPr>
      </w:pPr>
      <w:r>
        <w:rPr>
          <w:rFonts w:hint="eastAsia" w:ascii="宋体" w:hAnsi="宋体" w:cs="宋体"/>
          <w:sz w:val="24"/>
        </w:rPr>
        <w:t>1.7.1 将争议提交</w:t>
      </w:r>
      <w:r>
        <w:rPr>
          <w:rFonts w:hint="eastAsia" w:ascii="宋体" w:hAnsi="宋体" w:cs="宋体"/>
          <w:sz w:val="24"/>
          <w:u w:val="single"/>
        </w:rPr>
        <w:t>隆安县</w:t>
      </w:r>
      <w:r>
        <w:rPr>
          <w:rFonts w:hint="eastAsia" w:ascii="宋体" w:hAnsi="宋体" w:cs="宋体"/>
          <w:sz w:val="24"/>
        </w:rPr>
        <w:t>仲裁委员会依申请仲裁时其现行有效的仲裁规则裁决；</w:t>
      </w:r>
    </w:p>
    <w:p>
      <w:pPr>
        <w:spacing w:line="360" w:lineRule="auto"/>
        <w:ind w:firstLine="480" w:firstLineChars="200"/>
        <w:rPr>
          <w:rFonts w:ascii="宋体" w:hAnsi="宋体" w:cs="宋体"/>
          <w:sz w:val="24"/>
        </w:rPr>
      </w:pPr>
      <w:r>
        <w:rPr>
          <w:rFonts w:hint="eastAsia" w:ascii="宋体" w:hAnsi="宋体" w:cs="宋体"/>
          <w:sz w:val="24"/>
        </w:rPr>
        <w:t>1.7.2 向</w:t>
      </w:r>
      <w:r>
        <w:rPr>
          <w:rFonts w:hint="eastAsia" w:ascii="宋体" w:hAnsi="宋体" w:cs="宋体"/>
          <w:sz w:val="24"/>
          <w:u w:val="single"/>
        </w:rPr>
        <w:t xml:space="preserve">   甲方所在地    有管辖权的</w:t>
      </w:r>
      <w:r>
        <w:rPr>
          <w:rFonts w:hint="eastAsia" w:ascii="宋体" w:hAnsi="宋体" w:cs="宋体"/>
          <w:sz w:val="24"/>
        </w:rPr>
        <w:t>人民法院起诉。</w:t>
      </w:r>
    </w:p>
    <w:p>
      <w:pPr>
        <w:spacing w:line="360" w:lineRule="auto"/>
        <w:ind w:firstLine="482" w:firstLineChars="200"/>
        <w:rPr>
          <w:rFonts w:ascii="宋体" w:hAnsi="宋体" w:cs="宋体"/>
          <w:b/>
          <w:sz w:val="24"/>
        </w:rPr>
      </w:pPr>
      <w:bookmarkStart w:id="161" w:name="_Toc15322"/>
      <w:bookmarkStart w:id="162" w:name="_Toc7245"/>
      <w:bookmarkStart w:id="163" w:name="_Toc11173"/>
      <w:r>
        <w:rPr>
          <w:rFonts w:hint="eastAsia" w:ascii="宋体" w:hAnsi="宋体" w:cs="宋体"/>
          <w:b/>
          <w:sz w:val="24"/>
        </w:rPr>
        <w:t>1.8 合同生效</w:t>
      </w:r>
      <w:bookmarkEnd w:id="161"/>
      <w:bookmarkEnd w:id="162"/>
      <w:bookmarkEnd w:id="163"/>
    </w:p>
    <w:p>
      <w:pPr>
        <w:spacing w:line="360" w:lineRule="auto"/>
        <w:ind w:firstLine="480" w:firstLineChars="200"/>
        <w:rPr>
          <w:rFonts w:ascii="宋体" w:hAnsi="宋体" w:cs="宋体"/>
          <w:b/>
          <w:sz w:val="24"/>
        </w:rPr>
      </w:pPr>
      <w:r>
        <w:rPr>
          <w:rFonts w:hint="eastAsia" w:ascii="宋体" w:hAnsi="宋体" w:cs="宋体"/>
          <w:sz w:val="24"/>
        </w:rPr>
        <w:t>本合同自双方当事人加盖有效电子公章时生效。</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81"/>
        <w:gridCol w:w="4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甲方（盖章）：</w:t>
            </w:r>
            <w:r>
              <w:rPr>
                <w:rFonts w:hint="eastAsia" w:ascii="仿宋_GB2312" w:hAnsi="楷体" w:eastAsia="仿宋_GB2312"/>
                <w:sz w:val="24"/>
                <w:lang w:val="zh-CN"/>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乙方：</w:t>
            </w:r>
            <w:r>
              <w:rPr>
                <w:rFonts w:hint="eastAsia" w:ascii="宋体" w:hAnsi="宋体" w:cs="宋体"/>
                <w:sz w:val="24"/>
              </w:rPr>
              <w:t xml:space="preserve">         </w:t>
            </w:r>
            <w:r>
              <w:rPr>
                <w:rFonts w:hint="eastAsia" w:ascii="宋体" w:hAnsi="宋体" w:cs="宋体"/>
                <w:sz w:val="24"/>
                <w:lang w:val="zh-CN"/>
              </w:rPr>
              <w:t>（盖章）</w:t>
            </w:r>
          </w:p>
          <w:p>
            <w:pPr>
              <w:spacing w:line="360" w:lineRule="auto"/>
              <w:rPr>
                <w:rFonts w:ascii="宋体" w:hAnsi="宋体" w:cs="宋体"/>
                <w:sz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lang w:val="zh-CN"/>
              </w:rPr>
            </w:pPr>
            <w:r>
              <w:rPr>
                <w:rFonts w:hint="eastAsia" w:ascii="宋体" w:hAnsi="宋体" w:cs="宋体"/>
                <w:sz w:val="24"/>
                <w:lang w:val="zh-CN"/>
              </w:rPr>
              <w:t>统一社会信用代码：</w:t>
            </w:r>
            <w:r>
              <w:rPr>
                <w:rFonts w:hint="eastAsia" w:ascii="宋体" w:hAnsi="宋体" w:cs="宋体"/>
                <w:sz w:val="24"/>
              </w:rPr>
              <w:t xml:space="preserve"> </w:t>
            </w:r>
            <w:r>
              <w:rPr>
                <w:rFonts w:ascii="仿宋_GB2312" w:hAnsi="楷体" w:eastAsia="仿宋_GB2312"/>
                <w:sz w:val="24"/>
                <w:lang w:val="zh-CN"/>
              </w:rPr>
              <w:t>11450123007743122T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统一社会信用代码：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仿宋_GB2312" w:hAnsi="楷体" w:eastAsia="仿宋_GB2312"/>
                <w:sz w:val="24"/>
                <w:lang w:val="zh-CN"/>
              </w:rPr>
              <w:t>广西南宁市隆安县城厢镇江滨路2</w:t>
            </w:r>
            <w:r>
              <w:rPr>
                <w:rFonts w:ascii="仿宋_GB2312" w:hAnsi="楷体" w:eastAsia="仿宋_GB2312"/>
                <w:sz w:val="24"/>
                <w:lang w:val="zh-CN"/>
              </w:rPr>
              <w:t>2</w:t>
            </w:r>
            <w:r>
              <w:rPr>
                <w:rFonts w:hint="eastAsia" w:ascii="仿宋_GB2312" w:hAnsi="楷体" w:eastAsia="仿宋_GB2312"/>
                <w:sz w:val="24"/>
                <w:lang w:val="zh-CN"/>
              </w:rPr>
              <w:t>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住所：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6" w:hRule="atLeast"/>
        </w:trPr>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法定代表人或授权代表（签字）：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r>
              <w:rPr>
                <w:rFonts w:hint="eastAsia" w:ascii="仿宋_GB2312" w:hAnsi="楷体" w:eastAsia="仿宋_GB2312"/>
                <w:sz w:val="24"/>
                <w:lang w:val="zh-CN"/>
              </w:rPr>
              <w:t>李老师</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仿宋_GB2312" w:hAnsi="楷体" w:eastAsia="仿宋_GB2312"/>
                <w:sz w:val="24"/>
                <w:lang w:val="zh-CN"/>
              </w:rPr>
              <w:t>广西南宁市隆安县城厢镇江滨路22号</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约定送达地址：</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r>
              <w:rPr>
                <w:rFonts w:ascii="仿宋_GB2312" w:hAnsi="楷体" w:eastAsia="仿宋_GB2312"/>
                <w:sz w:val="24"/>
                <w:lang w:val="zh-CN"/>
              </w:rPr>
              <w:t>532799</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邮政编码：</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r>
              <w:rPr>
                <w:rFonts w:ascii="仿宋_GB2312" w:hAnsi="楷体" w:eastAsia="仿宋_GB2312"/>
                <w:sz w:val="24"/>
                <w:lang w:val="zh-CN"/>
              </w:rPr>
              <w:t>0771</w:t>
            </w:r>
            <w:r>
              <w:rPr>
                <w:rFonts w:hint="eastAsia" w:ascii="仿宋_GB2312" w:hAnsi="楷体" w:eastAsia="仿宋_GB2312"/>
                <w:sz w:val="24"/>
                <w:lang w:val="zh-CN"/>
              </w:rPr>
              <w:t>-</w:t>
            </w:r>
            <w:r>
              <w:rPr>
                <w:rFonts w:ascii="仿宋_GB2312" w:hAnsi="楷体" w:eastAsia="仿宋_GB2312"/>
                <w:sz w:val="24"/>
                <w:lang w:val="zh-CN"/>
              </w:rPr>
              <w:t>6528701</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电话：</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传真：</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lang w:val="zh-CN"/>
              </w:rPr>
              <w:t>传真：</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r>
              <w:rPr>
                <w:rFonts w:hint="eastAsia" w:ascii="仿宋_GB2312" w:hAnsi="楷体" w:eastAsia="仿宋_GB2312"/>
                <w:sz w:val="24"/>
                <w:lang w:val="zh-CN"/>
              </w:rPr>
              <w:t>/</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lang w:val="zh-CN"/>
              </w:rPr>
              <w:t>电子邮箱：</w:t>
            </w:r>
            <w:r>
              <w:rPr>
                <w:rFonts w:hint="eastAsia" w:ascii="宋体" w:hAnsi="宋体" w:cs="宋体"/>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ind w:firstLine="200"/>
              <w:rPr>
                <w:rFonts w:ascii="仿宋_GB2312" w:hAnsi="楷体" w:eastAsia="仿宋_GB2312"/>
                <w:sz w:val="24"/>
              </w:rPr>
            </w:pPr>
            <w:r>
              <w:rPr>
                <w:rFonts w:hint="eastAsia" w:ascii="宋体" w:hAnsi="宋体" w:cs="宋体"/>
                <w:sz w:val="24"/>
              </w:rPr>
              <w:t>开户银行：</w:t>
            </w:r>
            <w:r>
              <w:rPr>
                <w:rFonts w:hint="eastAsia" w:ascii="仿宋_GB2312" w:hAnsi="楷体" w:eastAsia="仿宋_GB2312"/>
                <w:sz w:val="24"/>
              </w:rPr>
              <w:t>中国农业银行股份有限公司隆安县支行</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开户银行：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开户名称：</w:t>
            </w:r>
            <w:r>
              <w:rPr>
                <w:rFonts w:hint="eastAsia" w:ascii="仿宋_GB2312" w:hAnsi="楷体" w:eastAsia="仿宋_GB2312"/>
                <w:sz w:val="24"/>
              </w:rPr>
              <w:t>隆安县教育局</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开户名称：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rPr>
            </w:pPr>
            <w:r>
              <w:rPr>
                <w:rFonts w:hint="eastAsia" w:ascii="宋体" w:hAnsi="宋体" w:cs="宋体"/>
                <w:sz w:val="24"/>
              </w:rPr>
              <w:t xml:space="preserve">开户账号： </w:t>
            </w:r>
            <w:r>
              <w:rPr>
                <w:rFonts w:ascii="仿宋_GB2312" w:hAnsi="楷体" w:eastAsia="仿宋_GB2312"/>
                <w:sz w:val="24"/>
                <w:lang w:val="zh-CN"/>
              </w:rPr>
              <w:t>20038101040008585</w:t>
            </w:r>
          </w:p>
        </w:tc>
        <w:tc>
          <w:tcPr>
            <w:tcW w:w="4981" w:type="dxa"/>
            <w:tcBorders>
              <w:top w:val="single" w:color="auto" w:sz="4" w:space="0"/>
              <w:left w:val="single" w:color="auto" w:sz="4" w:space="0"/>
              <w:bottom w:val="single" w:color="auto" w:sz="4" w:space="0"/>
              <w:right w:val="single" w:color="auto" w:sz="4" w:space="0"/>
            </w:tcBorders>
          </w:tcPr>
          <w:p>
            <w:pPr>
              <w:spacing w:line="360" w:lineRule="auto"/>
              <w:rPr>
                <w:rFonts w:ascii="宋体" w:hAnsi="宋体" w:cs="宋体"/>
                <w:sz w:val="24"/>
                <w:lang w:val="zh-CN"/>
              </w:rPr>
            </w:pPr>
            <w:r>
              <w:rPr>
                <w:rFonts w:hint="eastAsia" w:ascii="宋体" w:hAnsi="宋体" w:cs="宋体"/>
                <w:sz w:val="24"/>
              </w:rPr>
              <w:t xml:space="preserve">开户账号： </w:t>
            </w:r>
          </w:p>
        </w:tc>
      </w:tr>
    </w:tbl>
    <w:p>
      <w:pPr>
        <w:spacing w:line="360" w:lineRule="auto"/>
        <w:ind w:firstLine="200"/>
        <w:rPr>
          <w:rFonts w:ascii="宋体" w:hAnsi="宋体" w:cs="宋体"/>
          <w:sz w:val="24"/>
          <w:lang w:val="zh-CN"/>
        </w:rPr>
      </w:pPr>
    </w:p>
    <w:p>
      <w:pPr>
        <w:spacing w:line="360" w:lineRule="auto"/>
        <w:ind w:firstLine="200"/>
        <w:jc w:val="center"/>
        <w:rPr>
          <w:rFonts w:ascii="宋体" w:hAnsi="宋体" w:cs="宋体"/>
          <w:b/>
          <w:sz w:val="28"/>
          <w:szCs w:val="28"/>
        </w:rPr>
        <w:sectPr>
          <w:pgSz w:w="11906" w:h="16838"/>
          <w:pgMar w:top="1440" w:right="1080" w:bottom="1440" w:left="1080" w:header="720" w:footer="720" w:gutter="0"/>
          <w:cols w:space="720" w:num="1"/>
          <w:docGrid w:type="lines" w:linePitch="331" w:charSpace="0"/>
        </w:sectPr>
      </w:pPr>
      <w:bookmarkStart w:id="164" w:name="_Toc331685783"/>
    </w:p>
    <w:p>
      <w:pPr>
        <w:spacing w:line="360" w:lineRule="auto"/>
        <w:ind w:firstLine="200"/>
        <w:jc w:val="center"/>
        <w:rPr>
          <w:rFonts w:ascii="宋体" w:hAnsi="宋体" w:cs="宋体"/>
          <w:b/>
          <w:sz w:val="28"/>
          <w:szCs w:val="28"/>
        </w:rPr>
      </w:pPr>
      <w:r>
        <w:rPr>
          <w:rFonts w:hint="eastAsia" w:ascii="宋体" w:hAnsi="宋体" w:cs="宋体"/>
          <w:b/>
          <w:sz w:val="28"/>
          <w:szCs w:val="28"/>
        </w:rPr>
        <w:t>第二部分 合同一般条款</w:t>
      </w:r>
      <w:bookmarkEnd w:id="164"/>
    </w:p>
    <w:p>
      <w:pPr>
        <w:spacing w:line="360" w:lineRule="auto"/>
        <w:ind w:firstLine="482" w:firstLineChars="200"/>
        <w:rPr>
          <w:rFonts w:ascii="宋体" w:hAnsi="宋体" w:cs="宋体"/>
          <w:b/>
          <w:sz w:val="24"/>
        </w:rPr>
      </w:pPr>
      <w:bookmarkStart w:id="165" w:name="_Ref467379205"/>
      <w:bookmarkStart w:id="166" w:name="_Ref467379101"/>
      <w:bookmarkStart w:id="167" w:name="_Ref467379214"/>
      <w:bookmarkStart w:id="168" w:name="_Toc19614"/>
      <w:bookmarkStart w:id="169" w:name="_Toc487900349"/>
      <w:bookmarkStart w:id="170" w:name="_Toc279701240"/>
      <w:bookmarkStart w:id="171" w:name="_Ref467378499"/>
      <w:bookmarkStart w:id="172" w:name="_Ref467378404"/>
      <w:bookmarkStart w:id="173" w:name="_Ref467379195"/>
      <w:bookmarkStart w:id="174" w:name="_Ref467379225"/>
      <w:bookmarkStart w:id="175" w:name="_Toc16917"/>
      <w:bookmarkStart w:id="176" w:name="_Ref467379094"/>
      <w:bookmarkStart w:id="177" w:name="_Ref467379109"/>
      <w:bookmarkStart w:id="178" w:name="_Toc259093669"/>
      <w:bookmarkStart w:id="179" w:name="_Ref467378463"/>
      <w:bookmarkStart w:id="180" w:name="_Toc28763"/>
      <w:r>
        <w:rPr>
          <w:rFonts w:hint="eastAsia" w:ascii="宋体" w:hAnsi="宋体" w:cs="宋体"/>
          <w:b/>
          <w:sz w:val="24"/>
        </w:rPr>
        <w:t>2.1 定义</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spacing w:line="360" w:lineRule="auto"/>
        <w:ind w:firstLine="480" w:firstLineChars="200"/>
        <w:rPr>
          <w:rFonts w:ascii="宋体" w:hAnsi="宋体" w:cs="宋体"/>
          <w:sz w:val="24"/>
        </w:rPr>
      </w:pPr>
      <w:r>
        <w:rPr>
          <w:rFonts w:hint="eastAsia" w:ascii="宋体" w:hAnsi="宋体" w:cs="宋体"/>
          <w:sz w:val="24"/>
        </w:rPr>
        <w:t>本合同中的下列词语应按以下内容进行解释：</w:t>
      </w:r>
    </w:p>
    <w:p>
      <w:pPr>
        <w:spacing w:line="360" w:lineRule="auto"/>
        <w:ind w:firstLine="480" w:firstLineChars="200"/>
        <w:rPr>
          <w:rFonts w:ascii="宋体" w:hAnsi="宋体" w:cs="宋体"/>
          <w:sz w:val="24"/>
        </w:rPr>
      </w:pPr>
      <w:r>
        <w:rPr>
          <w:rFonts w:hint="eastAsia" w:ascii="宋体" w:hAnsi="宋体" w:cs="宋体"/>
          <w:sz w:val="24"/>
        </w:rPr>
        <w:t>2.1.1 “合同”系指采购人和中标人签订的载明双方当事人所达成的协议，并包括所有的附件、附录和构成合同的其他文件。</w:t>
      </w:r>
    </w:p>
    <w:p>
      <w:pPr>
        <w:spacing w:line="360" w:lineRule="auto"/>
        <w:ind w:firstLine="480" w:firstLineChars="200"/>
        <w:rPr>
          <w:rFonts w:ascii="宋体" w:hAnsi="宋体" w:cs="宋体"/>
          <w:sz w:val="24"/>
        </w:rPr>
      </w:pPr>
      <w:r>
        <w:rPr>
          <w:rFonts w:hint="eastAsia" w:ascii="宋体" w:hAnsi="宋体" w:cs="宋体"/>
          <w:sz w:val="24"/>
        </w:rPr>
        <w:t>2.1.2 “合同价”系指根据合同约定，中标人在完全履行合同义务后，采购人应支付给中标人的价格。</w:t>
      </w:r>
    </w:p>
    <w:p>
      <w:pPr>
        <w:spacing w:line="360" w:lineRule="auto"/>
        <w:ind w:firstLine="480" w:firstLineChars="200"/>
        <w:rPr>
          <w:rFonts w:ascii="宋体" w:hAnsi="宋体" w:cs="宋体"/>
          <w:sz w:val="24"/>
        </w:rPr>
      </w:pPr>
      <w:r>
        <w:rPr>
          <w:rFonts w:hint="eastAsia" w:ascii="宋体" w:hAnsi="宋体" w:cs="宋体"/>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pPr>
        <w:spacing w:line="360" w:lineRule="auto"/>
        <w:ind w:firstLine="480" w:firstLineChars="200"/>
        <w:rPr>
          <w:rFonts w:ascii="宋体" w:hAnsi="宋体" w:cs="宋体"/>
          <w:sz w:val="24"/>
        </w:rPr>
      </w:pPr>
      <w:bookmarkStart w:id="181" w:name="_Ref467378840"/>
      <w:r>
        <w:rPr>
          <w:rFonts w:hint="eastAsia" w:ascii="宋体" w:hAnsi="宋体" w:cs="宋体"/>
          <w:sz w:val="24"/>
        </w:rPr>
        <w:t>2.1.4 “甲方”系指与中标人签署合同的采购人</w:t>
      </w:r>
      <w:bookmarkEnd w:id="181"/>
      <w:r>
        <w:rPr>
          <w:rFonts w:hint="eastAsia" w:ascii="宋体" w:hAnsi="宋体" w:cs="宋体"/>
          <w:sz w:val="24"/>
        </w:rPr>
        <w:t>；采购人委托采购机构代表其与乙方签订合同的，采购人的授权委托书作为合同附件。</w:t>
      </w:r>
    </w:p>
    <w:p>
      <w:pPr>
        <w:spacing w:line="360" w:lineRule="auto"/>
        <w:ind w:firstLine="480" w:firstLineChars="200"/>
        <w:rPr>
          <w:rFonts w:ascii="宋体" w:hAnsi="宋体" w:cs="宋体"/>
          <w:sz w:val="24"/>
        </w:rPr>
      </w:pPr>
      <w:bookmarkStart w:id="182" w:name="_Ref467379400"/>
      <w:r>
        <w:rPr>
          <w:rFonts w:hint="eastAsia" w:ascii="宋体" w:hAnsi="宋体" w:cs="宋体"/>
          <w:sz w:val="24"/>
        </w:rPr>
        <w:t>2.1.5 “乙方”系指根据合同约定交付标的物的</w:t>
      </w:r>
      <w:bookmarkEnd w:id="182"/>
      <w:r>
        <w:rPr>
          <w:rFonts w:hint="eastAsia" w:ascii="宋体" w:hAnsi="宋体" w:cs="宋体"/>
          <w:sz w:val="24"/>
        </w:rPr>
        <w:t>中标人；两个以上的自然人、法人或者其他组织组成一个联合体，以一个供应商的身份共同参加政府采购的，联合体各方均应为乙方或者与乙方相同地位的合同当事人，并就合同约定的事项对甲方承担连带责任。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60" w:lineRule="auto"/>
        <w:ind w:firstLine="480" w:firstLineChars="200"/>
        <w:rPr>
          <w:rFonts w:ascii="宋体" w:hAnsi="宋体" w:cs="宋体"/>
          <w:sz w:val="24"/>
        </w:rPr>
      </w:pPr>
      <w:bookmarkStart w:id="183" w:name="_Ref467379436"/>
      <w:r>
        <w:rPr>
          <w:rFonts w:hint="eastAsia" w:ascii="宋体" w:hAnsi="宋体" w:cs="宋体"/>
          <w:sz w:val="24"/>
        </w:rPr>
        <w:t>2.1.6 “现场”系指合同约定标的物将要运至或者实施或者安装的地点。</w:t>
      </w:r>
      <w:bookmarkEnd w:id="183"/>
    </w:p>
    <w:p>
      <w:pPr>
        <w:spacing w:line="360" w:lineRule="auto"/>
        <w:ind w:firstLine="482" w:firstLineChars="200"/>
        <w:rPr>
          <w:rFonts w:ascii="宋体" w:hAnsi="宋体" w:cs="宋体"/>
          <w:b/>
          <w:sz w:val="24"/>
        </w:rPr>
      </w:pPr>
      <w:bookmarkStart w:id="184" w:name="_Toc487900350"/>
      <w:bookmarkStart w:id="185" w:name="_Toc279701241"/>
      <w:bookmarkStart w:id="186" w:name="_Toc259093670"/>
      <w:bookmarkStart w:id="187" w:name="_Toc27635"/>
      <w:bookmarkStart w:id="188" w:name="_Toc13336"/>
      <w:bookmarkStart w:id="189" w:name="_Toc32504"/>
      <w:r>
        <w:rPr>
          <w:rFonts w:hint="eastAsia" w:ascii="宋体" w:hAnsi="宋体" w:cs="宋体"/>
          <w:b/>
          <w:sz w:val="24"/>
        </w:rPr>
        <w:t>2.2 技术规范</w:t>
      </w:r>
      <w:bookmarkEnd w:id="184"/>
      <w:bookmarkEnd w:id="185"/>
      <w:bookmarkEnd w:id="186"/>
      <w:bookmarkEnd w:id="187"/>
      <w:bookmarkEnd w:id="188"/>
      <w:bookmarkEnd w:id="189"/>
    </w:p>
    <w:p>
      <w:pPr>
        <w:spacing w:line="360" w:lineRule="auto"/>
        <w:ind w:firstLine="480" w:firstLineChars="200"/>
        <w:rPr>
          <w:rFonts w:ascii="宋体" w:hAnsi="宋体" w:cs="宋体"/>
          <w:sz w:val="24"/>
        </w:rPr>
      </w:pPr>
      <w:r>
        <w:rPr>
          <w:rFonts w:hint="eastAsia" w:ascii="宋体" w:hAnsi="宋体" w:cs="宋体"/>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pPr>
        <w:spacing w:line="360" w:lineRule="auto"/>
        <w:ind w:firstLine="482" w:firstLineChars="200"/>
        <w:rPr>
          <w:rFonts w:ascii="宋体" w:hAnsi="宋体" w:cs="宋体"/>
          <w:b/>
          <w:sz w:val="24"/>
        </w:rPr>
      </w:pPr>
      <w:bookmarkStart w:id="190" w:name="_Toc259093671"/>
      <w:bookmarkStart w:id="191" w:name="_Toc27853"/>
      <w:bookmarkStart w:id="192" w:name="_Toc9829"/>
      <w:bookmarkStart w:id="193" w:name="_Toc279701242"/>
      <w:bookmarkStart w:id="194" w:name="_Toc487900351"/>
      <w:bookmarkStart w:id="195" w:name="_Toc31634"/>
      <w:r>
        <w:rPr>
          <w:rFonts w:hint="eastAsia" w:ascii="宋体" w:hAnsi="宋体" w:cs="宋体"/>
          <w:b/>
          <w:sz w:val="24"/>
        </w:rPr>
        <w:t>2.3 知识产权</w:t>
      </w:r>
      <w:bookmarkEnd w:id="190"/>
      <w:bookmarkEnd w:id="191"/>
      <w:bookmarkEnd w:id="192"/>
      <w:bookmarkEnd w:id="193"/>
      <w:bookmarkEnd w:id="194"/>
      <w:bookmarkEnd w:id="195"/>
    </w:p>
    <w:p>
      <w:pPr>
        <w:spacing w:line="360" w:lineRule="auto"/>
        <w:ind w:firstLine="480" w:firstLineChars="200"/>
        <w:rPr>
          <w:rFonts w:ascii="宋体" w:hAnsi="宋体" w:cs="宋体"/>
          <w:sz w:val="24"/>
        </w:rPr>
      </w:pPr>
      <w:r>
        <w:rPr>
          <w:rFonts w:hint="eastAsia" w:ascii="宋体" w:hAnsi="宋体" w:cs="宋体"/>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pPr>
        <w:spacing w:line="360" w:lineRule="auto"/>
        <w:ind w:firstLine="480" w:firstLineChars="200"/>
        <w:rPr>
          <w:rFonts w:ascii="宋体" w:hAnsi="宋体" w:cs="宋体"/>
          <w:sz w:val="24"/>
        </w:rPr>
      </w:pPr>
      <w:r>
        <w:rPr>
          <w:rFonts w:hint="eastAsia" w:ascii="宋体" w:hAnsi="宋体" w:cs="宋体"/>
          <w:sz w:val="24"/>
        </w:rPr>
        <w:t>2.3.2具有知识产权的计算机软件等标的物的知识产权归属，详见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6" w:name="_Toc4194"/>
      <w:bookmarkStart w:id="197" w:name="_Toc29149"/>
      <w:bookmarkStart w:id="198" w:name="_Toc11932"/>
      <w:r>
        <w:rPr>
          <w:rFonts w:hint="eastAsia" w:ascii="宋体" w:hAnsi="宋体" w:cs="宋体"/>
          <w:b/>
          <w:sz w:val="24"/>
        </w:rPr>
        <w:t>2.4 包装和装运</w:t>
      </w:r>
      <w:bookmarkEnd w:id="196"/>
      <w:bookmarkEnd w:id="197"/>
      <w:bookmarkEnd w:id="198"/>
    </w:p>
    <w:p>
      <w:pPr>
        <w:spacing w:line="360" w:lineRule="auto"/>
        <w:ind w:firstLine="480" w:firstLineChars="200"/>
        <w:rPr>
          <w:rFonts w:ascii="宋体" w:hAnsi="宋体" w:cs="宋体"/>
          <w:sz w:val="24"/>
        </w:rPr>
      </w:pPr>
      <w:r>
        <w:rPr>
          <w:rFonts w:hint="eastAsia" w:ascii="宋体" w:hAnsi="宋体" w:cs="宋体"/>
          <w:sz w:val="24"/>
        </w:rPr>
        <w:t>2.4.1除</w:t>
      </w:r>
      <w:r>
        <w:rPr>
          <w:rFonts w:hint="eastAsia" w:ascii="宋体" w:hAnsi="宋体" w:cs="宋体"/>
          <w:b/>
          <w:i/>
          <w:sz w:val="24"/>
          <w:u w:val="single"/>
        </w:rPr>
        <w:t>合同专用条款</w:t>
      </w:r>
      <w:r>
        <w:rPr>
          <w:rFonts w:hint="eastAsia" w:ascii="宋体" w:hAnsi="宋体" w:cs="宋体"/>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pPr>
        <w:spacing w:line="360" w:lineRule="auto"/>
        <w:ind w:firstLine="480" w:firstLineChars="200"/>
        <w:rPr>
          <w:rFonts w:ascii="宋体" w:hAnsi="宋体" w:cs="宋体"/>
          <w:sz w:val="24"/>
        </w:rPr>
      </w:pPr>
      <w:r>
        <w:rPr>
          <w:rFonts w:hint="eastAsia" w:ascii="宋体" w:hAnsi="宋体" w:cs="宋体"/>
          <w:sz w:val="24"/>
        </w:rPr>
        <w:t>2.4.2 装运标的物的要求和通知，详见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199" w:name="_Toc259093674"/>
      <w:bookmarkStart w:id="200" w:name="_Toc487900354"/>
      <w:bookmarkStart w:id="201" w:name="_Toc279701245"/>
      <w:bookmarkStart w:id="202" w:name="_Ref467378591"/>
      <w:bookmarkStart w:id="203" w:name="_Ref467379527"/>
      <w:bookmarkStart w:id="204" w:name="_Ref467379542"/>
      <w:bookmarkStart w:id="205" w:name="_Ref467378541"/>
      <w:bookmarkStart w:id="206" w:name="_Ref467379536"/>
      <w:bookmarkStart w:id="207" w:name="_Toc30272"/>
      <w:bookmarkStart w:id="208" w:name="_Toc26182"/>
      <w:bookmarkStart w:id="209" w:name="_Toc19074"/>
      <w:r>
        <w:rPr>
          <w:rFonts w:hint="eastAsia" w:ascii="宋体" w:hAnsi="宋体" w:cs="宋体"/>
          <w:b/>
          <w:sz w:val="24"/>
        </w:rPr>
        <w:t>2.</w:t>
      </w:r>
      <w:bookmarkEnd w:id="199"/>
      <w:bookmarkEnd w:id="200"/>
      <w:bookmarkEnd w:id="201"/>
      <w:bookmarkEnd w:id="202"/>
      <w:bookmarkEnd w:id="203"/>
      <w:bookmarkEnd w:id="204"/>
      <w:bookmarkEnd w:id="205"/>
      <w:bookmarkEnd w:id="206"/>
      <w:r>
        <w:rPr>
          <w:rFonts w:hint="eastAsia" w:ascii="宋体" w:hAnsi="宋体" w:cs="宋体"/>
          <w:b/>
          <w:sz w:val="24"/>
        </w:rPr>
        <w:t>5 履约检查和问题反馈</w:t>
      </w:r>
      <w:bookmarkEnd w:id="207"/>
      <w:bookmarkEnd w:id="208"/>
      <w:bookmarkEnd w:id="209"/>
    </w:p>
    <w:p>
      <w:pPr>
        <w:spacing w:line="360" w:lineRule="auto"/>
        <w:ind w:firstLine="480" w:firstLineChars="200"/>
        <w:rPr>
          <w:rFonts w:ascii="宋体" w:hAnsi="宋体" w:cs="宋体"/>
          <w:sz w:val="24"/>
        </w:rPr>
      </w:pPr>
      <w:bookmarkStart w:id="210" w:name="_Ref467379657"/>
      <w:r>
        <w:rPr>
          <w:rFonts w:hint="eastAsia" w:ascii="宋体" w:hAnsi="宋体" w:cs="宋体"/>
          <w:sz w:val="24"/>
        </w:rPr>
        <w:t>2.5.1</w:t>
      </w:r>
      <w:bookmarkEnd w:id="210"/>
      <w:bookmarkStart w:id="211" w:name="_Toc186431854"/>
      <w:bookmarkStart w:id="212" w:name="_Ref467379807"/>
      <w:bookmarkStart w:id="213" w:name="_Ref467379793"/>
      <w:bookmarkStart w:id="214" w:name="_Toc259093676"/>
      <w:bookmarkStart w:id="215" w:name="_Toc279701247"/>
      <w:bookmarkStart w:id="216" w:name="_Toc487900357"/>
      <w:r>
        <w:rPr>
          <w:rFonts w:hint="eastAsia" w:ascii="宋体" w:hAnsi="宋体" w:cs="宋体"/>
          <w:sz w:val="24"/>
        </w:rPr>
        <w:t>甲方有权在其认为必要时，对乙方是否能够按照合同约定交付标的物进行履约检查，以确保乙方所交付的标的物能够依约满足甲方之项目需求，但不得因履约检查妨碍乙方的正常工作，乙方应予积极配合；</w:t>
      </w:r>
    </w:p>
    <w:p>
      <w:pPr>
        <w:spacing w:line="360" w:lineRule="auto"/>
        <w:ind w:firstLine="480" w:firstLineChars="200"/>
        <w:rPr>
          <w:rFonts w:ascii="宋体" w:hAnsi="宋体" w:cs="宋体"/>
          <w:sz w:val="24"/>
        </w:rPr>
      </w:pPr>
      <w:r>
        <w:rPr>
          <w:rFonts w:hint="eastAsia" w:ascii="宋体" w:hAnsi="宋体" w:cs="宋体"/>
          <w:sz w:val="24"/>
        </w:rPr>
        <w:t>2.5.2 合同履行期间，甲方有权将履行过程中出现的问题反馈给乙方，双方当事人应以书面形式约定需要完善和改进的内容</w:t>
      </w:r>
      <w:bookmarkEnd w:id="211"/>
      <w:bookmarkStart w:id="217" w:name="_Toc186431855"/>
      <w:r>
        <w:rPr>
          <w:rFonts w:hint="eastAsia" w:ascii="宋体" w:hAnsi="宋体" w:cs="宋体"/>
          <w:sz w:val="24"/>
        </w:rPr>
        <w:t>。</w:t>
      </w:r>
    </w:p>
    <w:bookmarkEnd w:id="217"/>
    <w:p>
      <w:pPr>
        <w:spacing w:line="360" w:lineRule="auto"/>
        <w:ind w:firstLine="482" w:firstLineChars="200"/>
        <w:rPr>
          <w:rFonts w:ascii="宋体" w:hAnsi="宋体" w:cs="宋体"/>
          <w:b/>
          <w:sz w:val="24"/>
        </w:rPr>
      </w:pPr>
      <w:bookmarkStart w:id="218" w:name="_Toc19219"/>
      <w:bookmarkStart w:id="219" w:name="_Toc28451"/>
      <w:bookmarkStart w:id="220" w:name="_Toc7836"/>
      <w:r>
        <w:rPr>
          <w:rFonts w:hint="eastAsia" w:ascii="宋体" w:hAnsi="宋体" w:cs="宋体"/>
          <w:b/>
          <w:sz w:val="24"/>
        </w:rPr>
        <w:t>2.6 结算方式和付款条件</w:t>
      </w:r>
      <w:bookmarkEnd w:id="212"/>
      <w:bookmarkEnd w:id="213"/>
      <w:bookmarkEnd w:id="214"/>
      <w:bookmarkEnd w:id="215"/>
      <w:bookmarkEnd w:id="216"/>
      <w:bookmarkEnd w:id="218"/>
      <w:bookmarkEnd w:id="219"/>
      <w:bookmarkEnd w:id="220"/>
    </w:p>
    <w:p>
      <w:pPr>
        <w:spacing w:line="360" w:lineRule="auto"/>
        <w:ind w:firstLine="480" w:firstLineChars="200"/>
        <w:rPr>
          <w:rFonts w:ascii="宋体" w:hAnsi="宋体" w:cs="宋体"/>
          <w:sz w:val="24"/>
        </w:rPr>
      </w:pPr>
      <w:r>
        <w:rPr>
          <w:rFonts w:hint="eastAsia" w:ascii="宋体" w:hAnsi="宋体" w:cs="宋体"/>
          <w:sz w:val="24"/>
        </w:rPr>
        <w:t>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21" w:name="_Ref467379852"/>
      <w:bookmarkStart w:id="222" w:name="_Toc259093677"/>
      <w:bookmarkStart w:id="223" w:name="_Ref467379923"/>
      <w:bookmarkStart w:id="224" w:name="_Toc487900358"/>
      <w:bookmarkStart w:id="225" w:name="_Toc279701248"/>
      <w:bookmarkStart w:id="226" w:name="_Ref467379863"/>
      <w:bookmarkStart w:id="227" w:name="_Toc774"/>
      <w:bookmarkStart w:id="228" w:name="_Toc16110"/>
      <w:bookmarkStart w:id="229" w:name="_Toc3225"/>
      <w:r>
        <w:rPr>
          <w:rFonts w:hint="eastAsia" w:ascii="宋体" w:hAnsi="宋体" w:cs="宋体"/>
          <w:b/>
          <w:sz w:val="24"/>
        </w:rPr>
        <w:t>2.7 技术资料</w:t>
      </w:r>
      <w:bookmarkEnd w:id="221"/>
      <w:bookmarkEnd w:id="222"/>
      <w:bookmarkEnd w:id="223"/>
      <w:bookmarkEnd w:id="224"/>
      <w:bookmarkEnd w:id="225"/>
      <w:bookmarkEnd w:id="226"/>
      <w:r>
        <w:rPr>
          <w:rFonts w:hint="eastAsia" w:ascii="宋体" w:hAnsi="宋体" w:cs="宋体"/>
          <w:b/>
          <w:sz w:val="24"/>
        </w:rPr>
        <w:t>和保密义务</w:t>
      </w:r>
      <w:bookmarkEnd w:id="227"/>
      <w:bookmarkEnd w:id="228"/>
      <w:bookmarkEnd w:id="229"/>
    </w:p>
    <w:p>
      <w:pPr>
        <w:spacing w:line="360" w:lineRule="auto"/>
        <w:ind w:firstLine="480" w:firstLineChars="200"/>
        <w:rPr>
          <w:rFonts w:ascii="宋体" w:hAnsi="宋体" w:cs="宋体"/>
          <w:sz w:val="24"/>
        </w:rPr>
      </w:pPr>
      <w:r>
        <w:rPr>
          <w:rFonts w:hint="eastAsia" w:ascii="宋体" w:hAnsi="宋体" w:cs="宋体"/>
          <w:sz w:val="24"/>
        </w:rPr>
        <w:t>2.7.1 乙方有权依据合同约定和项目需要，向甲方了解有关情况，调阅有关资料等，甲方应予积极配合；</w:t>
      </w:r>
    </w:p>
    <w:p>
      <w:pPr>
        <w:spacing w:line="360" w:lineRule="auto"/>
        <w:ind w:firstLine="480" w:firstLineChars="200"/>
        <w:rPr>
          <w:rFonts w:ascii="宋体" w:hAnsi="宋体" w:cs="宋体"/>
          <w:sz w:val="24"/>
        </w:rPr>
      </w:pPr>
      <w:r>
        <w:rPr>
          <w:rFonts w:hint="eastAsia" w:ascii="宋体" w:hAnsi="宋体" w:cs="宋体"/>
          <w:sz w:val="24"/>
        </w:rPr>
        <w:t>2.7.2 乙方有义务妥善保管和保护由甲方提供的前款信息和资料等；</w:t>
      </w:r>
    </w:p>
    <w:p>
      <w:pPr>
        <w:spacing w:line="360" w:lineRule="auto"/>
        <w:ind w:firstLine="480" w:firstLineChars="200"/>
        <w:rPr>
          <w:rFonts w:ascii="宋体" w:hAnsi="宋体" w:cs="宋体"/>
          <w:sz w:val="24"/>
        </w:rPr>
      </w:pPr>
      <w:r>
        <w:rPr>
          <w:rFonts w:hint="eastAsia" w:ascii="宋体" w:hAnsi="宋体" w:cs="宋体"/>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pPr>
        <w:spacing w:line="360" w:lineRule="auto"/>
        <w:ind w:firstLine="482" w:firstLineChars="200"/>
        <w:rPr>
          <w:rFonts w:ascii="宋体" w:hAnsi="宋体" w:cs="宋体"/>
          <w:b/>
          <w:sz w:val="24"/>
        </w:rPr>
      </w:pPr>
      <w:bookmarkStart w:id="230" w:name="_Toc7860"/>
      <w:r>
        <w:rPr>
          <w:rFonts w:hint="eastAsia" w:ascii="宋体" w:hAnsi="宋体" w:cs="宋体"/>
          <w:b/>
          <w:sz w:val="24"/>
        </w:rPr>
        <w:t>2.8 质量保证</w:t>
      </w:r>
      <w:bookmarkEnd w:id="230"/>
    </w:p>
    <w:p>
      <w:pPr>
        <w:spacing w:line="360" w:lineRule="auto"/>
        <w:ind w:firstLine="480" w:firstLineChars="200"/>
        <w:rPr>
          <w:rFonts w:ascii="宋体" w:hAnsi="宋体" w:cs="宋体"/>
          <w:sz w:val="24"/>
        </w:rPr>
      </w:pPr>
      <w:r>
        <w:rPr>
          <w:rFonts w:hint="eastAsia" w:ascii="宋体" w:hAnsi="宋体" w:cs="宋体"/>
          <w:sz w:val="24"/>
        </w:rPr>
        <w:t>2.8.1 乙方应建立和完善履行合同的内部质量保证体系，并提供相关内部规章制度给甲方，以便甲方进行监督检查；</w:t>
      </w:r>
    </w:p>
    <w:p>
      <w:pPr>
        <w:spacing w:line="360" w:lineRule="auto"/>
        <w:ind w:firstLine="480" w:firstLineChars="200"/>
        <w:rPr>
          <w:rFonts w:ascii="宋体" w:hAnsi="宋体" w:cs="宋体"/>
          <w:sz w:val="24"/>
        </w:rPr>
      </w:pPr>
      <w:r>
        <w:rPr>
          <w:rFonts w:hint="eastAsia" w:ascii="宋体" w:hAnsi="宋体" w:cs="宋体"/>
          <w:sz w:val="24"/>
        </w:rPr>
        <w:t>2.8.2 乙方应保证履行合同的人员数量和素质、软件和硬件设备的配置、场地、环境和设施等满足全面履行合同的要求，并应接受甲方的监督检查。</w:t>
      </w:r>
    </w:p>
    <w:p>
      <w:pPr>
        <w:spacing w:line="360" w:lineRule="auto"/>
        <w:ind w:firstLine="480" w:firstLineChars="200"/>
        <w:rPr>
          <w:rFonts w:ascii="宋体" w:hAnsi="宋体" w:cs="宋体"/>
          <w:kern w:val="0"/>
          <w:sz w:val="24"/>
        </w:rPr>
      </w:pPr>
      <w:r>
        <w:rPr>
          <w:rFonts w:hint="eastAsia" w:ascii="宋体" w:hAnsi="宋体" w:cs="宋体"/>
          <w:sz w:val="24"/>
        </w:rPr>
        <w:t>2.8.3乙方应确保项目技术人员的数量和水平与投标文件一致。未经甲方书面同意，乙方不得擅自更换投标文件中注明的项目经理和技术负责人。否则</w:t>
      </w:r>
      <w:r>
        <w:rPr>
          <w:rFonts w:hint="eastAsia" w:ascii="宋体" w:hAnsi="宋体" w:cs="宋体"/>
          <w:kern w:val="0"/>
          <w:sz w:val="24"/>
        </w:rPr>
        <w:t>甲方有权放弃或终止合同，并没收履约保证金。</w:t>
      </w:r>
    </w:p>
    <w:p>
      <w:pPr>
        <w:spacing w:line="360" w:lineRule="auto"/>
        <w:ind w:firstLine="480" w:firstLineChars="200"/>
        <w:rPr>
          <w:rFonts w:ascii="宋体" w:hAnsi="宋体" w:cs="宋体"/>
          <w:sz w:val="24"/>
        </w:rPr>
      </w:pPr>
      <w:r>
        <w:rPr>
          <w:rFonts w:hint="eastAsia" w:ascii="宋体" w:hAnsi="宋体" w:cs="宋体"/>
          <w:sz w:val="24"/>
        </w:rPr>
        <w:t>2.8.4因乙方原因造成甲方其他系统不能正常运行，酿成重大事故（工作日系统中断一天以上）的，乙方应承担全部法律责任，并赔偿经济损失，赔偿金额为项目总价的</w:t>
      </w:r>
      <w:r>
        <w:rPr>
          <w:rFonts w:hint="eastAsia" w:ascii="宋体" w:hAnsi="宋体" w:cs="宋体"/>
          <w:sz w:val="24"/>
          <w:u w:val="single"/>
        </w:rPr>
        <w:t xml:space="preserve"> </w:t>
      </w:r>
      <w:r>
        <w:rPr>
          <w:rFonts w:ascii="宋体" w:hAnsi="宋体" w:cs="宋体"/>
          <w:sz w:val="24"/>
          <w:u w:val="single"/>
        </w:rPr>
        <w:t>30%</w:t>
      </w:r>
      <w:r>
        <w:rPr>
          <w:rFonts w:hint="eastAsia" w:ascii="宋体" w:hAnsi="宋体" w:cs="宋体"/>
          <w:sz w:val="24"/>
          <w:u w:val="single"/>
        </w:rPr>
        <w:t xml:space="preserve"> </w:t>
      </w:r>
      <w:r>
        <w:rPr>
          <w:rFonts w:hint="eastAsia" w:ascii="宋体" w:hAnsi="宋体" w:cs="宋体"/>
          <w:sz w:val="24"/>
        </w:rPr>
        <w:t>（根据项目实际情况填写，一般为30%）。</w:t>
      </w:r>
    </w:p>
    <w:p>
      <w:pPr>
        <w:spacing w:line="360" w:lineRule="auto"/>
        <w:ind w:firstLine="482" w:firstLineChars="200"/>
        <w:rPr>
          <w:rFonts w:ascii="宋体" w:hAnsi="宋体" w:cs="宋体"/>
          <w:b/>
          <w:sz w:val="24"/>
        </w:rPr>
      </w:pPr>
      <w:bookmarkStart w:id="231" w:name="_Toc17244"/>
      <w:bookmarkStart w:id="232" w:name="_Toc487900362"/>
      <w:bookmarkStart w:id="233" w:name="_Toc259093681"/>
      <w:bookmarkStart w:id="234" w:name="_Toc279701252"/>
      <w:r>
        <w:rPr>
          <w:rFonts w:hint="eastAsia" w:ascii="宋体" w:hAnsi="宋体" w:cs="宋体"/>
          <w:b/>
          <w:sz w:val="24"/>
        </w:rPr>
        <w:t>2.9 标的物的风险负担</w:t>
      </w:r>
      <w:bookmarkEnd w:id="231"/>
    </w:p>
    <w:p>
      <w:pPr>
        <w:spacing w:line="360" w:lineRule="auto"/>
        <w:ind w:firstLine="480" w:firstLineChars="200"/>
        <w:rPr>
          <w:rFonts w:ascii="宋体" w:hAnsi="宋体" w:cs="宋体"/>
          <w:b/>
          <w:sz w:val="24"/>
        </w:rPr>
      </w:pPr>
      <w:r>
        <w:rPr>
          <w:rFonts w:hint="eastAsia" w:ascii="宋体" w:hAnsi="宋体" w:cs="宋体"/>
          <w:sz w:val="24"/>
        </w:rPr>
        <w:t>标的物或者在途标的物或者交付给第一承运人后的标的物毁损、灭失的风险负担详见</w:t>
      </w:r>
      <w:r>
        <w:rPr>
          <w:rFonts w:hint="eastAsia" w:ascii="宋体" w:hAnsi="宋体" w:cs="宋体"/>
          <w:b/>
          <w:i/>
          <w:sz w:val="24"/>
          <w:u w:val="single"/>
        </w:rPr>
        <w:t>合同专用条款</w:t>
      </w:r>
      <w:r>
        <w:rPr>
          <w:rFonts w:hint="eastAsia" w:ascii="宋体" w:hAnsi="宋体" w:cs="宋体"/>
          <w:sz w:val="24"/>
        </w:rPr>
        <w:t>。</w:t>
      </w:r>
    </w:p>
    <w:p>
      <w:pPr>
        <w:spacing w:line="360" w:lineRule="auto"/>
        <w:ind w:firstLine="482" w:firstLineChars="200"/>
        <w:rPr>
          <w:rFonts w:ascii="宋体" w:hAnsi="宋体" w:cs="宋体"/>
          <w:b/>
          <w:sz w:val="24"/>
        </w:rPr>
      </w:pPr>
      <w:bookmarkStart w:id="235" w:name="_Toc14055"/>
      <w:r>
        <w:rPr>
          <w:rFonts w:hint="eastAsia" w:ascii="宋体" w:hAnsi="宋体" w:cs="宋体"/>
          <w:b/>
          <w:sz w:val="24"/>
        </w:rPr>
        <w:t>2.10 延迟交货</w:t>
      </w:r>
      <w:bookmarkEnd w:id="232"/>
      <w:bookmarkEnd w:id="233"/>
      <w:bookmarkEnd w:id="234"/>
      <w:bookmarkEnd w:id="235"/>
      <w:r>
        <w:rPr>
          <w:rFonts w:hint="eastAsia" w:ascii="宋体" w:hAnsi="宋体" w:cs="宋体"/>
          <w:b/>
          <w:sz w:val="24"/>
        </w:rPr>
        <w:t>/交付</w:t>
      </w:r>
    </w:p>
    <w:p>
      <w:pPr>
        <w:spacing w:line="360" w:lineRule="auto"/>
        <w:ind w:firstLine="480" w:firstLineChars="200"/>
        <w:rPr>
          <w:rFonts w:ascii="宋体" w:hAnsi="宋体" w:cs="宋体"/>
          <w:sz w:val="24"/>
        </w:rPr>
      </w:pPr>
      <w:r>
        <w:rPr>
          <w:rFonts w:hint="eastAsia" w:ascii="宋体" w:hAnsi="宋体" w:cs="宋体"/>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pPr>
        <w:spacing w:line="360" w:lineRule="auto"/>
        <w:ind w:firstLine="482" w:firstLineChars="200"/>
        <w:rPr>
          <w:rFonts w:ascii="宋体" w:hAnsi="宋体" w:cs="宋体"/>
          <w:b/>
          <w:sz w:val="24"/>
        </w:rPr>
      </w:pPr>
      <w:bookmarkStart w:id="236" w:name="_Toc7502"/>
      <w:bookmarkStart w:id="237" w:name="_Toc279701254"/>
      <w:bookmarkStart w:id="238" w:name="_Toc487900364"/>
      <w:bookmarkStart w:id="239" w:name="_Toc259093683"/>
      <w:bookmarkStart w:id="240" w:name="_Ref467378121"/>
      <w:r>
        <w:rPr>
          <w:rFonts w:hint="eastAsia" w:ascii="宋体" w:hAnsi="宋体" w:cs="宋体"/>
          <w:b/>
          <w:sz w:val="24"/>
        </w:rPr>
        <w:t>2.11 合同变更</w:t>
      </w:r>
      <w:bookmarkEnd w:id="236"/>
    </w:p>
    <w:p>
      <w:pPr>
        <w:spacing w:line="360" w:lineRule="auto"/>
        <w:ind w:firstLine="480" w:firstLineChars="200"/>
        <w:rPr>
          <w:rFonts w:ascii="宋体" w:hAnsi="宋体" w:cs="宋体"/>
          <w:sz w:val="24"/>
        </w:rPr>
      </w:pPr>
      <w:r>
        <w:rPr>
          <w:rFonts w:hint="eastAsia" w:ascii="宋体" w:hAnsi="宋体" w:cs="宋体"/>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pPr>
        <w:spacing w:line="360" w:lineRule="auto"/>
        <w:ind w:firstLine="480" w:firstLineChars="200"/>
        <w:rPr>
          <w:rFonts w:ascii="宋体" w:hAnsi="宋体" w:cs="宋体"/>
          <w:sz w:val="24"/>
        </w:rPr>
      </w:pPr>
      <w:r>
        <w:rPr>
          <w:rFonts w:hint="eastAsia" w:ascii="宋体" w:hAnsi="宋体" w:cs="宋体"/>
          <w:sz w:val="24"/>
        </w:rPr>
        <w:t>2.11.2 合同继续履行将损害国家利益和社会公共利益的，双方当事人应当以书面形式变更合同。有过错的一方应当承担赔偿责任，双方当事人都有过错的，各自承担相应的责任。</w:t>
      </w:r>
      <w:bookmarkStart w:id="241" w:name="_Toc487900369"/>
      <w:bookmarkStart w:id="242" w:name="_Toc279701259"/>
      <w:bookmarkStart w:id="243" w:name="_Toc259093688"/>
    </w:p>
    <w:p>
      <w:pPr>
        <w:spacing w:line="360" w:lineRule="auto"/>
        <w:ind w:firstLine="482" w:firstLineChars="200"/>
        <w:rPr>
          <w:rFonts w:ascii="宋体" w:hAnsi="宋体" w:cs="宋体"/>
          <w:b/>
          <w:sz w:val="24"/>
        </w:rPr>
      </w:pPr>
      <w:bookmarkStart w:id="244" w:name="_Toc10366"/>
      <w:bookmarkStart w:id="245" w:name="_Toc22955"/>
      <w:bookmarkStart w:id="246" w:name="_Toc15237"/>
      <w:r>
        <w:rPr>
          <w:rFonts w:hint="eastAsia" w:ascii="宋体" w:hAnsi="宋体" w:cs="宋体"/>
          <w:b/>
          <w:sz w:val="24"/>
        </w:rPr>
        <w:t>2.12 合同转让</w:t>
      </w:r>
      <w:bookmarkEnd w:id="241"/>
      <w:bookmarkEnd w:id="242"/>
      <w:bookmarkEnd w:id="243"/>
      <w:r>
        <w:rPr>
          <w:rFonts w:hint="eastAsia" w:ascii="宋体" w:hAnsi="宋体" w:cs="宋体"/>
          <w:b/>
          <w:sz w:val="24"/>
        </w:rPr>
        <w:t>和分包</w:t>
      </w:r>
      <w:bookmarkEnd w:id="244"/>
      <w:bookmarkEnd w:id="245"/>
      <w:bookmarkEnd w:id="246"/>
    </w:p>
    <w:p>
      <w:pPr>
        <w:spacing w:line="360" w:lineRule="auto"/>
        <w:ind w:firstLine="480" w:firstLineChars="200"/>
        <w:rPr>
          <w:rFonts w:ascii="宋体" w:hAnsi="宋体" w:cs="宋体"/>
          <w:sz w:val="24"/>
        </w:rPr>
      </w:pPr>
      <w:r>
        <w:rPr>
          <w:rFonts w:hint="eastAsia" w:ascii="宋体" w:hAnsi="宋体" w:cs="宋体"/>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pPr>
        <w:spacing w:line="360" w:lineRule="auto"/>
        <w:ind w:firstLine="482" w:firstLineChars="200"/>
        <w:rPr>
          <w:rFonts w:ascii="宋体" w:hAnsi="宋体" w:cs="宋体"/>
          <w:b/>
          <w:sz w:val="24"/>
        </w:rPr>
      </w:pPr>
      <w:bookmarkStart w:id="247" w:name="_Toc13566"/>
      <w:bookmarkStart w:id="248" w:name="_Toc16508"/>
      <w:bookmarkStart w:id="249" w:name="_Toc14066"/>
      <w:r>
        <w:rPr>
          <w:rFonts w:hint="eastAsia" w:ascii="宋体" w:hAnsi="宋体" w:cs="宋体"/>
          <w:b/>
          <w:sz w:val="24"/>
        </w:rPr>
        <w:t>2.13 不可抗力</w:t>
      </w:r>
      <w:bookmarkEnd w:id="247"/>
      <w:bookmarkEnd w:id="248"/>
      <w:bookmarkEnd w:id="249"/>
    </w:p>
    <w:p>
      <w:pPr>
        <w:spacing w:line="360" w:lineRule="auto"/>
        <w:ind w:firstLine="480" w:firstLineChars="200"/>
        <w:rPr>
          <w:rFonts w:ascii="宋体" w:hAnsi="宋体" w:cs="宋体"/>
          <w:sz w:val="24"/>
        </w:rPr>
      </w:pPr>
      <w:r>
        <w:rPr>
          <w:rFonts w:hint="eastAsia" w:ascii="宋体" w:hAnsi="宋体" w:cs="宋体"/>
          <w:sz w:val="24"/>
        </w:rPr>
        <w:t>2.13.1如果任何一方遭遇法律规定的不可抗力，致使合同履行受阻时，履行合同的期限应予延长，延长的期限应相当于不可抗力所影响的时间；</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宋体" w:hAnsi="宋体" w:cs="宋体"/>
          <w:b/>
          <w:i/>
          <w:sz w:val="24"/>
          <w:u w:val="single"/>
        </w:rPr>
        <w:t>合同专用条款</w:t>
      </w:r>
      <w:r>
        <w:rPr>
          <w:rFonts w:hint="eastAsia" w:ascii="宋体" w:hAnsi="宋体" w:cs="宋体"/>
          <w:sz w:val="24"/>
        </w:rPr>
        <w:t>约定时间内以书面形式通知对方当事人，并在</w:t>
      </w:r>
      <w:r>
        <w:rPr>
          <w:rFonts w:hint="eastAsia" w:ascii="宋体" w:hAnsi="宋体" w:cs="宋体"/>
          <w:b/>
          <w:i/>
          <w:sz w:val="24"/>
          <w:u w:val="single"/>
        </w:rPr>
        <w:t>合同专用条款</w:t>
      </w:r>
      <w:r>
        <w:rPr>
          <w:rFonts w:hint="eastAsia" w:ascii="宋体" w:hAnsi="宋体" w:cs="宋体"/>
          <w:sz w:val="24"/>
        </w:rPr>
        <w:t>约定时间内，将有关部门出具的证明文件送达对方当事人。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2.13.3 因不可抗力致使不能实现合同目的的，当事人可以解除合同；</w:t>
      </w:r>
    </w:p>
    <w:p>
      <w:pPr>
        <w:spacing w:line="360" w:lineRule="auto"/>
        <w:ind w:firstLine="480" w:firstLineChars="200"/>
        <w:rPr>
          <w:rFonts w:ascii="宋体" w:hAnsi="宋体" w:cs="宋体"/>
          <w:sz w:val="24"/>
        </w:rPr>
      </w:pPr>
      <w:r>
        <w:rPr>
          <w:rFonts w:hint="eastAsia" w:ascii="宋体" w:hAnsi="宋体" w:cs="宋体"/>
          <w:sz w:val="24"/>
        </w:rPr>
        <w:t>2.13.4 因不可抗力致使合同有变更必要的，双方当事人应在</w:t>
      </w:r>
      <w:r>
        <w:rPr>
          <w:rFonts w:hint="eastAsia" w:ascii="宋体" w:hAnsi="宋体" w:cs="宋体"/>
          <w:b/>
          <w:i/>
          <w:sz w:val="24"/>
          <w:u w:val="single"/>
        </w:rPr>
        <w:t>合同专用条款</w:t>
      </w:r>
      <w:r>
        <w:rPr>
          <w:rFonts w:hint="eastAsia" w:ascii="宋体" w:hAnsi="宋体" w:cs="宋体"/>
          <w:sz w:val="24"/>
        </w:rPr>
        <w:t>约定时间内以书面形式变更合同；</w:t>
      </w:r>
    </w:p>
    <w:p>
      <w:pPr>
        <w:spacing w:line="360" w:lineRule="auto"/>
        <w:ind w:firstLine="482" w:firstLineChars="200"/>
        <w:rPr>
          <w:rFonts w:ascii="宋体" w:hAnsi="宋体" w:cs="宋体"/>
          <w:b/>
          <w:sz w:val="24"/>
        </w:rPr>
      </w:pPr>
      <w:bookmarkStart w:id="250" w:name="_Toc259093684"/>
      <w:bookmarkStart w:id="251" w:name="_Toc487900365"/>
      <w:bookmarkStart w:id="252" w:name="_Toc689"/>
      <w:bookmarkStart w:id="253" w:name="_Toc279701255"/>
      <w:bookmarkStart w:id="254" w:name="_Toc6969"/>
      <w:bookmarkStart w:id="255" w:name="_Toc30676"/>
      <w:r>
        <w:rPr>
          <w:rFonts w:hint="eastAsia" w:ascii="宋体" w:hAnsi="宋体" w:cs="宋体"/>
          <w:b/>
          <w:sz w:val="24"/>
        </w:rPr>
        <w:t>2.14 税费</w:t>
      </w:r>
      <w:bookmarkEnd w:id="250"/>
      <w:bookmarkEnd w:id="251"/>
      <w:bookmarkEnd w:id="252"/>
      <w:bookmarkEnd w:id="253"/>
      <w:bookmarkEnd w:id="254"/>
      <w:bookmarkEnd w:id="255"/>
    </w:p>
    <w:p>
      <w:pPr>
        <w:spacing w:line="360" w:lineRule="auto"/>
        <w:ind w:firstLine="480" w:firstLineChars="200"/>
        <w:rPr>
          <w:rFonts w:ascii="宋体" w:hAnsi="宋体" w:cs="宋体"/>
          <w:sz w:val="24"/>
        </w:rPr>
      </w:pPr>
      <w:r>
        <w:rPr>
          <w:rFonts w:hint="eastAsia" w:ascii="宋体" w:hAnsi="宋体" w:cs="宋体"/>
          <w:sz w:val="24"/>
        </w:rPr>
        <w:t>与合同有关的一切税费，均按照中华人民共和国法律的相关规定执行。</w:t>
      </w:r>
    </w:p>
    <w:p>
      <w:pPr>
        <w:spacing w:line="360" w:lineRule="auto"/>
        <w:ind w:firstLine="482" w:firstLineChars="200"/>
        <w:rPr>
          <w:rFonts w:ascii="宋体" w:hAnsi="宋体" w:cs="宋体"/>
          <w:b/>
          <w:sz w:val="24"/>
        </w:rPr>
      </w:pPr>
      <w:bookmarkStart w:id="256" w:name="_Toc259093687"/>
      <w:bookmarkStart w:id="257" w:name="_Toc7102"/>
      <w:bookmarkStart w:id="258" w:name="_Toc8298"/>
      <w:bookmarkStart w:id="259" w:name="_Toc279701258"/>
      <w:bookmarkStart w:id="260" w:name="_Toc16959"/>
      <w:bookmarkStart w:id="261" w:name="_Toc487900368"/>
      <w:r>
        <w:rPr>
          <w:rFonts w:hint="eastAsia" w:ascii="宋体" w:hAnsi="宋体" w:cs="宋体"/>
          <w:b/>
          <w:sz w:val="24"/>
        </w:rPr>
        <w:t>2.15 乙方破产</w:t>
      </w:r>
      <w:bookmarkEnd w:id="256"/>
      <w:bookmarkEnd w:id="257"/>
      <w:bookmarkEnd w:id="258"/>
      <w:bookmarkEnd w:id="259"/>
      <w:bookmarkEnd w:id="260"/>
      <w:bookmarkEnd w:id="261"/>
    </w:p>
    <w:p>
      <w:pPr>
        <w:spacing w:line="360" w:lineRule="auto"/>
        <w:ind w:firstLine="480" w:firstLineChars="200"/>
        <w:rPr>
          <w:rFonts w:ascii="宋体" w:hAnsi="宋体" w:cs="宋体"/>
          <w:sz w:val="24"/>
        </w:rPr>
      </w:pPr>
      <w:r>
        <w:rPr>
          <w:rFonts w:hint="eastAsia" w:ascii="宋体" w:hAnsi="宋体" w:cs="宋体"/>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60" w:lineRule="auto"/>
        <w:ind w:firstLine="482" w:firstLineChars="200"/>
        <w:rPr>
          <w:rFonts w:ascii="宋体" w:hAnsi="宋体" w:cs="宋体"/>
          <w:b/>
          <w:sz w:val="24"/>
        </w:rPr>
      </w:pPr>
      <w:bookmarkStart w:id="262" w:name="_Toc15387"/>
      <w:bookmarkStart w:id="263" w:name="_Toc29333"/>
      <w:bookmarkStart w:id="264" w:name="_Toc6134"/>
      <w:r>
        <w:rPr>
          <w:rFonts w:hint="eastAsia" w:ascii="宋体" w:hAnsi="宋体" w:cs="宋体"/>
          <w:b/>
          <w:sz w:val="24"/>
        </w:rPr>
        <w:t>2.16 合同中止、终止</w:t>
      </w:r>
      <w:bookmarkEnd w:id="262"/>
      <w:bookmarkEnd w:id="263"/>
      <w:bookmarkEnd w:id="264"/>
    </w:p>
    <w:p>
      <w:pPr>
        <w:spacing w:line="360" w:lineRule="auto"/>
        <w:ind w:firstLine="480" w:firstLineChars="200"/>
        <w:rPr>
          <w:rFonts w:ascii="宋体" w:hAnsi="宋体" w:cs="宋体"/>
          <w:sz w:val="24"/>
        </w:rPr>
      </w:pPr>
      <w:r>
        <w:rPr>
          <w:rFonts w:hint="eastAsia" w:ascii="宋体" w:hAnsi="宋体" w:cs="宋体"/>
          <w:sz w:val="24"/>
        </w:rPr>
        <w:t>2.16.1 双方当事人不得擅自中止或者终止合同；</w:t>
      </w:r>
    </w:p>
    <w:p>
      <w:pPr>
        <w:spacing w:line="360" w:lineRule="auto"/>
        <w:ind w:firstLine="480" w:firstLineChars="200"/>
        <w:rPr>
          <w:rFonts w:ascii="宋体" w:hAnsi="宋体" w:cs="宋体"/>
          <w:sz w:val="24"/>
        </w:rPr>
      </w:pPr>
      <w:r>
        <w:rPr>
          <w:rFonts w:hint="eastAsia" w:ascii="宋体" w:hAnsi="宋体" w:cs="宋体"/>
          <w:sz w:val="24"/>
        </w:rPr>
        <w:t>2.16.2合同继续履行将损害国家利益和社会公共利益的，双方当事人应当中止或者终止合同。有过错的一方应当承担赔偿责任，双方当事人都有过错的，各自承担相应的责任。</w:t>
      </w:r>
    </w:p>
    <w:p>
      <w:pPr>
        <w:spacing w:line="360" w:lineRule="auto"/>
        <w:ind w:firstLine="482" w:firstLineChars="200"/>
        <w:rPr>
          <w:rFonts w:ascii="宋体" w:hAnsi="宋体" w:cs="宋体"/>
          <w:b/>
          <w:sz w:val="24"/>
        </w:rPr>
      </w:pPr>
      <w:bookmarkStart w:id="265" w:name="_Toc14563"/>
      <w:bookmarkStart w:id="266" w:name="_Toc1125"/>
      <w:bookmarkStart w:id="267" w:name="_Toc6596"/>
      <w:r>
        <w:rPr>
          <w:rFonts w:hint="eastAsia" w:ascii="宋体" w:hAnsi="宋体" w:cs="宋体"/>
          <w:b/>
          <w:sz w:val="24"/>
        </w:rPr>
        <w:t>2.17 检验和验收</w:t>
      </w:r>
      <w:bookmarkEnd w:id="265"/>
      <w:bookmarkEnd w:id="266"/>
      <w:bookmarkEnd w:id="267"/>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b/>
          <w:i/>
          <w:sz w:val="24"/>
          <w:u w:val="single"/>
        </w:rPr>
        <w:t>合同专用条款</w:t>
      </w:r>
      <w:r>
        <w:rPr>
          <w:rFonts w:hint="eastAsia" w:ascii="宋体" w:hAnsi="宋体" w:cs="宋体"/>
          <w:sz w:val="24"/>
        </w:rPr>
        <w:t>约定时间内组织验收，并可依法邀请相关方参加，验收应出具验收书。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2.17.2合同期满或者履行完毕后，甲方有权组织（包括依法邀请国家认可的质量检测机构参加）对乙方履约的验收，即：按照合同约定的技术、货物、安全标准，组织对每一项技术、货物、安全标准的履约情况的验收，并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检验和验收标准、程序等具体内容以及前述验收书的效力详见</w:t>
      </w:r>
      <w:r>
        <w:rPr>
          <w:rFonts w:hint="eastAsia" w:ascii="宋体" w:hAnsi="宋体" w:cs="宋体"/>
          <w:b/>
          <w:i/>
          <w:sz w:val="24"/>
          <w:u w:val="single"/>
        </w:rPr>
        <w:t>合同专用条款</w:t>
      </w:r>
      <w:r>
        <w:rPr>
          <w:rFonts w:hint="eastAsia" w:ascii="宋体" w:hAnsi="宋体" w:cs="宋体"/>
          <w:i/>
          <w:sz w:val="24"/>
        </w:rPr>
        <w:t>。</w:t>
      </w:r>
    </w:p>
    <w:bookmarkEnd w:id="237"/>
    <w:bookmarkEnd w:id="238"/>
    <w:bookmarkEnd w:id="239"/>
    <w:bookmarkEnd w:id="240"/>
    <w:p>
      <w:pPr>
        <w:spacing w:line="360" w:lineRule="auto"/>
        <w:ind w:firstLine="482" w:firstLineChars="200"/>
        <w:rPr>
          <w:rFonts w:ascii="宋体" w:hAnsi="宋体" w:cs="宋体"/>
          <w:b/>
          <w:sz w:val="24"/>
        </w:rPr>
      </w:pPr>
      <w:bookmarkStart w:id="268" w:name="_Toc279701261"/>
      <w:bookmarkStart w:id="269" w:name="_Toc259093690"/>
      <w:bookmarkStart w:id="270" w:name="_Toc487900371"/>
      <w:bookmarkStart w:id="271" w:name="_Toc11284"/>
      <w:bookmarkStart w:id="272" w:name="_Toc25182"/>
      <w:bookmarkStart w:id="273" w:name="_Toc19604"/>
      <w:r>
        <w:rPr>
          <w:rFonts w:hint="eastAsia" w:ascii="宋体" w:hAnsi="宋体" w:cs="宋体"/>
          <w:b/>
          <w:sz w:val="24"/>
        </w:rPr>
        <w:t>2.18 通知</w:t>
      </w:r>
      <w:bookmarkEnd w:id="268"/>
      <w:bookmarkEnd w:id="269"/>
      <w:bookmarkEnd w:id="270"/>
      <w:r>
        <w:rPr>
          <w:rFonts w:hint="eastAsia" w:ascii="宋体" w:hAnsi="宋体" w:cs="宋体"/>
          <w:b/>
          <w:sz w:val="24"/>
        </w:rPr>
        <w:t>和送达</w:t>
      </w:r>
      <w:bookmarkEnd w:id="271"/>
      <w:bookmarkEnd w:id="272"/>
      <w:bookmarkEnd w:id="273"/>
    </w:p>
    <w:p>
      <w:pPr>
        <w:spacing w:line="360" w:lineRule="auto"/>
        <w:ind w:firstLine="480" w:firstLineChars="200"/>
        <w:rPr>
          <w:rFonts w:ascii="宋体" w:hAnsi="宋体" w:cs="宋体"/>
          <w:sz w:val="24"/>
        </w:rPr>
      </w:pPr>
      <w:bookmarkStart w:id="274" w:name="_Toc3135"/>
      <w:bookmarkStart w:id="275" w:name="_Toc6698"/>
      <w:bookmarkStart w:id="276" w:name="_Toc487900372"/>
      <w:bookmarkStart w:id="277" w:name="_Toc259093691"/>
      <w:bookmarkStart w:id="278" w:name="_Toc279701262"/>
      <w:r>
        <w:rPr>
          <w:rFonts w:hint="eastAsia" w:ascii="宋体" w:hAnsi="宋体" w:cs="宋体"/>
          <w:sz w:val="24"/>
        </w:rPr>
        <w:t>2.18.1 任何一方因履行合同而以合同第一部分尾部所列明的</w:t>
      </w:r>
      <w:r>
        <w:rPr>
          <w:rFonts w:hint="eastAsia" w:ascii="宋体" w:hAnsi="宋体" w:cs="宋体"/>
          <w:sz w:val="24"/>
          <w:u w:val="single"/>
        </w:rPr>
        <w:t>“约定送达地址”</w:t>
      </w:r>
      <w:r>
        <w:rPr>
          <w:rFonts w:hint="eastAsia" w:ascii="宋体" w:hAnsi="宋体" w:cs="宋体"/>
          <w:sz w:val="24"/>
        </w:rPr>
        <w:t>为收件地址的所有通知、文件、材料，均视为已向对方当事人送达；任何一方变更上述送达方式或者地址的，应于</w:t>
      </w:r>
      <w:r>
        <w:rPr>
          <w:rFonts w:hint="eastAsia" w:ascii="仿宋_GB2312" w:hAnsi="楷体" w:eastAsia="仿宋_GB2312"/>
          <w:sz w:val="24"/>
        </w:rPr>
        <w:t>应于</w:t>
      </w:r>
      <w:r>
        <w:rPr>
          <w:rFonts w:hint="eastAsia" w:ascii="仿宋_GB2312" w:hAnsi="楷体" w:eastAsia="仿宋_GB2312"/>
          <w:sz w:val="24"/>
          <w:u w:val="single"/>
        </w:rPr>
        <w:t xml:space="preserve"> </w:t>
      </w:r>
      <w:r>
        <w:rPr>
          <w:rFonts w:ascii="仿宋_GB2312" w:hAnsi="楷体" w:eastAsia="仿宋_GB2312"/>
          <w:sz w:val="24"/>
          <w:u w:val="single"/>
        </w:rPr>
        <w:t>5</w:t>
      </w:r>
      <w:r>
        <w:rPr>
          <w:rFonts w:hint="eastAsia" w:ascii="仿宋_GB2312" w:hAnsi="楷体" w:eastAsia="仿宋_GB2312"/>
          <w:sz w:val="24"/>
          <w:u w:val="single"/>
        </w:rPr>
        <w:t xml:space="preserve"> </w:t>
      </w:r>
      <w:r>
        <w:rPr>
          <w:rFonts w:hint="eastAsia" w:ascii="仿宋_GB2312" w:hAnsi="楷体" w:eastAsia="仿宋_GB2312"/>
          <w:sz w:val="24"/>
        </w:rPr>
        <w:t>个工作日</w:t>
      </w:r>
      <w:r>
        <w:rPr>
          <w:rFonts w:hint="eastAsia" w:ascii="宋体" w:hAnsi="宋体" w:cs="宋体"/>
          <w:sz w:val="24"/>
        </w:rPr>
        <w:t>个工作日（根据项目实际情况填写）内书面通知对方当事人，在对方当事人收到有关变更通知之前，变更前的约定送达方式或者地址仍视为有效。</w:t>
      </w:r>
      <w:bookmarkEnd w:id="274"/>
      <w:bookmarkEnd w:id="275"/>
    </w:p>
    <w:p>
      <w:pPr>
        <w:spacing w:line="360" w:lineRule="auto"/>
        <w:ind w:firstLine="480" w:firstLineChars="200"/>
        <w:rPr>
          <w:rFonts w:ascii="宋体" w:hAnsi="宋体" w:cs="宋体"/>
          <w:sz w:val="24"/>
        </w:rPr>
      </w:pPr>
      <w:bookmarkStart w:id="279" w:name="_Toc23294"/>
      <w:bookmarkStart w:id="280" w:name="_Toc23128"/>
      <w:r>
        <w:rPr>
          <w:rFonts w:hint="eastAsia" w:ascii="宋体" w:hAnsi="宋体" w:cs="宋体"/>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79"/>
      <w:bookmarkEnd w:id="280"/>
    </w:p>
    <w:p>
      <w:pPr>
        <w:spacing w:line="360" w:lineRule="auto"/>
        <w:ind w:firstLine="482" w:firstLineChars="200"/>
        <w:rPr>
          <w:rFonts w:ascii="宋体" w:hAnsi="宋体" w:cs="宋体"/>
          <w:b/>
          <w:sz w:val="24"/>
        </w:rPr>
      </w:pPr>
      <w:bookmarkStart w:id="281" w:name="_Toc30599"/>
      <w:bookmarkStart w:id="282" w:name="_Toc4355"/>
      <w:bookmarkStart w:id="283" w:name="_Toc18540"/>
      <w:r>
        <w:rPr>
          <w:rFonts w:hint="eastAsia" w:ascii="宋体" w:hAnsi="宋体" w:cs="宋体"/>
          <w:b/>
          <w:sz w:val="24"/>
        </w:rPr>
        <w:t>2.19 计量单位</w:t>
      </w:r>
      <w:bookmarkEnd w:id="276"/>
      <w:bookmarkEnd w:id="277"/>
      <w:bookmarkEnd w:id="278"/>
      <w:bookmarkEnd w:id="281"/>
      <w:bookmarkEnd w:id="282"/>
      <w:bookmarkEnd w:id="283"/>
    </w:p>
    <w:p>
      <w:pPr>
        <w:spacing w:line="360" w:lineRule="auto"/>
        <w:ind w:firstLine="480" w:firstLineChars="200"/>
        <w:rPr>
          <w:rFonts w:ascii="宋体" w:hAnsi="宋体" w:cs="宋体"/>
          <w:sz w:val="24"/>
        </w:rPr>
      </w:pPr>
      <w:r>
        <w:rPr>
          <w:rFonts w:hint="eastAsia" w:ascii="宋体" w:hAnsi="宋体" w:cs="宋体"/>
          <w:sz w:val="24"/>
        </w:rPr>
        <w:t>除技术规范中另有规定外，合同的计量单位均使用国家法定计量单位。</w:t>
      </w:r>
    </w:p>
    <w:p>
      <w:pPr>
        <w:spacing w:line="360" w:lineRule="auto"/>
        <w:ind w:firstLine="482" w:firstLineChars="200"/>
        <w:rPr>
          <w:rFonts w:ascii="宋体" w:hAnsi="宋体" w:cs="宋体"/>
          <w:b/>
          <w:sz w:val="24"/>
        </w:rPr>
      </w:pPr>
      <w:bookmarkStart w:id="284" w:name="_Toc10330"/>
      <w:bookmarkStart w:id="285" w:name="_Toc487900373"/>
      <w:bookmarkStart w:id="286" w:name="_Toc18567"/>
      <w:bookmarkStart w:id="287" w:name="_Toc279701263"/>
      <w:bookmarkStart w:id="288" w:name="_Toc12773"/>
      <w:bookmarkStart w:id="289" w:name="_Toc259093692"/>
      <w:r>
        <w:rPr>
          <w:rFonts w:hint="eastAsia" w:ascii="宋体" w:hAnsi="宋体" w:cs="宋体"/>
          <w:b/>
          <w:sz w:val="24"/>
        </w:rPr>
        <w:t>2.20 合同使用的文字和适用的法律</w:t>
      </w:r>
      <w:bookmarkEnd w:id="284"/>
      <w:bookmarkEnd w:id="285"/>
      <w:bookmarkEnd w:id="286"/>
      <w:bookmarkEnd w:id="287"/>
      <w:bookmarkEnd w:id="288"/>
      <w:bookmarkEnd w:id="289"/>
    </w:p>
    <w:p>
      <w:pPr>
        <w:spacing w:line="360" w:lineRule="auto"/>
        <w:ind w:firstLine="480" w:firstLineChars="200"/>
        <w:rPr>
          <w:rFonts w:ascii="宋体" w:hAnsi="宋体" w:cs="宋体"/>
          <w:sz w:val="24"/>
        </w:rPr>
      </w:pPr>
      <w:r>
        <w:rPr>
          <w:rFonts w:hint="eastAsia" w:ascii="宋体" w:hAnsi="宋体" w:cs="宋体"/>
          <w:sz w:val="24"/>
        </w:rPr>
        <w:t>2.20.1 合同使用汉语书就、变更和解释；</w:t>
      </w:r>
    </w:p>
    <w:p>
      <w:pPr>
        <w:spacing w:line="360" w:lineRule="auto"/>
        <w:ind w:firstLine="480" w:firstLineChars="200"/>
        <w:rPr>
          <w:rFonts w:ascii="宋体" w:hAnsi="宋体" w:cs="宋体"/>
          <w:sz w:val="24"/>
        </w:rPr>
      </w:pPr>
      <w:r>
        <w:rPr>
          <w:rFonts w:hint="eastAsia" w:ascii="宋体" w:hAnsi="宋体" w:cs="宋体"/>
          <w:sz w:val="24"/>
        </w:rPr>
        <w:t>2.20.2 合同适用中华人民共和国法律。</w:t>
      </w:r>
    </w:p>
    <w:p>
      <w:pPr>
        <w:spacing w:line="360" w:lineRule="auto"/>
        <w:ind w:firstLine="482" w:firstLineChars="200"/>
        <w:rPr>
          <w:rFonts w:ascii="宋体" w:hAnsi="宋体" w:cs="宋体"/>
          <w:b/>
          <w:sz w:val="24"/>
        </w:rPr>
      </w:pPr>
      <w:bookmarkStart w:id="290" w:name="_Toc259093693"/>
      <w:bookmarkStart w:id="291" w:name="_Toc16673"/>
      <w:bookmarkStart w:id="292" w:name="_Toc3148"/>
      <w:bookmarkStart w:id="293" w:name="_Toc12004"/>
      <w:bookmarkStart w:id="294" w:name="_Toc279701264"/>
      <w:bookmarkStart w:id="295" w:name="_Toc487900374"/>
      <w:r>
        <w:rPr>
          <w:rFonts w:hint="eastAsia" w:ascii="宋体" w:hAnsi="宋体" w:cs="宋体"/>
          <w:b/>
          <w:sz w:val="24"/>
        </w:rPr>
        <w:t>2.21 履约保证金</w:t>
      </w:r>
      <w:bookmarkEnd w:id="290"/>
      <w:bookmarkEnd w:id="291"/>
      <w:bookmarkEnd w:id="292"/>
      <w:bookmarkEnd w:id="293"/>
      <w:bookmarkEnd w:id="294"/>
    </w:p>
    <w:p>
      <w:pPr>
        <w:spacing w:line="360" w:lineRule="auto"/>
        <w:ind w:firstLine="480" w:firstLineChars="200"/>
        <w:rPr>
          <w:rFonts w:ascii="宋体" w:hAnsi="宋体" w:cs="宋体"/>
          <w:snapToGrid w:val="0"/>
          <w:kern w:val="0"/>
          <w:sz w:val="24"/>
        </w:rPr>
      </w:pPr>
      <w:r>
        <w:rPr>
          <w:rFonts w:hint="eastAsia" w:ascii="宋体" w:hAnsi="宋体" w:cs="宋体"/>
          <w:sz w:val="24"/>
        </w:rPr>
        <w:t>本项目不收取履约保证金</w:t>
      </w:r>
    </w:p>
    <w:p>
      <w:pPr>
        <w:spacing w:line="360" w:lineRule="auto"/>
        <w:ind w:firstLine="482" w:firstLineChars="200"/>
        <w:rPr>
          <w:rFonts w:ascii="宋体" w:hAnsi="宋体" w:cs="宋体"/>
          <w:kern w:val="0"/>
          <w:sz w:val="24"/>
          <w:lang w:val="zh-CN"/>
        </w:rPr>
      </w:pPr>
      <w:r>
        <w:rPr>
          <w:rFonts w:hint="eastAsia" w:ascii="宋体" w:hAnsi="宋体" w:cs="宋体"/>
          <w:b/>
          <w:sz w:val="24"/>
        </w:rPr>
        <w:t>2.22 中小企业政策</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2.22.1本合同（□是  □否）为中小企业“政采贷”可融资合同，关于中小企业信用融资事项见采购文件“投标人须知正文”。</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 xml:space="preserve">2.22.2本合同（□是  </w:t>
      </w:r>
      <w:r>
        <w:rPr>
          <w:rFonts w:hint="eastAsia" w:ascii="宋体" w:hAnsi="宋体" w:cs="宋体"/>
          <w:kern w:val="0"/>
          <w:sz w:val="24"/>
          <w:lang w:val="zh-CN"/>
        </w:rPr>
        <w:sym w:font="Wingdings" w:char="F0FE"/>
      </w:r>
      <w:r>
        <w:rPr>
          <w:rFonts w:hint="eastAsia" w:ascii="宋体" w:hAnsi="宋体" w:cs="宋体"/>
          <w:kern w:val="0"/>
          <w:sz w:val="24"/>
          <w:lang w:val="zh-CN"/>
        </w:rPr>
        <w:t>否）为中小企业预留合同。</w:t>
      </w:r>
    </w:p>
    <w:bookmarkEnd w:id="295"/>
    <w:p>
      <w:pPr>
        <w:spacing w:line="360" w:lineRule="auto"/>
        <w:ind w:firstLine="482" w:firstLineChars="200"/>
        <w:rPr>
          <w:rFonts w:ascii="宋体" w:hAnsi="宋体" w:cs="宋体"/>
          <w:b/>
          <w:sz w:val="24"/>
        </w:rPr>
      </w:pPr>
      <w:bookmarkStart w:id="296" w:name="_Toc19890"/>
      <w:bookmarkStart w:id="297" w:name="_Toc6885"/>
      <w:bookmarkStart w:id="298" w:name="_Toc14001"/>
      <w:r>
        <w:rPr>
          <w:rFonts w:hint="eastAsia" w:ascii="宋体" w:hAnsi="宋体" w:cs="宋体"/>
          <w:b/>
          <w:sz w:val="24"/>
        </w:rPr>
        <w:t>2.23 合同份数</w:t>
      </w:r>
      <w:bookmarkEnd w:id="296"/>
      <w:bookmarkEnd w:id="297"/>
      <w:bookmarkEnd w:id="298"/>
    </w:p>
    <w:p>
      <w:pPr>
        <w:spacing w:line="360" w:lineRule="auto"/>
        <w:ind w:firstLine="480" w:firstLineChars="200"/>
        <w:rPr>
          <w:rFonts w:ascii="宋体" w:hAnsi="宋体" w:cs="宋体"/>
          <w:sz w:val="24"/>
        </w:rPr>
      </w:pPr>
      <w:r>
        <w:rPr>
          <w:rFonts w:hint="eastAsia" w:ascii="仿宋_GB2312" w:hAnsi="宋体" w:eastAsia="仿宋_GB2312"/>
          <w:sz w:val="24"/>
        </w:rPr>
        <w:t>本合同壹式</w:t>
      </w:r>
      <w:r>
        <w:rPr>
          <w:rFonts w:hint="eastAsia" w:ascii="仿宋_GB2312" w:hAnsi="宋体" w:eastAsia="仿宋_GB2312"/>
          <w:sz w:val="24"/>
          <w:u w:val="single"/>
        </w:rPr>
        <w:t xml:space="preserve"> 陆</w:t>
      </w:r>
      <w:r>
        <w:rPr>
          <w:rFonts w:hint="eastAsia" w:ascii="仿宋_GB2312" w:hAnsi="仿宋" w:eastAsia="仿宋_GB2312"/>
          <w:sz w:val="24"/>
          <w:u w:val="single"/>
        </w:rPr>
        <w:t xml:space="preserve"> </w:t>
      </w:r>
      <w:r>
        <w:rPr>
          <w:rFonts w:hint="eastAsia" w:ascii="仿宋_GB2312" w:hAnsi="宋体" w:eastAsia="仿宋_GB2312"/>
          <w:sz w:val="24"/>
        </w:rPr>
        <w:t>份，甲方执</w:t>
      </w:r>
      <w:r>
        <w:rPr>
          <w:rFonts w:hint="eastAsia" w:ascii="仿宋_GB2312" w:hAnsi="宋体" w:eastAsia="仿宋_GB2312"/>
          <w:sz w:val="24"/>
          <w:u w:val="single"/>
        </w:rPr>
        <w:t xml:space="preserve"> 伍</w:t>
      </w:r>
      <w:r>
        <w:rPr>
          <w:rFonts w:hint="eastAsia" w:ascii="仿宋_GB2312" w:hAnsi="仿宋" w:eastAsia="仿宋_GB2312"/>
          <w:sz w:val="24"/>
          <w:u w:val="single"/>
        </w:rPr>
        <w:t xml:space="preserve"> </w:t>
      </w:r>
      <w:r>
        <w:rPr>
          <w:rFonts w:hint="eastAsia" w:ascii="仿宋_GB2312" w:hAnsi="宋体" w:eastAsia="仿宋_GB2312"/>
          <w:sz w:val="24"/>
        </w:rPr>
        <w:t>份（其中一份移交代理公司），乙方执</w:t>
      </w:r>
      <w:r>
        <w:rPr>
          <w:rFonts w:hint="eastAsia" w:ascii="仿宋_GB2312" w:hAnsi="仿宋" w:eastAsia="仿宋_GB2312"/>
          <w:sz w:val="24"/>
          <w:u w:val="single"/>
        </w:rPr>
        <w:t xml:space="preserve"> 壹</w:t>
      </w:r>
      <w:r>
        <w:rPr>
          <w:rFonts w:hint="eastAsia" w:ascii="仿宋_GB2312" w:hAnsi="宋体" w:eastAsia="仿宋_GB2312"/>
          <w:sz w:val="24"/>
          <w:u w:val="single"/>
        </w:rPr>
        <w:t xml:space="preserve"> </w:t>
      </w:r>
      <w:r>
        <w:rPr>
          <w:rFonts w:hint="eastAsia" w:ascii="仿宋_GB2312" w:hAnsi="宋体" w:eastAsia="仿宋_GB2312"/>
          <w:sz w:val="24"/>
        </w:rPr>
        <w:t>份。</w:t>
      </w:r>
      <w:r>
        <w:rPr>
          <w:rFonts w:hint="eastAsia" w:ascii="仿宋_GB2312" w:hAnsi="楷体" w:eastAsia="仿宋_GB2312"/>
          <w:sz w:val="24"/>
        </w:rPr>
        <w:t>每份均具有同等法律效力</w:t>
      </w:r>
    </w:p>
    <w:p>
      <w:pPr>
        <w:spacing w:line="360" w:lineRule="auto"/>
        <w:jc w:val="center"/>
        <w:rPr>
          <w:rFonts w:ascii="宋体" w:hAnsi="宋体" w:cs="宋体"/>
          <w:b/>
          <w:sz w:val="28"/>
          <w:szCs w:val="28"/>
        </w:rPr>
      </w:pPr>
      <w:r>
        <w:rPr>
          <w:rFonts w:hint="eastAsia" w:ascii="宋体" w:hAnsi="宋体" w:cs="宋体"/>
        </w:rPr>
        <w:br w:type="page"/>
      </w:r>
      <w:bookmarkStart w:id="299" w:name="_Toc331685784"/>
      <w:r>
        <w:rPr>
          <w:rFonts w:hint="eastAsia" w:ascii="宋体" w:hAnsi="宋体" w:cs="宋体"/>
          <w:b/>
          <w:sz w:val="28"/>
          <w:szCs w:val="28"/>
        </w:rPr>
        <w:t>第三部分  合同专用条款</w:t>
      </w:r>
      <w:bookmarkEnd w:id="299"/>
    </w:p>
    <w:p>
      <w:pPr>
        <w:spacing w:line="360" w:lineRule="auto"/>
        <w:ind w:firstLine="480" w:firstLineChars="200"/>
        <w:rPr>
          <w:rFonts w:ascii="宋体" w:hAnsi="宋体" w:cs="宋体"/>
          <w:sz w:val="24"/>
        </w:rPr>
      </w:pPr>
      <w:r>
        <w:rPr>
          <w:rFonts w:hint="eastAsia" w:ascii="宋体" w:hAnsi="宋体" w:cs="宋体"/>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pPr>
        <w:spacing w:line="360" w:lineRule="auto"/>
        <w:ind w:firstLine="480" w:firstLineChars="200"/>
        <w:rPr>
          <w:rFonts w:ascii="宋体" w:hAnsi="宋体" w:cs="宋体"/>
          <w:sz w:val="24"/>
        </w:rPr>
      </w:pPr>
      <w:r>
        <w:rPr>
          <w:rFonts w:hint="eastAsia" w:ascii="宋体" w:hAnsi="宋体" w:cs="宋体"/>
          <w:sz w:val="24"/>
        </w:rPr>
        <w:t>2.3.2具有知识产权的标的物知识产权归属：</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甲方。</w:t>
      </w:r>
    </w:p>
    <w:p>
      <w:pPr>
        <w:spacing w:line="360" w:lineRule="auto"/>
        <w:ind w:firstLine="480" w:firstLineChars="200"/>
        <w:rPr>
          <w:rFonts w:ascii="宋体" w:hAnsi="宋体" w:cs="宋体"/>
          <w:sz w:val="24"/>
        </w:rPr>
      </w:pPr>
      <w:r>
        <w:rPr>
          <w:rFonts w:hint="eastAsia" w:ascii="宋体" w:hAnsi="宋体" w:cs="宋体"/>
          <w:sz w:val="24"/>
        </w:rPr>
        <w:t>2.4.1包装和装运专用条款（如果有）：</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sz w:val="24"/>
        </w:rPr>
      </w:pPr>
      <w:r>
        <w:rPr>
          <w:rFonts w:hint="eastAsia" w:ascii="宋体" w:hAnsi="宋体" w:cs="宋体"/>
          <w:sz w:val="24"/>
        </w:rPr>
        <w:t>2.4.2装运标的物的要求和通知：</w:t>
      </w:r>
    </w:p>
    <w:p>
      <w:pPr>
        <w:spacing w:line="360" w:lineRule="auto"/>
        <w:ind w:firstLine="480" w:firstLineChars="200"/>
        <w:rPr>
          <w:rFonts w:ascii="仿宋_GB2312" w:hAnsi="楷体" w:eastAsia="仿宋_GB2312"/>
          <w:sz w:val="24"/>
          <w:u w:val="single"/>
        </w:rPr>
      </w:pPr>
      <w:r>
        <w:rPr>
          <w:rFonts w:hint="eastAsia" w:ascii="仿宋_GB2312" w:hAnsi="楷体" w:eastAsia="仿宋_GB2312"/>
          <w:sz w:val="24"/>
          <w:u w:val="single"/>
        </w:rPr>
        <w:t>无另行约定，按合同一般条款。</w:t>
      </w:r>
    </w:p>
    <w:p>
      <w:pPr>
        <w:spacing w:line="360" w:lineRule="auto"/>
        <w:ind w:firstLine="480" w:firstLineChars="200"/>
        <w:rPr>
          <w:rFonts w:ascii="宋体" w:hAnsi="宋体" w:cs="宋体"/>
          <w:b/>
          <w:sz w:val="24"/>
        </w:rPr>
      </w:pPr>
      <w:r>
        <w:rPr>
          <w:rFonts w:hint="eastAsia" w:ascii="宋体" w:hAnsi="宋体" w:cs="宋体"/>
          <w:sz w:val="24"/>
        </w:rPr>
        <w:t>2.6</w:t>
      </w:r>
      <w:r>
        <w:rPr>
          <w:rFonts w:hint="eastAsia" w:ascii="宋体" w:hAnsi="宋体" w:cs="宋体"/>
          <w:b/>
          <w:sz w:val="24"/>
        </w:rPr>
        <w:t>结算方式和付款条件</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本次项目合同总价为大写人民币</w:t>
      </w:r>
      <w:r>
        <w:rPr>
          <w:rFonts w:hint="eastAsia" w:ascii="宋体" w:hAnsi="宋体" w:cs="宋体"/>
          <w:kern w:val="0"/>
          <w:sz w:val="24"/>
          <w:u w:val="single"/>
          <w:lang w:val="zh-CN"/>
        </w:rPr>
        <w:t xml:space="preserve">            （</w:t>
      </w:r>
      <w:r>
        <w:rPr>
          <w:rFonts w:hint="eastAsia" w:ascii="宋体" w:hAnsi="宋体" w:cs="宋体"/>
          <w:kern w:val="0"/>
          <w:sz w:val="24"/>
          <w:lang w:val="zh-CN"/>
        </w:rPr>
        <w:t>￥    元）。本项目采用以下勾选结算方式进行支付：</w:t>
      </w:r>
    </w:p>
    <w:p>
      <w:pPr>
        <w:spacing w:line="360" w:lineRule="auto"/>
        <w:ind w:firstLine="480" w:firstLineChars="200"/>
        <w:rPr>
          <w:rFonts w:ascii="宋体" w:hAnsi="宋体" w:cs="宋体"/>
          <w:kern w:val="0"/>
          <w:sz w:val="24"/>
          <w:lang w:val="zh-CN"/>
        </w:rPr>
      </w:pPr>
      <w:r>
        <w:rPr>
          <w:rFonts w:hint="eastAsia" w:ascii="宋体" w:hAnsi="宋体" w:cs="宋体"/>
          <w:kern w:val="0"/>
          <w:sz w:val="24"/>
          <w:lang w:val="zh-CN"/>
        </w:rPr>
        <w:t>□采用一次性支付方式，付款条件为：</w:t>
      </w:r>
      <w:r>
        <w:rPr>
          <w:rFonts w:hint="eastAsia" w:ascii="宋体" w:hAnsi="宋体" w:cs="宋体"/>
          <w:kern w:val="0"/>
          <w:sz w:val="24"/>
          <w:u w:val="single"/>
        </w:rPr>
        <w:t>本项目无预付款。中标供应商交货安装完毕后，经采购人书面验收合格，并按采购人要求提交项目请款有关资料，在财政部门审批同意用款计划后30日内，支付合同款。如因客观原因造成设备无法正常安装，乙方可在已部分供货的前提下向甲方申请支付项目进度款，甲方根据乙方供货进度并结合当时审批部门有关要求酌情办理进度款支付。</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□采用分期付款方式，付款条件为</w:t>
      </w:r>
      <w:r>
        <w:rPr>
          <w:rFonts w:hint="eastAsia" w:ascii="宋体" w:hAnsi="宋体" w:cs="宋体"/>
          <w:kern w:val="0"/>
          <w:sz w:val="24"/>
        </w:rPr>
        <w:t>：</w:t>
      </w:r>
    </w:p>
    <w:p>
      <w:pPr>
        <w:spacing w:line="360" w:lineRule="auto"/>
        <w:ind w:firstLine="480" w:firstLineChars="200"/>
        <w:rPr>
          <w:rFonts w:ascii="宋体" w:hAnsi="宋体" w:cs="宋体"/>
          <w:kern w:val="0"/>
          <w:sz w:val="24"/>
        </w:rPr>
      </w:pPr>
      <w:r>
        <w:rPr>
          <w:rFonts w:hint="eastAsia" w:ascii="宋体" w:hAnsi="宋体" w:cs="宋体"/>
          <w:kern w:val="0"/>
          <w:sz w:val="24"/>
          <w:lang w:val="zh-CN"/>
        </w:rPr>
        <w:t>第一期付款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u w:val="single"/>
        </w:rPr>
      </w:pPr>
      <w:r>
        <w:rPr>
          <w:rFonts w:hint="eastAsia" w:ascii="宋体" w:hAnsi="宋体" w:cs="宋体"/>
          <w:kern w:val="0"/>
          <w:sz w:val="24"/>
          <w:lang w:val="zh-CN"/>
        </w:rPr>
        <w:t>第</w:t>
      </w:r>
      <w:r>
        <w:rPr>
          <w:rFonts w:hint="eastAsia" w:ascii="宋体" w:hAnsi="宋体" w:cs="宋体"/>
          <w:kern w:val="0"/>
          <w:sz w:val="24"/>
        </w:rPr>
        <w:t>二</w:t>
      </w:r>
      <w:r>
        <w:rPr>
          <w:rFonts w:hint="eastAsia" w:ascii="宋体" w:hAnsi="宋体" w:cs="宋体"/>
          <w:kern w:val="0"/>
          <w:sz w:val="24"/>
          <w:lang w:val="zh-CN"/>
        </w:rPr>
        <w:t>期付款</w:t>
      </w:r>
      <w:r>
        <w:rPr>
          <w:rFonts w:hint="eastAsia" w:ascii="宋体" w:hAnsi="宋体" w:cs="宋体"/>
          <w:kern w:val="0"/>
          <w:sz w:val="24"/>
        </w:rPr>
        <w:t>：</w:t>
      </w:r>
      <w:r>
        <w:rPr>
          <w:rFonts w:hint="eastAsia" w:ascii="宋体" w:hAnsi="宋体" w:cs="宋体"/>
          <w:kern w:val="0"/>
          <w:sz w:val="24"/>
          <w:u w:val="single"/>
        </w:rPr>
        <w:t xml:space="preserve">                                        </w:t>
      </w:r>
    </w:p>
    <w:p>
      <w:pPr>
        <w:spacing w:line="360" w:lineRule="auto"/>
        <w:ind w:firstLine="480" w:firstLineChars="200"/>
        <w:rPr>
          <w:rFonts w:ascii="宋体" w:hAnsi="宋体" w:cs="宋体"/>
          <w:kern w:val="0"/>
          <w:sz w:val="24"/>
        </w:rPr>
      </w:pPr>
      <w:r>
        <w:rPr>
          <w:rFonts w:hint="eastAsia" w:ascii="宋体" w:hAnsi="宋体" w:cs="宋体"/>
          <w:kern w:val="0"/>
          <w:sz w:val="24"/>
        </w:rPr>
        <w:t>……</w:t>
      </w:r>
    </w:p>
    <w:p>
      <w:pPr>
        <w:spacing w:line="360" w:lineRule="auto"/>
        <w:ind w:firstLine="480" w:firstLineChars="200"/>
        <w:rPr>
          <w:rFonts w:ascii="宋体" w:hAnsi="宋体" w:cs="宋体"/>
          <w:kern w:val="0"/>
          <w:sz w:val="24"/>
          <w:lang w:val="zh-CN"/>
        </w:rPr>
      </w:pPr>
      <w:r>
        <w:rPr>
          <w:rFonts w:hint="eastAsia" w:ascii="宋体" w:hAnsi="宋体" w:cs="宋体"/>
          <w:sz w:val="24"/>
        </w:rPr>
        <w:t>甲方无故逾期支付货款的，按照每逾期一日支付欠付货款额度的（根据项目实际填写，一般为万分之五）</w:t>
      </w:r>
      <w:r>
        <w:rPr>
          <w:rFonts w:hint="eastAsia" w:ascii="仿宋_GB2312" w:hAnsi="仿宋" w:eastAsia="仿宋_GB2312"/>
          <w:sz w:val="24"/>
          <w:u w:val="single"/>
        </w:rPr>
        <w:t>万分之五</w:t>
      </w:r>
      <w:r>
        <w:rPr>
          <w:rFonts w:hint="eastAsia" w:ascii="宋体" w:hAnsi="宋体" w:cs="宋体"/>
          <w:sz w:val="24"/>
        </w:rPr>
        <w:t>承担违约责任，违约金上限按照《合同书》约定执行。</w:t>
      </w:r>
    </w:p>
    <w:p>
      <w:pPr>
        <w:spacing w:line="360" w:lineRule="auto"/>
        <w:ind w:firstLine="480" w:firstLineChars="200"/>
        <w:rPr>
          <w:rFonts w:ascii="宋体" w:hAnsi="宋体" w:cs="宋体"/>
          <w:b/>
          <w:sz w:val="24"/>
        </w:rPr>
      </w:pPr>
      <w:r>
        <w:rPr>
          <w:rFonts w:hint="eastAsia" w:ascii="宋体" w:hAnsi="宋体" w:cs="宋体"/>
          <w:sz w:val="24"/>
        </w:rPr>
        <w:t>2.9</w:t>
      </w:r>
      <w:r>
        <w:rPr>
          <w:rFonts w:hint="eastAsia" w:ascii="宋体" w:hAnsi="宋体" w:cs="宋体"/>
          <w:b/>
          <w:sz w:val="24"/>
        </w:rPr>
        <w:t>标的物的风险负担</w:t>
      </w:r>
    </w:p>
    <w:p>
      <w:pPr>
        <w:spacing w:line="360" w:lineRule="auto"/>
        <w:ind w:firstLine="480" w:firstLineChars="200"/>
        <w:rPr>
          <w:rFonts w:ascii="宋体" w:hAnsi="宋体" w:cs="宋体"/>
          <w:sz w:val="24"/>
        </w:rPr>
      </w:pPr>
      <w:r>
        <w:rPr>
          <w:rFonts w:hint="eastAsia" w:ascii="宋体" w:hAnsi="宋体" w:cs="宋体"/>
          <w:sz w:val="24"/>
        </w:rPr>
        <w:t>标的物或者在途标的物或者交付给第一承运人后的标的物毁损、灭失的风险负担：</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乙方                                                                       </w:t>
      </w:r>
    </w:p>
    <w:p>
      <w:pPr>
        <w:spacing w:line="360" w:lineRule="auto"/>
        <w:ind w:firstLine="480" w:firstLineChars="200"/>
        <w:rPr>
          <w:rFonts w:ascii="宋体" w:hAnsi="宋体" w:cs="宋体"/>
          <w:sz w:val="24"/>
        </w:rPr>
      </w:pPr>
      <w:r>
        <w:rPr>
          <w:rFonts w:hint="eastAsia" w:ascii="宋体" w:hAnsi="宋体" w:cs="宋体"/>
          <w:sz w:val="24"/>
        </w:rPr>
        <w:t>2.13.2受不可抗力影响的一方在不可抗力发生后，应在</w:t>
      </w:r>
      <w:r>
        <w:rPr>
          <w:rFonts w:hint="eastAsia" w:ascii="仿宋_GB2312" w:hAnsi="楷体" w:eastAsia="仿宋_GB2312"/>
          <w:sz w:val="24"/>
          <w:u w:val="single"/>
        </w:rPr>
        <w:t>3日</w:t>
      </w:r>
      <w:r>
        <w:rPr>
          <w:rFonts w:hint="eastAsia" w:ascii="宋体" w:hAnsi="宋体" w:cs="宋体"/>
          <w:sz w:val="24"/>
        </w:rPr>
        <w:t>日内（根据项目实际填写）以书面形式通知对方当事人，并</w:t>
      </w:r>
      <w:r>
        <w:rPr>
          <w:rFonts w:hint="eastAsia" w:ascii="仿宋_GB2312" w:hAnsi="楷体" w:eastAsia="仿宋_GB2312"/>
          <w:sz w:val="24"/>
          <w:u w:val="single"/>
        </w:rPr>
        <w:t>在7日内</w:t>
      </w:r>
      <w:r>
        <w:rPr>
          <w:rFonts w:hint="eastAsia" w:ascii="宋体" w:hAnsi="宋体" w:cs="宋体"/>
          <w:sz w:val="24"/>
        </w:rPr>
        <w:t>（根据项目实际填写），将有关部门出具的证明文件送达对方当事人。</w:t>
      </w:r>
    </w:p>
    <w:p>
      <w:pPr>
        <w:spacing w:line="360" w:lineRule="auto"/>
        <w:ind w:firstLine="480" w:firstLineChars="200"/>
        <w:rPr>
          <w:rFonts w:ascii="宋体" w:hAnsi="宋体" w:cs="宋体"/>
          <w:sz w:val="24"/>
        </w:rPr>
      </w:pPr>
      <w:r>
        <w:rPr>
          <w:rFonts w:hint="eastAsia" w:ascii="宋体" w:hAnsi="宋体" w:cs="宋体"/>
          <w:sz w:val="24"/>
        </w:rPr>
        <w:t>2.13.4因不可抗力致使合同有变更必要的，双方当事人应在</w:t>
      </w:r>
      <w:r>
        <w:rPr>
          <w:rFonts w:hint="eastAsia" w:ascii="仿宋_GB2312" w:hAnsi="楷体" w:eastAsia="仿宋_GB2312"/>
          <w:sz w:val="24"/>
          <w:u w:val="single"/>
        </w:rPr>
        <w:t>5日内</w:t>
      </w:r>
      <w:r>
        <w:rPr>
          <w:rFonts w:hint="eastAsia" w:ascii="宋体" w:hAnsi="宋体" w:cs="宋体"/>
          <w:sz w:val="24"/>
        </w:rPr>
        <w:t>（根据项目实际填写）以书面形式变更合同；</w:t>
      </w:r>
    </w:p>
    <w:p>
      <w:pPr>
        <w:spacing w:line="360" w:lineRule="auto"/>
        <w:ind w:firstLine="480" w:firstLineChars="200"/>
        <w:rPr>
          <w:rFonts w:ascii="宋体" w:hAnsi="宋体" w:cs="宋体"/>
          <w:sz w:val="24"/>
        </w:rPr>
      </w:pPr>
      <w:r>
        <w:rPr>
          <w:rFonts w:hint="eastAsia" w:ascii="宋体" w:hAnsi="宋体" w:cs="宋体"/>
          <w:sz w:val="24"/>
        </w:rPr>
        <w:t>2.17.1标的物交付前，乙方应对标的物的质量、数量等方面进行详细、全面的检验，并向甲方出具证明标的物符合合同约定的文件；标的物交付时，乙方在</w:t>
      </w:r>
      <w:r>
        <w:rPr>
          <w:rFonts w:hint="eastAsia" w:ascii="宋体" w:hAnsi="宋体" w:cs="宋体"/>
          <w:sz w:val="24"/>
          <w:u w:val="single"/>
        </w:rPr>
        <w:t xml:space="preserve"> </w:t>
      </w:r>
      <w:r>
        <w:rPr>
          <w:rFonts w:hint="eastAsia" w:ascii="仿宋_GB2312" w:hAnsi="楷体" w:eastAsia="仿宋_GB2312"/>
          <w:sz w:val="24"/>
          <w:u w:val="single"/>
        </w:rPr>
        <w:t>5日内</w:t>
      </w:r>
      <w:r>
        <w:rPr>
          <w:rFonts w:hint="eastAsia" w:ascii="宋体" w:hAnsi="宋体" w:cs="宋体"/>
          <w:sz w:val="24"/>
        </w:rPr>
        <w:t>日内（根据项目实际填写）发起验收，并可依法邀请相关方参加，验收应出具验收书。</w:t>
      </w:r>
    </w:p>
    <w:p>
      <w:pPr>
        <w:spacing w:line="360" w:lineRule="auto"/>
        <w:ind w:firstLine="480" w:firstLineChars="200"/>
        <w:rPr>
          <w:rFonts w:ascii="宋体" w:hAnsi="宋体" w:cs="宋体"/>
          <w:sz w:val="24"/>
        </w:rPr>
      </w:pPr>
      <w:r>
        <w:rPr>
          <w:rFonts w:hint="eastAsia" w:ascii="宋体" w:hAnsi="宋体" w:cs="宋体"/>
          <w:sz w:val="24"/>
        </w:rPr>
        <w:t>2.17.3 检验和验收标准、程序等具体内容以及前述验收书的效力：</w:t>
      </w:r>
    </w:p>
    <w:p>
      <w:pPr>
        <w:spacing w:line="360" w:lineRule="auto"/>
        <w:rPr>
          <w:rFonts w:ascii="宋体" w:hAnsi="宋体" w:cs="宋体"/>
          <w:sz w:val="24"/>
          <w:u w:val="single"/>
        </w:rPr>
      </w:pPr>
      <w:r>
        <w:rPr>
          <w:rFonts w:hint="eastAsia" w:ascii="宋体" w:hAnsi="宋体" w:cs="宋体"/>
          <w:sz w:val="24"/>
          <w:u w:val="single"/>
        </w:rPr>
        <w:t xml:space="preserve">  </w:t>
      </w:r>
      <w:r>
        <w:rPr>
          <w:rFonts w:hint="eastAsia" w:ascii="宋体" w:hAnsi="宋体" w:cs="宋体"/>
          <w:szCs w:val="21"/>
        </w:rPr>
        <w:t>本项目由采购人自行验收，分两个阶段进行：第一阶段由使用单位组织初步验收，初步检验结果不代表项目最终验收结果；第二阶段由采购人成立验收组进行最终验收。初步验收和最终验收均按照采购需求、招标文件、采购项目合同及国家、行业规定的技术标准及规范开展，项目验收结果以最终验收时验收小组出具的《广西壮族自治区政府采购项目合同验收书》验收小组意见为准。</w:t>
      </w:r>
      <w:r>
        <w:rPr>
          <w:rFonts w:hint="eastAsia" w:ascii="宋体" w:hAnsi="宋体" w:cs="宋体"/>
          <w:sz w:val="24"/>
          <w:u w:val="single"/>
        </w:rPr>
        <w:t xml:space="preserve">  </w:t>
      </w:r>
    </w:p>
    <w:p>
      <w:pPr>
        <w:spacing w:line="360" w:lineRule="auto"/>
        <w:ind w:firstLine="480" w:firstLineChars="200"/>
        <w:rPr>
          <w:rFonts w:ascii="宋体" w:hAnsi="宋体" w:cs="宋体"/>
          <w:sz w:val="24"/>
        </w:rPr>
      </w:pPr>
      <w:r>
        <w:rPr>
          <w:rFonts w:hint="eastAsia" w:ascii="宋体" w:hAnsi="宋体" w:cs="宋体"/>
          <w:sz w:val="24"/>
        </w:rPr>
        <w:t>3.1 其他：</w:t>
      </w:r>
      <w:r>
        <w:rPr>
          <w:rFonts w:hint="eastAsia" w:ascii="仿宋_GB2312" w:hAnsi="楷体" w:eastAsia="仿宋_GB2312"/>
          <w:sz w:val="24"/>
        </w:rPr>
        <w:t>无。</w:t>
      </w:r>
    </w:p>
    <w:p>
      <w:pPr>
        <w:spacing w:line="360" w:lineRule="auto"/>
        <w:ind w:firstLine="482" w:firstLineChars="200"/>
        <w:rPr>
          <w:rFonts w:ascii="宋体" w:hAnsi="宋体" w:cs="宋体"/>
          <w:b/>
          <w:sz w:val="24"/>
        </w:rPr>
      </w:pPr>
      <w:r>
        <w:rPr>
          <w:rFonts w:hint="eastAsia" w:ascii="宋体" w:hAnsi="宋体" w:cs="宋体"/>
          <w:b/>
          <w:sz w:val="24"/>
        </w:rPr>
        <w:t>项目验收：</w:t>
      </w:r>
    </w:p>
    <w:p>
      <w:pPr>
        <w:spacing w:line="360" w:lineRule="auto"/>
        <w:ind w:firstLine="480" w:firstLineChars="200"/>
        <w:rPr>
          <w:rFonts w:ascii="宋体" w:hAnsi="宋体" w:cs="宋体"/>
          <w:kern w:val="0"/>
          <w:sz w:val="24"/>
        </w:rPr>
      </w:pPr>
      <w:r>
        <w:rPr>
          <w:rFonts w:hint="eastAsia" w:ascii="宋体" w:hAnsi="宋体" w:cs="宋体"/>
          <w:kern w:val="0"/>
          <w:sz w:val="24"/>
        </w:rPr>
        <w:t>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pPr>
        <w:spacing w:line="360" w:lineRule="auto"/>
        <w:ind w:firstLine="480" w:firstLineChars="200"/>
        <w:rPr>
          <w:rFonts w:ascii="宋体" w:hAnsi="宋体" w:cs="宋体"/>
          <w:kern w:val="0"/>
          <w:sz w:val="24"/>
        </w:rPr>
      </w:pPr>
      <w:r>
        <w:rPr>
          <w:rFonts w:hint="eastAsia" w:ascii="宋体" w:hAnsi="宋体" w:cs="宋体"/>
          <w:kern w:val="0"/>
          <w:sz w:val="24"/>
        </w:rPr>
        <w:t>2、严格按照采购合同开展履约验收。甲方成立验收小组，按照采购合同的约定对供应商履约情况进行验收，验收时，按照采购合同的约定对每一项技术、货物、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pPr>
        <w:spacing w:line="360" w:lineRule="auto"/>
        <w:ind w:firstLine="480" w:firstLineChars="200"/>
        <w:rPr>
          <w:rFonts w:ascii="宋体" w:hAnsi="宋体" w:cs="宋体"/>
          <w:kern w:val="0"/>
          <w:sz w:val="24"/>
        </w:rPr>
      </w:pPr>
      <w:r>
        <w:rPr>
          <w:rFonts w:hint="eastAsia" w:ascii="宋体" w:hAnsi="宋体" w:cs="宋体"/>
          <w:kern w:val="0"/>
          <w:sz w:val="24"/>
        </w:rPr>
        <w:t>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pPr>
        <w:spacing w:line="360" w:lineRule="auto"/>
        <w:ind w:firstLine="480" w:firstLineChars="200"/>
        <w:rPr>
          <w:rFonts w:ascii="宋体" w:hAnsi="宋体" w:cs="宋体"/>
          <w:kern w:val="0"/>
          <w:sz w:val="24"/>
        </w:rPr>
      </w:pPr>
      <w:r>
        <w:rPr>
          <w:rFonts w:hint="eastAsia" w:ascii="宋体" w:hAnsi="宋体" w:cs="宋体"/>
          <w:kern w:val="0"/>
          <w:sz w:val="24"/>
        </w:rPr>
        <w:t>4、验收产生的费用首次验收费用由甲方承担，如首次验收不合格，后续验收费用由乙方支付。</w:t>
      </w:r>
    </w:p>
    <w:p>
      <w:pPr>
        <w:spacing w:line="360" w:lineRule="auto"/>
        <w:ind w:firstLine="480" w:firstLineChars="200"/>
        <w:rPr>
          <w:rFonts w:ascii="宋体" w:hAnsi="宋体" w:cs="宋体"/>
          <w:sz w:val="24"/>
        </w:rPr>
      </w:pPr>
      <w:r>
        <w:rPr>
          <w:rFonts w:hint="eastAsia" w:ascii="宋体" w:hAnsi="宋体" w:cs="宋体"/>
          <w:sz w:val="24"/>
        </w:rPr>
        <w:t>5、验收内容及资料要求：</w:t>
      </w:r>
    </w:p>
    <w:p>
      <w:pPr>
        <w:spacing w:line="360" w:lineRule="auto"/>
        <w:ind w:firstLine="480" w:firstLineChars="200"/>
        <w:rPr>
          <w:rFonts w:ascii="宋体" w:hAnsi="宋体" w:cs="宋体"/>
          <w:sz w:val="24"/>
        </w:rPr>
      </w:pPr>
      <w:r>
        <w:rPr>
          <w:rFonts w:hint="eastAsia" w:ascii="宋体" w:hAnsi="宋体" w:cs="宋体"/>
          <w:sz w:val="24"/>
        </w:rPr>
        <w:t>根据采购文件确定的技术指标或者货物要求确定验收指标和标准。未进行相应约定的，应当符合国家强制性规定、政策要求、安全标准、行业或企业有关标准等。</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5.1验收内容</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914"/>
        <w:gridCol w:w="59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序号</w:t>
            </w:r>
          </w:p>
        </w:tc>
        <w:tc>
          <w:tcPr>
            <w:tcW w:w="1914"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验收内容</w:t>
            </w:r>
          </w:p>
        </w:tc>
        <w:tc>
          <w:tcPr>
            <w:tcW w:w="5930"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 xml:space="preserve"> 验收标准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1</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交付标的物数量</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2</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交付标的物质量文件</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4</w:t>
            </w:r>
          </w:p>
        </w:tc>
        <w:tc>
          <w:tcPr>
            <w:tcW w:w="1914" w:type="dxa"/>
            <w:vAlign w:val="center"/>
          </w:tcPr>
          <w:p>
            <w:pPr>
              <w:spacing w:line="360" w:lineRule="auto"/>
              <w:rPr>
                <w:rFonts w:ascii="宋体" w:hAnsi="宋体" w:cs="宋体"/>
                <w:bCs/>
                <w:kern w:val="0"/>
                <w:sz w:val="24"/>
              </w:rPr>
            </w:pPr>
            <w:r>
              <w:rPr>
                <w:rFonts w:hint="eastAsia" w:ascii="宋体" w:hAnsi="宋体" w:cs="宋体"/>
                <w:bCs/>
                <w:kern w:val="0"/>
                <w:sz w:val="24"/>
              </w:rPr>
              <w:t xml:space="preserve">交付标的物技术、性能指标 </w:t>
            </w:r>
          </w:p>
        </w:tc>
        <w:tc>
          <w:tcPr>
            <w:tcW w:w="5930" w:type="dxa"/>
            <w:vAlign w:val="center"/>
          </w:tcPr>
          <w:p>
            <w:pPr>
              <w:pStyle w:val="9"/>
              <w:spacing w:after="0" w:line="360" w:lineRule="auto"/>
              <w:ind w:firstLine="480"/>
              <w:jc w:val="left"/>
              <w:rPr>
                <w:rFonts w:ascii="宋体" w:hAnsi="宋体" w:cs="宋体"/>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73" w:type="dxa"/>
            <w:vAlign w:val="center"/>
          </w:tcPr>
          <w:p>
            <w:pPr>
              <w:widowControl/>
              <w:spacing w:line="360" w:lineRule="auto"/>
              <w:ind w:firstLine="200"/>
              <w:jc w:val="center"/>
              <w:rPr>
                <w:rFonts w:ascii="宋体" w:hAnsi="宋体" w:cs="宋体"/>
                <w:kern w:val="0"/>
                <w:sz w:val="24"/>
              </w:rPr>
            </w:pPr>
            <w:r>
              <w:rPr>
                <w:rFonts w:hint="eastAsia" w:ascii="宋体" w:hAnsi="宋体" w:cs="宋体"/>
                <w:kern w:val="0"/>
                <w:sz w:val="24"/>
              </w:rPr>
              <w:t>5</w:t>
            </w:r>
          </w:p>
        </w:tc>
        <w:tc>
          <w:tcPr>
            <w:tcW w:w="1914" w:type="dxa"/>
            <w:vAlign w:val="center"/>
          </w:tcPr>
          <w:p>
            <w:pPr>
              <w:spacing w:line="360" w:lineRule="auto"/>
              <w:rPr>
                <w:rFonts w:ascii="宋体" w:hAnsi="宋体" w:cs="宋体"/>
                <w:sz w:val="24"/>
              </w:rPr>
            </w:pPr>
            <w:r>
              <w:rPr>
                <w:rFonts w:hint="eastAsia" w:ascii="宋体" w:hAnsi="宋体" w:cs="宋体"/>
                <w:sz w:val="24"/>
              </w:rPr>
              <w:t>售后服务承诺</w:t>
            </w:r>
          </w:p>
        </w:tc>
        <w:tc>
          <w:tcPr>
            <w:tcW w:w="5930" w:type="dxa"/>
            <w:vAlign w:val="center"/>
          </w:tcPr>
          <w:p>
            <w:pPr>
              <w:widowControl/>
              <w:spacing w:line="360" w:lineRule="auto"/>
              <w:ind w:firstLine="200"/>
              <w:jc w:val="center"/>
              <w:rPr>
                <w:rFonts w:ascii="宋体" w:hAnsi="宋体" w:cs="宋体"/>
                <w:kern w:val="0"/>
                <w:sz w:val="24"/>
              </w:rPr>
            </w:pPr>
            <w:r>
              <w:rPr>
                <w:rFonts w:hint="eastAsia" w:ascii="仿宋" w:hAnsi="仿宋" w:eastAsia="仿宋" w:cs="仿宋"/>
                <w:kern w:val="0"/>
                <w:sz w:val="24"/>
              </w:rPr>
              <w:t>按招标文件要求和投标文件承诺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9" w:hRule="atLeast"/>
          <w:jc w:val="center"/>
        </w:trPr>
        <w:tc>
          <w:tcPr>
            <w:tcW w:w="673" w:type="dxa"/>
            <w:vAlign w:val="center"/>
          </w:tcPr>
          <w:p>
            <w:pPr>
              <w:widowControl/>
              <w:spacing w:line="360" w:lineRule="auto"/>
              <w:ind w:firstLine="200"/>
              <w:jc w:val="center"/>
              <w:rPr>
                <w:rFonts w:ascii="宋体" w:hAnsi="宋体" w:cs="宋体"/>
                <w:bCs/>
                <w:kern w:val="0"/>
                <w:sz w:val="24"/>
              </w:rPr>
            </w:pPr>
            <w:r>
              <w:rPr>
                <w:rFonts w:hint="eastAsia" w:ascii="宋体" w:hAnsi="宋体" w:cs="宋体"/>
                <w:bCs/>
                <w:kern w:val="0"/>
                <w:sz w:val="24"/>
              </w:rPr>
              <w:t>6</w:t>
            </w:r>
          </w:p>
        </w:tc>
        <w:tc>
          <w:tcPr>
            <w:tcW w:w="1914" w:type="dxa"/>
            <w:vAlign w:val="center"/>
          </w:tcPr>
          <w:p>
            <w:pPr>
              <w:widowControl/>
              <w:spacing w:line="360" w:lineRule="auto"/>
              <w:rPr>
                <w:rFonts w:ascii="宋体" w:hAnsi="宋体" w:cs="宋体"/>
                <w:bCs/>
                <w:kern w:val="0"/>
                <w:sz w:val="24"/>
              </w:rPr>
            </w:pPr>
            <w:r>
              <w:rPr>
                <w:rFonts w:hint="eastAsia" w:ascii="宋体" w:hAnsi="宋体" w:cs="宋体"/>
                <w:bCs/>
                <w:kern w:val="0"/>
                <w:sz w:val="24"/>
              </w:rPr>
              <w:t>其他工作</w:t>
            </w:r>
          </w:p>
        </w:tc>
        <w:tc>
          <w:tcPr>
            <w:tcW w:w="5930" w:type="dxa"/>
            <w:vAlign w:val="center"/>
          </w:tcPr>
          <w:p>
            <w:pPr>
              <w:widowControl/>
              <w:spacing w:line="360" w:lineRule="auto"/>
              <w:ind w:firstLine="200"/>
              <w:jc w:val="left"/>
              <w:rPr>
                <w:rFonts w:ascii="宋体" w:hAnsi="宋体" w:cs="宋体"/>
                <w:kern w:val="0"/>
                <w:sz w:val="24"/>
              </w:rPr>
            </w:pPr>
            <w:r>
              <w:rPr>
                <w:rFonts w:hint="eastAsia" w:ascii="仿宋" w:hAnsi="仿宋" w:eastAsia="仿宋" w:cs="仿宋"/>
                <w:kern w:val="0"/>
                <w:sz w:val="24"/>
              </w:rPr>
              <w:t>按招标文件要求和投标文件承诺</w:t>
            </w:r>
          </w:p>
        </w:tc>
      </w:tr>
    </w:tbl>
    <w:p>
      <w:pPr>
        <w:tabs>
          <w:tab w:val="left" w:pos="904"/>
        </w:tabs>
        <w:snapToGrid w:val="0"/>
        <w:spacing w:line="360" w:lineRule="auto"/>
        <w:ind w:firstLine="480" w:firstLineChars="200"/>
        <w:jc w:val="left"/>
        <w:rPr>
          <w:rFonts w:ascii="宋体" w:hAnsi="宋体" w:cs="宋体"/>
          <w:sz w:val="24"/>
        </w:rPr>
      </w:pP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5.2验收资料要求</w:t>
      </w:r>
    </w:p>
    <w:p>
      <w:pPr>
        <w:tabs>
          <w:tab w:val="left" w:pos="904"/>
        </w:tabs>
        <w:snapToGrid w:val="0"/>
        <w:spacing w:line="360" w:lineRule="auto"/>
        <w:ind w:firstLine="480" w:firstLineChars="200"/>
        <w:jc w:val="left"/>
        <w:rPr>
          <w:rFonts w:ascii="宋体" w:hAnsi="宋体" w:cs="宋体"/>
          <w:sz w:val="24"/>
        </w:rPr>
      </w:pPr>
      <w:r>
        <w:rPr>
          <w:rFonts w:hint="eastAsia" w:ascii="宋体" w:hAnsi="宋体" w:cs="宋体"/>
          <w:sz w:val="24"/>
        </w:rPr>
        <w:t>验收资料要求包括（不限于）以下内容：</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（1）采购文件；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（2）投标文件；</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（3）采购合同；</w:t>
      </w:r>
    </w:p>
    <w:p>
      <w:pPr>
        <w:tabs>
          <w:tab w:val="left" w:pos="904"/>
        </w:tabs>
        <w:adjustRightInd w:val="0"/>
        <w:snapToGrid w:val="0"/>
        <w:spacing w:line="360" w:lineRule="auto"/>
        <w:ind w:firstLine="240" w:firstLineChars="100"/>
        <w:jc w:val="left"/>
        <w:rPr>
          <w:rFonts w:ascii="宋体" w:hAnsi="宋体" w:cs="宋体"/>
          <w:sz w:val="24"/>
        </w:rPr>
      </w:pPr>
      <w:r>
        <w:rPr>
          <w:rFonts w:hint="eastAsia" w:ascii="宋体" w:hAnsi="宋体" w:cs="宋体"/>
          <w:sz w:val="24"/>
        </w:rPr>
        <w:t>（4）其他需提供的相关材料：</w:t>
      </w:r>
    </w:p>
    <w:p>
      <w:pPr>
        <w:widowControl/>
        <w:spacing w:line="360" w:lineRule="auto"/>
        <w:ind w:firstLine="630" w:firstLineChars="300"/>
        <w:jc w:val="left"/>
        <w:rPr>
          <w:rFonts w:ascii="宋体" w:hAnsi="宋体" w:cs="宋体"/>
          <w:bCs/>
          <w:sz w:val="24"/>
        </w:rPr>
      </w:pPr>
      <w:r>
        <w:rPr>
          <w:rFonts w:hint="eastAsia" w:ascii="宋体" w:hAnsi="宋体" w:cs="宋体"/>
          <w:szCs w:val="21"/>
        </w:rPr>
        <w:t>中标单位供货时提供材料清单、培训签到表等培训资料、使用单位验收单、交付使用清单、产品说明书、产品合格证、质量保证书原件、三包凭证等，其中中标单位供货时提供材料清单、培训签到表等培训资料、使用单位验收单、交付使用清单作为组织最终验收的前提条件，产品说明书、产品合格证、质量保证书原件、三包凭证由使用单位存档。</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rPr>
          <w:rFonts w:ascii="宋体" w:hAnsi="宋体" w:cs="宋体"/>
        </w:rPr>
      </w:pPr>
    </w:p>
    <w:p>
      <w:pPr>
        <w:spacing w:line="360" w:lineRule="auto"/>
        <w:rPr>
          <w:rFonts w:ascii="宋体" w:hAnsi="宋体" w:cs="宋体"/>
        </w:rPr>
      </w:pPr>
    </w:p>
    <w:p>
      <w:pPr>
        <w:spacing w:line="360" w:lineRule="auto"/>
        <w:rPr>
          <w:rFonts w:ascii="宋体" w:hAnsi="宋体" w:cs="宋体"/>
        </w:rPr>
      </w:pPr>
    </w:p>
    <w:p>
      <w:pPr>
        <w:pStyle w:val="12"/>
        <w:spacing w:line="360" w:lineRule="auto"/>
        <w:ind w:left="178" w:leftChars="85"/>
        <w:rPr>
          <w:rFonts w:hAnsi="宋体" w:cs="宋体"/>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00" w:name="_Toc15458"/>
      <w:r>
        <w:rPr>
          <w:rFonts w:hint="eastAsia" w:hAnsi="宋体" w:cs="宋体"/>
          <w:b/>
          <w:sz w:val="36"/>
        </w:rPr>
        <w:t>第六章 投标文件格式</w:t>
      </w:r>
      <w:bookmarkEnd w:id="300"/>
    </w:p>
    <w:p>
      <w:pPr>
        <w:pStyle w:val="12"/>
        <w:spacing w:line="360" w:lineRule="auto"/>
        <w:rPr>
          <w:rFonts w:hAnsi="宋体" w:cs="宋体"/>
        </w:rPr>
        <w:sectPr>
          <w:pgSz w:w="11906" w:h="16838"/>
          <w:pgMar w:top="1440" w:right="1080" w:bottom="1440" w:left="1080" w:header="720" w:footer="720" w:gutter="0"/>
          <w:cols w:space="720" w:num="1"/>
          <w:docGrid w:type="lines" w:linePitch="331" w:charSpace="0"/>
        </w:sectPr>
      </w:pPr>
    </w:p>
    <w:p>
      <w:pPr>
        <w:pStyle w:val="12"/>
        <w:spacing w:line="360" w:lineRule="auto"/>
        <w:ind w:firstLine="551" w:firstLineChars="196"/>
        <w:jc w:val="center"/>
        <w:outlineLvl w:val="1"/>
        <w:rPr>
          <w:rFonts w:hAnsi="宋体" w:cs="宋体"/>
          <w:b/>
          <w:bCs/>
          <w:sz w:val="28"/>
          <w:szCs w:val="28"/>
        </w:rPr>
      </w:pPr>
      <w:bookmarkStart w:id="301" w:name="_Toc9276"/>
      <w:r>
        <w:rPr>
          <w:rFonts w:hint="eastAsia" w:hAnsi="宋体" w:cs="宋体"/>
          <w:b/>
          <w:bCs/>
          <w:sz w:val="28"/>
          <w:szCs w:val="28"/>
        </w:rPr>
        <w:t>第一节 投标文件外层包装封面</w:t>
      </w:r>
      <w:bookmarkEnd w:id="301"/>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44"/>
          <w:szCs w:val="44"/>
        </w:rPr>
      </w:pPr>
    </w:p>
    <w:p>
      <w:pPr>
        <w:spacing w:before="120" w:beforeLines="50" w:after="120" w:afterLines="50" w:line="360" w:lineRule="auto"/>
        <w:jc w:val="center"/>
        <w:rPr>
          <w:rFonts w:ascii="宋体" w:hAnsi="宋体" w:cs="宋体"/>
          <w:spacing w:val="20"/>
          <w:sz w:val="32"/>
          <w:szCs w:val="32"/>
          <w:u w:val="single"/>
        </w:rPr>
      </w:pPr>
      <w:r>
        <w:rPr>
          <w:rFonts w:hint="eastAsia" w:ascii="宋体" w:hAnsi="宋体" w:cs="宋体"/>
          <w:spacing w:val="20"/>
          <w:sz w:val="32"/>
          <w:szCs w:val="32"/>
          <w:u w:val="single"/>
        </w:rPr>
        <w:t>（项目名称）</w:t>
      </w:r>
    </w:p>
    <w:p>
      <w:pPr>
        <w:spacing w:before="120" w:beforeLines="50" w:after="120" w:afterLines="50" w:line="360" w:lineRule="auto"/>
        <w:jc w:val="center"/>
        <w:rPr>
          <w:rFonts w:ascii="宋体" w:hAnsi="宋体" w:cs="宋体"/>
          <w:spacing w:val="40"/>
          <w:w w:val="110"/>
          <w:sz w:val="44"/>
          <w:szCs w:val="44"/>
        </w:rPr>
      </w:pPr>
    </w:p>
    <w:p>
      <w:pPr>
        <w:spacing w:before="120" w:beforeLines="50" w:after="120" w:afterLines="50" w:line="360" w:lineRule="auto"/>
        <w:jc w:val="center"/>
        <w:rPr>
          <w:rFonts w:ascii="宋体" w:hAnsi="宋体" w:cs="宋体"/>
          <w:spacing w:val="40"/>
          <w:w w:val="110"/>
          <w:sz w:val="44"/>
          <w:szCs w:val="44"/>
        </w:rPr>
      </w:pPr>
      <w:r>
        <w:rPr>
          <w:rFonts w:hint="eastAsia" w:ascii="宋体" w:hAnsi="宋体" w:cs="宋体"/>
          <w:spacing w:val="40"/>
          <w:w w:val="110"/>
          <w:sz w:val="44"/>
          <w:szCs w:val="44"/>
        </w:rPr>
        <w:t>投标文件</w:t>
      </w:r>
    </w:p>
    <w:p>
      <w:pPr>
        <w:spacing w:line="360" w:lineRule="auto"/>
        <w:jc w:val="center"/>
        <w:rPr>
          <w:rFonts w:ascii="宋体" w:hAnsi="宋体" w:cs="宋体"/>
          <w:sz w:val="24"/>
        </w:rPr>
      </w:pPr>
      <w:r>
        <w:rPr>
          <w:rFonts w:hint="eastAsia" w:ascii="宋体" w:hAnsi="宋体" w:cs="宋体"/>
          <w:sz w:val="24"/>
        </w:rPr>
        <w:t>（电子投标文件）</w:t>
      </w:r>
    </w:p>
    <w:p>
      <w:pPr>
        <w:pStyle w:val="19"/>
        <w:spacing w:line="360" w:lineRule="auto"/>
        <w:ind w:left="560" w:hanging="560"/>
        <w:rPr>
          <w:rFonts w:ascii="宋体" w:hAnsi="宋体" w:cs="宋体"/>
        </w:rPr>
      </w:pPr>
    </w:p>
    <w:tbl>
      <w:tblPr>
        <w:tblStyle w:val="25"/>
        <w:tblW w:w="0" w:type="auto"/>
        <w:jc w:val="center"/>
        <w:tblLayout w:type="fixed"/>
        <w:tblCellMar>
          <w:top w:w="0" w:type="dxa"/>
          <w:left w:w="108" w:type="dxa"/>
          <w:bottom w:w="0" w:type="dxa"/>
          <w:right w:w="108" w:type="dxa"/>
        </w:tblCellMar>
      </w:tblPr>
      <w:tblGrid>
        <w:gridCol w:w="1601"/>
        <w:gridCol w:w="6172"/>
      </w:tblGrid>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项目名称：</w:t>
            </w:r>
          </w:p>
        </w:tc>
        <w:tc>
          <w:tcPr>
            <w:tcW w:w="6172" w:type="dxa"/>
            <w:tcBorders>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采购方式：</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bookmarkStart w:id="302" w:name="PO_3000001866_PM003"/>
            <w:r>
              <w:rPr>
                <w:rFonts w:hint="eastAsia" w:ascii="宋体" w:hAnsi="宋体" w:cs="宋体"/>
                <w:sz w:val="24"/>
              </w:rPr>
              <w:t>在线投标响应</w:t>
            </w:r>
            <w:bookmarkEnd w:id="302"/>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项目编号：</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所投分标：</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r>
              <w:rPr>
                <w:rFonts w:hint="eastAsia" w:ascii="宋体" w:hAnsi="宋体" w:cs="宋体"/>
                <w:sz w:val="24"/>
              </w:rPr>
              <w:t>（此处有分标时填写具体分标号，无分标时填写“无”）</w:t>
            </w: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投标人名称：</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r>
        <w:tblPrEx>
          <w:tblCellMar>
            <w:top w:w="0" w:type="dxa"/>
            <w:left w:w="108" w:type="dxa"/>
            <w:bottom w:w="0" w:type="dxa"/>
            <w:right w:w="108" w:type="dxa"/>
          </w:tblCellMar>
        </w:tblPrEx>
        <w:trPr>
          <w:jc w:val="center"/>
        </w:trPr>
        <w:tc>
          <w:tcPr>
            <w:tcW w:w="1601" w:type="dxa"/>
            <w:vAlign w:val="bottom"/>
          </w:tcPr>
          <w:p>
            <w:pPr>
              <w:spacing w:line="360" w:lineRule="auto"/>
              <w:jc w:val="distribute"/>
              <w:rPr>
                <w:rFonts w:ascii="宋体" w:hAnsi="宋体" w:cs="宋体"/>
                <w:sz w:val="24"/>
              </w:rPr>
            </w:pPr>
            <w:r>
              <w:rPr>
                <w:rFonts w:hint="eastAsia" w:ascii="宋体" w:hAnsi="宋体" w:cs="宋体"/>
                <w:sz w:val="24"/>
              </w:rPr>
              <w:t>投标人地址：</w:t>
            </w:r>
          </w:p>
        </w:tc>
        <w:tc>
          <w:tcPr>
            <w:tcW w:w="6172" w:type="dxa"/>
            <w:tcBorders>
              <w:top w:val="single" w:color="000000" w:sz="4" w:space="0"/>
              <w:bottom w:val="single" w:color="000000" w:sz="4" w:space="0"/>
            </w:tcBorders>
            <w:vAlign w:val="bottom"/>
          </w:tcPr>
          <w:p>
            <w:pPr>
              <w:spacing w:line="360" w:lineRule="auto"/>
              <w:rPr>
                <w:rFonts w:ascii="宋体" w:hAnsi="宋体" w:cs="宋体"/>
                <w:sz w:val="24"/>
              </w:rPr>
            </w:pPr>
          </w:p>
        </w:tc>
      </w:tr>
    </w:tbl>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4200" w:firstLineChars="1750"/>
        <w:rPr>
          <w:rFonts w:ascii="宋体" w:hAnsi="宋体" w:cs="宋体"/>
          <w:sz w:val="24"/>
        </w:rPr>
      </w:pPr>
    </w:p>
    <w:p>
      <w:pPr>
        <w:spacing w:line="360" w:lineRule="auto"/>
        <w:ind w:firstLine="5880" w:firstLineChars="2450"/>
        <w:rPr>
          <w:rFonts w:ascii="宋体" w:hAnsi="宋体" w:cs="宋体"/>
          <w:sz w:val="24"/>
        </w:rPr>
      </w:pPr>
      <w:r>
        <w:rPr>
          <w:rFonts w:hint="eastAsia" w:ascii="宋体" w:hAnsi="宋体" w:cs="宋体"/>
          <w:sz w:val="24"/>
        </w:rPr>
        <w:t>投标截止时间前不得解密</w:t>
      </w:r>
    </w:p>
    <w:p>
      <w:pPr>
        <w:spacing w:line="360" w:lineRule="auto"/>
        <w:ind w:firstLine="6480" w:firstLineChars="2700"/>
        <w:rPr>
          <w:rFonts w:ascii="宋体" w:hAnsi="宋体" w:cs="宋体"/>
          <w:sz w:val="24"/>
        </w:rPr>
        <w:sectPr>
          <w:footerReference r:id="rId7" w:type="default"/>
          <w:pgSz w:w="11907" w:h="16840"/>
          <w:pgMar w:top="1440" w:right="1080" w:bottom="1440" w:left="1080" w:header="720" w:footer="720" w:gutter="0"/>
          <w:cols w:space="720" w:num="1"/>
          <w:docGrid w:linePitch="285" w:charSpace="0"/>
        </w:sectPr>
      </w:pPr>
      <w:r>
        <w:rPr>
          <w:rFonts w:hint="eastAsia" w:ascii="宋体" w:hAnsi="宋体" w:cs="宋体"/>
          <w:sz w:val="24"/>
        </w:rPr>
        <w:t>年   月   日</w:t>
      </w:r>
    </w:p>
    <w:p>
      <w:pPr>
        <w:pStyle w:val="12"/>
        <w:spacing w:line="360" w:lineRule="auto"/>
        <w:jc w:val="center"/>
        <w:outlineLvl w:val="1"/>
        <w:rPr>
          <w:rFonts w:hAnsi="宋体" w:cs="宋体"/>
          <w:b/>
          <w:bCs/>
          <w:sz w:val="28"/>
          <w:szCs w:val="28"/>
        </w:rPr>
      </w:pPr>
      <w:bookmarkStart w:id="303" w:name="_Toc27773"/>
      <w:r>
        <w:rPr>
          <w:rFonts w:hint="eastAsia" w:hAnsi="宋体" w:cs="宋体"/>
          <w:b/>
          <w:bCs/>
          <w:sz w:val="28"/>
          <w:szCs w:val="28"/>
        </w:rPr>
        <w:t>第二节 资格证明文件格式</w:t>
      </w:r>
      <w:bookmarkEnd w:id="303"/>
    </w:p>
    <w:p>
      <w:pPr>
        <w:pStyle w:val="12"/>
        <w:spacing w:line="360" w:lineRule="auto"/>
        <w:ind w:firstLine="420"/>
        <w:rPr>
          <w:rFonts w:hAnsi="宋体" w:cs="宋体"/>
          <w:sz w:val="3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资格证明文件（封面）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年  月  日</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36"/>
          <w:szCs w:val="36"/>
        </w:rPr>
      </w:pPr>
      <w:r>
        <w:rPr>
          <w:rFonts w:hint="eastAsia" w:ascii="宋体" w:hAnsi="宋体" w:cs="宋体"/>
          <w:b/>
          <w:kern w:val="0"/>
          <w:sz w:val="36"/>
          <w:szCs w:val="36"/>
        </w:rPr>
        <w:t>资格证明文件目录</w:t>
      </w:r>
    </w:p>
    <w:p>
      <w:pPr>
        <w:snapToGrid w:val="0"/>
        <w:spacing w:line="360" w:lineRule="auto"/>
        <w:rPr>
          <w:rFonts w:ascii="宋体" w:hAnsi="宋体" w:cs="宋体"/>
          <w:kern w:val="0"/>
          <w:sz w:val="24"/>
        </w:rPr>
      </w:pPr>
    </w:p>
    <w:p>
      <w:pPr>
        <w:snapToGrid w:val="0"/>
        <w:spacing w:line="360" w:lineRule="auto"/>
        <w:rPr>
          <w:rFonts w:ascii="宋体" w:hAnsi="宋体" w:cs="宋体"/>
          <w:kern w:val="0"/>
          <w:sz w:val="24"/>
        </w:rPr>
      </w:pPr>
      <w:r>
        <w:rPr>
          <w:rFonts w:hint="eastAsia" w:ascii="宋体" w:hAnsi="宋体" w:cs="宋体"/>
          <w:kern w:val="0"/>
          <w:sz w:val="24"/>
        </w:rPr>
        <w:t>一、</w:t>
      </w:r>
      <w:r>
        <w:rPr>
          <w:rFonts w:hint="eastAsia" w:ascii="宋体" w:hAnsi="宋体" w:cs="宋体"/>
          <w:sz w:val="24"/>
        </w:rPr>
        <w:t>营业执照（或事业法人登记证或其他工商等登记证明材料）复印件（投标人为自然人的，须提供</w:t>
      </w:r>
      <w:r>
        <w:rPr>
          <w:rFonts w:hint="eastAsia" w:ascii="宋体" w:hAnsi="宋体" w:cs="宋体"/>
          <w:kern w:val="0"/>
          <w:sz w:val="24"/>
        </w:rPr>
        <w:t>自然人的身份证明</w:t>
      </w:r>
      <w:r>
        <w:rPr>
          <w:rFonts w:hint="eastAsia" w:ascii="宋体" w:hAnsi="宋体" w:cs="宋体"/>
          <w:sz w:val="24"/>
        </w:rPr>
        <w:t>）</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二、符合参与政府采购活动的资格条件依法缴纳税收、社会保障资金等方面的材料…………………………………………………………………………………………（页码）</w:t>
      </w:r>
    </w:p>
    <w:p>
      <w:pPr>
        <w:snapToGrid w:val="0"/>
        <w:spacing w:line="360" w:lineRule="auto"/>
        <w:rPr>
          <w:rFonts w:ascii="宋体" w:hAnsi="宋体" w:cs="宋体"/>
          <w:kern w:val="0"/>
          <w:sz w:val="24"/>
        </w:rPr>
      </w:pPr>
      <w:r>
        <w:rPr>
          <w:rFonts w:hint="eastAsia" w:ascii="宋体" w:hAnsi="宋体" w:cs="宋体"/>
          <w:kern w:val="0"/>
          <w:sz w:val="24"/>
        </w:rPr>
        <w:t>三、财务状况报告方面的材料…………………………………………………………（页码）</w:t>
      </w:r>
    </w:p>
    <w:p>
      <w:pPr>
        <w:snapToGrid w:val="0"/>
        <w:spacing w:line="360" w:lineRule="auto"/>
        <w:rPr>
          <w:rFonts w:ascii="宋体" w:hAnsi="宋体" w:cs="宋体"/>
          <w:kern w:val="0"/>
          <w:sz w:val="24"/>
        </w:rPr>
      </w:pPr>
      <w:r>
        <w:rPr>
          <w:rFonts w:hint="eastAsia" w:ascii="宋体" w:hAnsi="宋体" w:cs="宋体"/>
          <w:sz w:val="24"/>
        </w:rPr>
        <w:t>四、投标人直接控股股东信息</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五、投标人直接关联关系信息表</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kern w:val="0"/>
          <w:sz w:val="24"/>
        </w:rPr>
        <w:t>六、投标资格声明………………………………………………………………………（页码）</w:t>
      </w:r>
    </w:p>
    <w:p>
      <w:pPr>
        <w:snapToGrid w:val="0"/>
        <w:spacing w:line="360" w:lineRule="auto"/>
        <w:rPr>
          <w:rFonts w:ascii="宋体" w:hAnsi="宋体" w:cs="宋体"/>
          <w:kern w:val="0"/>
          <w:sz w:val="24"/>
        </w:rPr>
      </w:pPr>
      <w:r>
        <w:rPr>
          <w:rFonts w:hint="eastAsia" w:ascii="宋体" w:hAnsi="宋体" w:cs="宋体"/>
          <w:kern w:val="0"/>
          <w:sz w:val="24"/>
        </w:rPr>
        <w:t>七、联合体协议书（</w:t>
      </w:r>
      <w:r>
        <w:rPr>
          <w:rFonts w:hint="eastAsia" w:ascii="宋体" w:hAnsi="宋体" w:cs="宋体"/>
          <w:sz w:val="24"/>
        </w:rPr>
        <w:t>以联合体形式投标的，提供联合体协议；本项目不接受联合体投标或者投标人不以联合体形式投标的，则不需要提供</w:t>
      </w:r>
      <w:r>
        <w:rPr>
          <w:rFonts w:hint="eastAsia" w:ascii="宋体" w:hAnsi="宋体" w:cs="宋体"/>
          <w:kern w:val="0"/>
          <w:sz w:val="24"/>
        </w:rPr>
        <w:t>）……………………………………（页码）</w:t>
      </w:r>
    </w:p>
    <w:p>
      <w:pPr>
        <w:snapToGrid w:val="0"/>
        <w:spacing w:line="360" w:lineRule="auto"/>
        <w:rPr>
          <w:rFonts w:ascii="宋体" w:hAnsi="宋体" w:cs="宋体"/>
          <w:kern w:val="0"/>
          <w:sz w:val="24"/>
        </w:rPr>
      </w:pPr>
      <w:r>
        <w:rPr>
          <w:rFonts w:hint="eastAsia" w:ascii="宋体" w:hAnsi="宋体" w:cs="宋体"/>
          <w:sz w:val="24"/>
        </w:rPr>
        <w:t>八、符合特定资格或条件（如有）的有关证明材料（复印件）</w:t>
      </w:r>
      <w:r>
        <w:rPr>
          <w:rFonts w:hint="eastAsia" w:ascii="宋体" w:hAnsi="宋体" w:cs="宋体"/>
          <w:kern w:val="0"/>
          <w:sz w:val="24"/>
        </w:rPr>
        <w:t>………………………（页码）</w:t>
      </w:r>
    </w:p>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pStyle w:val="12"/>
        <w:spacing w:line="360" w:lineRule="auto"/>
        <w:ind w:firstLine="420"/>
        <w:rPr>
          <w:rFonts w:hAnsi="宋体" w:cs="宋体"/>
          <w:sz w:val="30"/>
        </w:rPr>
        <w:sectPr>
          <w:pgSz w:w="11906" w:h="16838"/>
          <w:pgMar w:top="1440" w:right="1080" w:bottom="1440" w:left="1080" w:header="720" w:footer="720" w:gutter="0"/>
          <w:cols w:space="720" w:num="1"/>
          <w:docGrid w:type="lines" w:linePitch="331" w:charSpace="0"/>
        </w:sectPr>
      </w:pPr>
    </w:p>
    <w:p>
      <w:pPr>
        <w:snapToGrid w:val="0"/>
        <w:spacing w:line="360" w:lineRule="auto"/>
        <w:rPr>
          <w:rFonts w:ascii="宋体" w:hAnsi="宋体" w:cs="宋体"/>
          <w:b/>
          <w:kern w:val="0"/>
          <w:sz w:val="32"/>
          <w:szCs w:val="32"/>
          <w:lang w:val="zh-CN"/>
        </w:rPr>
      </w:pPr>
    </w:p>
    <w:p>
      <w:pPr>
        <w:spacing w:line="360" w:lineRule="auto"/>
        <w:jc w:val="center"/>
        <w:rPr>
          <w:rFonts w:ascii="宋体" w:hAnsi="宋体" w:cs="宋体"/>
          <w:b/>
          <w:sz w:val="30"/>
          <w:szCs w:val="30"/>
        </w:rPr>
      </w:pPr>
      <w:r>
        <w:rPr>
          <w:rFonts w:hint="eastAsia" w:ascii="宋体" w:hAnsi="宋体" w:cs="宋体"/>
          <w:b/>
          <w:kern w:val="0"/>
          <w:sz w:val="32"/>
          <w:szCs w:val="32"/>
          <w:lang w:val="zh-CN"/>
        </w:rPr>
        <w:t>一、</w:t>
      </w:r>
      <w:r>
        <w:rPr>
          <w:rFonts w:hint="eastAsia" w:ascii="宋体" w:hAnsi="宋体" w:cs="宋体"/>
          <w:b/>
          <w:sz w:val="30"/>
          <w:szCs w:val="30"/>
        </w:rPr>
        <w:t>营业执照（或事业法人登记证或其他工商等登记证明材料）复印件（投标人为自然人的，提供自然人的身份证明）</w:t>
      </w:r>
    </w:p>
    <w:p>
      <w:pPr>
        <w:spacing w:line="360" w:lineRule="auto"/>
        <w:rPr>
          <w:rFonts w:ascii="宋体" w:hAnsi="宋体" w:cs="宋体"/>
          <w:b/>
          <w:sz w:val="30"/>
          <w:szCs w:val="30"/>
        </w:rPr>
      </w:pPr>
    </w:p>
    <w:p>
      <w:pPr>
        <w:snapToGrid w:val="0"/>
        <w:spacing w:line="360" w:lineRule="auto"/>
        <w:ind w:firstLine="576"/>
        <w:jc w:val="center"/>
        <w:rPr>
          <w:rFonts w:ascii="宋体" w:hAnsi="宋体" w:cs="宋体"/>
          <w:kern w:val="0"/>
          <w:sz w:val="24"/>
          <w:lang w:val="zh-CN"/>
        </w:rPr>
      </w:pPr>
      <w:r>
        <w:rPr>
          <w:rFonts w:hint="eastAsia" w:ascii="宋体" w:hAnsi="宋体" w:cs="宋体"/>
          <w:kern w:val="0"/>
          <w:sz w:val="24"/>
          <w:lang w:val="zh-CN"/>
        </w:rPr>
        <w:t xml:space="preserve">               投标人名称（电子签章）：                              </w:t>
      </w:r>
    </w:p>
    <w:p>
      <w:pPr>
        <w:spacing w:line="360" w:lineRule="auto"/>
        <w:jc w:val="center"/>
        <w:rPr>
          <w:rFonts w:ascii="宋体" w:hAnsi="宋体" w:cs="宋体"/>
          <w:b/>
          <w:sz w:val="30"/>
          <w:szCs w:val="30"/>
        </w:rPr>
      </w:pPr>
      <w:r>
        <w:rPr>
          <w:rFonts w:hint="eastAsia" w:ascii="宋体" w:hAnsi="宋体" w:cs="宋体"/>
          <w:kern w:val="0"/>
          <w:sz w:val="24"/>
          <w:lang w:val="zh-CN"/>
        </w:rPr>
        <w:t xml:space="preserve">                   日期：  年  月</w:t>
      </w:r>
    </w:p>
    <w:p>
      <w:pPr>
        <w:spacing w:line="360" w:lineRule="auto"/>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二、</w:t>
      </w:r>
      <w:r>
        <w:rPr>
          <w:rFonts w:hint="eastAsia" w:ascii="宋体" w:hAnsi="宋体" w:cs="宋体"/>
          <w:b/>
          <w:kern w:val="0"/>
          <w:sz w:val="32"/>
          <w:szCs w:val="32"/>
        </w:rPr>
        <w:t>符合参与政府采购活动的资格条件依法缴纳税收、社会保障资金等方面的材料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sz w:val="30"/>
          <w:szCs w:val="30"/>
        </w:rPr>
      </w:pPr>
    </w:p>
    <w:p>
      <w:pPr>
        <w:snapToGrid w:val="0"/>
        <w:spacing w:line="360" w:lineRule="auto"/>
        <w:ind w:right="480"/>
        <w:jc w:val="center"/>
        <w:rPr>
          <w:rFonts w:ascii="宋体" w:hAnsi="宋体" w:cs="宋体"/>
          <w:b/>
          <w:kern w:val="0"/>
          <w:sz w:val="32"/>
          <w:szCs w:val="32"/>
        </w:rPr>
      </w:pPr>
      <w:r>
        <w:rPr>
          <w:rFonts w:hint="eastAsia" w:ascii="宋体" w:hAnsi="宋体" w:cs="宋体"/>
          <w:b/>
          <w:sz w:val="30"/>
          <w:szCs w:val="30"/>
        </w:rPr>
        <w:t>三、</w:t>
      </w:r>
      <w:r>
        <w:rPr>
          <w:rFonts w:hint="eastAsia" w:ascii="宋体" w:hAnsi="宋体" w:cs="宋体"/>
          <w:b/>
          <w:kern w:val="0"/>
          <w:sz w:val="32"/>
          <w:szCs w:val="32"/>
        </w:rPr>
        <w:t>财务状况报告方面的材料</w:t>
      </w:r>
    </w:p>
    <w:p>
      <w:pPr>
        <w:snapToGrid w:val="0"/>
        <w:spacing w:line="360" w:lineRule="auto"/>
        <w:ind w:firstLine="480" w:firstLineChars="200"/>
        <w:rPr>
          <w:rFonts w:ascii="宋体" w:hAnsi="宋体" w:cs="宋体"/>
          <w:sz w:val="24"/>
        </w:rPr>
      </w:pPr>
    </w:p>
    <w:p>
      <w:pPr>
        <w:snapToGrid w:val="0"/>
        <w:spacing w:line="360" w:lineRule="auto"/>
        <w:rPr>
          <w:rFonts w:ascii="宋体" w:hAnsi="宋体" w:cs="宋体"/>
          <w:kern w:val="0"/>
          <w:sz w:val="24"/>
          <w:lang w:val="zh-CN"/>
        </w:rPr>
      </w:pPr>
      <w:r>
        <w:rPr>
          <w:rFonts w:hint="eastAsia" w:ascii="宋体" w:hAnsi="宋体" w:cs="宋体"/>
          <w:kern w:val="0"/>
          <w:sz w:val="24"/>
          <w:lang w:val="zh-CN"/>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 xml:space="preserve"> 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pPr>
    </w:p>
    <w:p>
      <w:pPr>
        <w:snapToGrid w:val="0"/>
        <w:spacing w:line="360" w:lineRule="auto"/>
        <w:ind w:right="480"/>
        <w:jc w:val="center"/>
        <w:rPr>
          <w:rFonts w:ascii="宋体" w:hAnsi="宋体" w:cs="宋体"/>
          <w:b/>
          <w:kern w:val="0"/>
          <w:sz w:val="32"/>
          <w:szCs w:val="32"/>
          <w:lang w:val="zh-CN"/>
        </w:rPr>
      </w:pPr>
    </w:p>
    <w:p>
      <w:pPr>
        <w:snapToGrid w:val="0"/>
        <w:spacing w:line="360" w:lineRule="auto"/>
        <w:ind w:right="480"/>
        <w:jc w:val="center"/>
        <w:rPr>
          <w:rFonts w:ascii="宋体" w:hAnsi="宋体" w:cs="宋体"/>
          <w:b/>
          <w:sz w:val="28"/>
          <w:szCs w:val="28"/>
        </w:rPr>
      </w:pPr>
      <w:r>
        <w:rPr>
          <w:rFonts w:hint="eastAsia" w:ascii="宋体" w:hAnsi="宋体" w:cs="宋体"/>
          <w:b/>
          <w:kern w:val="0"/>
          <w:sz w:val="32"/>
          <w:szCs w:val="32"/>
        </w:rPr>
        <w:br w:type="page"/>
      </w:r>
    </w:p>
    <w:p>
      <w:pPr>
        <w:snapToGrid w:val="0"/>
        <w:spacing w:before="50" w:after="165" w:afterLines="50" w:line="360" w:lineRule="auto"/>
        <w:jc w:val="center"/>
        <w:rPr>
          <w:rFonts w:ascii="宋体" w:hAnsi="宋体" w:cs="宋体"/>
          <w:b/>
          <w:kern w:val="0"/>
          <w:sz w:val="32"/>
          <w:szCs w:val="32"/>
        </w:rPr>
      </w:pPr>
      <w:r>
        <w:rPr>
          <w:rFonts w:hint="eastAsia" w:ascii="宋体" w:hAnsi="宋体" w:cs="宋体"/>
          <w:b/>
          <w:kern w:val="0"/>
          <w:sz w:val="32"/>
          <w:szCs w:val="32"/>
        </w:rPr>
        <w:t>四、投标人直接控股股东信息表</w:t>
      </w:r>
    </w:p>
    <w:tbl>
      <w:tblPr>
        <w:tblStyle w:val="25"/>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26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23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722"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1418"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jc w:val="left"/>
        <w:rPr>
          <w:rFonts w:ascii="宋体" w:hAnsi="宋体" w:cs="宋体"/>
          <w:sz w:val="24"/>
        </w:rPr>
      </w:pPr>
      <w:r>
        <w:rPr>
          <w:rFonts w:hint="eastAsia" w:ascii="宋体" w:hAnsi="宋体" w:cs="宋体"/>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pPr>
        <w:snapToGrid w:val="0"/>
        <w:spacing w:line="360" w:lineRule="auto"/>
        <w:jc w:val="left"/>
        <w:rPr>
          <w:rFonts w:ascii="宋体" w:hAnsi="宋体" w:cs="宋体"/>
          <w:sz w:val="24"/>
        </w:rPr>
      </w:pPr>
      <w:r>
        <w:rPr>
          <w:rFonts w:hint="eastAsia" w:ascii="宋体" w:hAnsi="宋体" w:cs="宋体"/>
          <w:sz w:val="24"/>
        </w:rPr>
        <w:t>2.本表所指的控股关系仅限于直接控股关系，不包括间接的控股关系。公司实际控制人与公司之间的关系不属于本表所指的直接控股关系。</w:t>
      </w:r>
    </w:p>
    <w:p>
      <w:pPr>
        <w:snapToGrid w:val="0"/>
        <w:spacing w:line="360" w:lineRule="auto"/>
        <w:jc w:val="left"/>
        <w:rPr>
          <w:rFonts w:ascii="宋体" w:hAnsi="宋体" w:cs="宋体"/>
          <w:sz w:val="24"/>
        </w:rPr>
      </w:pPr>
      <w:r>
        <w:rPr>
          <w:rFonts w:hint="eastAsia" w:ascii="宋体" w:hAnsi="宋体" w:cs="宋体"/>
          <w:sz w:val="24"/>
        </w:rPr>
        <w:t>3.供应商不存在直接控股股东的，则填“无”。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jc w:val="center"/>
        <w:rPr>
          <w:rFonts w:ascii="宋体" w:hAnsi="宋体" w:cs="宋体"/>
          <w:b/>
          <w:sz w:val="28"/>
          <w:szCs w:val="28"/>
        </w:rPr>
      </w:pPr>
      <w:r>
        <w:rPr>
          <w:rFonts w:hint="eastAsia" w:ascii="宋体" w:hAnsi="宋体" w:cs="宋体"/>
          <w:b/>
          <w:sz w:val="28"/>
          <w:szCs w:val="28"/>
        </w:rPr>
        <w:br w:type="page"/>
      </w:r>
    </w:p>
    <w:p>
      <w:pPr>
        <w:snapToGrid w:val="0"/>
        <w:spacing w:line="360" w:lineRule="auto"/>
        <w:jc w:val="center"/>
        <w:rPr>
          <w:rFonts w:ascii="宋体" w:hAnsi="宋体" w:cs="宋体"/>
          <w:sz w:val="32"/>
          <w:szCs w:val="32"/>
        </w:rPr>
      </w:pPr>
      <w:r>
        <w:rPr>
          <w:rFonts w:hint="eastAsia" w:ascii="宋体" w:hAnsi="宋体" w:cs="宋体"/>
          <w:b/>
          <w:sz w:val="32"/>
          <w:szCs w:val="32"/>
        </w:rPr>
        <w:t>五、投标人直接管理关系信息表</w:t>
      </w:r>
    </w:p>
    <w:tbl>
      <w:tblPr>
        <w:tblStyle w:val="25"/>
        <w:tblW w:w="0" w:type="auto"/>
        <w:tblInd w:w="0" w:type="dxa"/>
        <w:shd w:val="clear" w:color="auto" w:fill="FBFBFB"/>
        <w:tblLayout w:type="fixed"/>
        <w:tblCellMar>
          <w:top w:w="0" w:type="dxa"/>
          <w:left w:w="0" w:type="dxa"/>
          <w:bottom w:w="0" w:type="dxa"/>
          <w:right w:w="0" w:type="dxa"/>
        </w:tblCellMar>
      </w:tblPr>
      <w:tblGrid>
        <w:gridCol w:w="1005"/>
        <w:gridCol w:w="2659"/>
        <w:gridCol w:w="3924"/>
        <w:gridCol w:w="2064"/>
      </w:tblGrid>
      <w:tr>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序号</w:t>
            </w:r>
          </w:p>
        </w:tc>
        <w:tc>
          <w:tcPr>
            <w:tcW w:w="2659"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直接管理关系单位名称</w:t>
            </w:r>
          </w:p>
        </w:tc>
        <w:tc>
          <w:tcPr>
            <w:tcW w:w="392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统一社会信用代码</w:t>
            </w:r>
          </w:p>
        </w:tc>
        <w:tc>
          <w:tcPr>
            <w:tcW w:w="2064" w:type="dxa"/>
            <w:tcBorders>
              <w:top w:val="single" w:color="auto" w:sz="4" w:space="0"/>
              <w:left w:val="single" w:color="auto" w:sz="4" w:space="0"/>
              <w:bottom w:val="single" w:color="auto" w:sz="4" w:space="0"/>
              <w:right w:val="single" w:color="auto" w:sz="4" w:space="0"/>
            </w:tcBorders>
            <w:shd w:val="clear" w:color="auto" w:fill="EAE3D8"/>
            <w:tcMar>
              <w:top w:w="120" w:type="dxa"/>
              <w:left w:w="120" w:type="dxa"/>
              <w:bottom w:w="120" w:type="dxa"/>
              <w:right w:w="120" w:type="dxa"/>
            </w:tcMar>
            <w:vAlign w:val="center"/>
          </w:tcPr>
          <w:p>
            <w:pPr>
              <w:spacing w:line="360" w:lineRule="auto"/>
              <w:jc w:val="center"/>
              <w:rPr>
                <w:rFonts w:ascii="宋体" w:hAnsi="宋体" w:cs="宋体"/>
                <w:b/>
                <w:bCs/>
                <w:kern w:val="0"/>
                <w:sz w:val="24"/>
              </w:rPr>
            </w:pPr>
            <w:r>
              <w:rPr>
                <w:rFonts w:hint="eastAsia" w:ascii="宋体" w:hAnsi="宋体" w:cs="宋体"/>
                <w:b/>
                <w:bCs/>
                <w:kern w:val="0"/>
                <w:sz w:val="24"/>
              </w:rPr>
              <w:t>备注</w:t>
            </w: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1</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2</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3</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r>
        <w:tblPrEx>
          <w:shd w:val="clear" w:color="auto" w:fill="FBFBFB"/>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r>
              <w:rPr>
                <w:rFonts w:hint="eastAsia" w:ascii="宋体" w:hAnsi="宋体" w:cs="宋体"/>
                <w:kern w:val="0"/>
                <w:sz w:val="24"/>
              </w:rPr>
              <w:t>……</w:t>
            </w:r>
          </w:p>
        </w:tc>
        <w:tc>
          <w:tcPr>
            <w:tcW w:w="2659"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392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c>
          <w:tcPr>
            <w:tcW w:w="2064" w:type="dxa"/>
            <w:tcBorders>
              <w:top w:val="single" w:color="auto" w:sz="4" w:space="0"/>
              <w:left w:val="single" w:color="auto" w:sz="4" w:space="0"/>
              <w:bottom w:val="single" w:color="auto" w:sz="4" w:space="0"/>
              <w:right w:val="single" w:color="auto" w:sz="4" w:space="0"/>
            </w:tcBorders>
            <w:shd w:val="clear" w:color="auto" w:fill="F9F9F9"/>
            <w:tcMar>
              <w:top w:w="120" w:type="dxa"/>
              <w:left w:w="120" w:type="dxa"/>
              <w:bottom w:w="120" w:type="dxa"/>
              <w:right w:w="120" w:type="dxa"/>
            </w:tcMar>
            <w:vAlign w:val="center"/>
          </w:tcPr>
          <w:p>
            <w:pPr>
              <w:spacing w:line="360" w:lineRule="auto"/>
              <w:jc w:val="center"/>
              <w:rPr>
                <w:rFonts w:ascii="宋体" w:hAnsi="宋体" w:cs="宋体"/>
                <w:kern w:val="0"/>
                <w:sz w:val="24"/>
              </w:rPr>
            </w:pPr>
          </w:p>
        </w:tc>
      </w:tr>
    </w:tbl>
    <w:p>
      <w:pPr>
        <w:snapToGrid w:val="0"/>
        <w:spacing w:line="360" w:lineRule="auto"/>
        <w:jc w:val="left"/>
        <w:rPr>
          <w:rFonts w:ascii="宋体" w:hAnsi="宋体" w:cs="宋体"/>
          <w:sz w:val="24"/>
        </w:rPr>
      </w:pPr>
      <w:r>
        <w:rPr>
          <w:rFonts w:hint="eastAsia" w:ascii="宋体" w:hAnsi="宋体" w:cs="宋体"/>
          <w:sz w:val="24"/>
        </w:rPr>
        <w:t>注：</w:t>
      </w:r>
    </w:p>
    <w:p>
      <w:pPr>
        <w:snapToGrid w:val="0"/>
        <w:spacing w:line="360" w:lineRule="auto"/>
        <w:ind w:firstLine="480" w:firstLineChars="200"/>
        <w:jc w:val="left"/>
        <w:rPr>
          <w:rFonts w:ascii="宋体" w:hAnsi="宋体" w:cs="宋体"/>
          <w:sz w:val="24"/>
        </w:rPr>
      </w:pPr>
      <w:r>
        <w:rPr>
          <w:rFonts w:hint="eastAsia" w:ascii="宋体" w:hAnsi="宋体" w:cs="宋体"/>
          <w:sz w:val="24"/>
        </w:rPr>
        <w:t>1.管理关系：是指不具有出资持股关系的其他单位之间存在的管理与被管理关系，如一些上下级关系的事业单位和团体组织。</w:t>
      </w:r>
    </w:p>
    <w:p>
      <w:pPr>
        <w:snapToGrid w:val="0"/>
        <w:spacing w:line="360" w:lineRule="auto"/>
        <w:ind w:firstLine="480" w:firstLineChars="200"/>
        <w:jc w:val="left"/>
        <w:rPr>
          <w:rFonts w:ascii="宋体" w:hAnsi="宋体" w:cs="宋体"/>
          <w:sz w:val="24"/>
        </w:rPr>
      </w:pPr>
      <w:r>
        <w:rPr>
          <w:rFonts w:hint="eastAsia" w:ascii="宋体" w:hAnsi="宋体" w:cs="宋体"/>
          <w:sz w:val="24"/>
        </w:rPr>
        <w:t>2.</w:t>
      </w:r>
      <w:r>
        <w:rPr>
          <w:rFonts w:hint="eastAsia" w:ascii="宋体" w:hAnsi="宋体" w:cs="宋体"/>
          <w:spacing w:val="-6"/>
          <w:sz w:val="24"/>
        </w:rPr>
        <w:t>本表所指的管理关系仅限于直接管理关系，不包括间接的管理关系。</w:t>
      </w:r>
    </w:p>
    <w:p>
      <w:pPr>
        <w:snapToGrid w:val="0"/>
        <w:spacing w:line="360" w:lineRule="auto"/>
        <w:ind w:firstLine="480" w:firstLineChars="200"/>
        <w:jc w:val="left"/>
        <w:rPr>
          <w:rFonts w:ascii="宋体" w:hAnsi="宋体" w:cs="宋体"/>
          <w:sz w:val="24"/>
        </w:rPr>
      </w:pPr>
      <w:r>
        <w:rPr>
          <w:rFonts w:hint="eastAsia" w:ascii="宋体" w:hAnsi="宋体" w:cs="宋体"/>
          <w:sz w:val="24"/>
        </w:rPr>
        <w:t>3.供应商不存在直接管理关系的，则填“无”。</w:t>
      </w: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jc w:val="left"/>
        <w:rPr>
          <w:rFonts w:ascii="宋体" w:hAnsi="宋体" w:cs="宋体"/>
          <w:sz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jc w:val="left"/>
        <w:rPr>
          <w:rFonts w:ascii="宋体" w:hAnsi="宋体" w:cs="宋体"/>
          <w:b/>
          <w:sz w:val="24"/>
        </w:rPr>
      </w:pPr>
    </w:p>
    <w:p>
      <w:pPr>
        <w:snapToGrid w:val="0"/>
        <w:spacing w:before="165" w:beforeLines="50" w:after="50" w:line="360" w:lineRule="auto"/>
        <w:jc w:val="left"/>
        <w:rPr>
          <w:rFonts w:ascii="宋体" w:hAnsi="宋体" w:cs="宋体"/>
          <w:b/>
          <w:sz w:val="24"/>
          <w:szCs w:val="20"/>
        </w:rPr>
      </w:pPr>
      <w:r>
        <w:rPr>
          <w:rFonts w:hint="eastAsia" w:ascii="宋体" w:hAnsi="宋体" w:cs="宋体"/>
          <w:b/>
          <w:sz w:val="24"/>
          <w:szCs w:val="20"/>
        </w:rPr>
        <w:t xml:space="preserve"> </w:t>
      </w:r>
    </w:p>
    <w:p>
      <w:pPr>
        <w:snapToGrid w:val="0"/>
        <w:spacing w:before="50" w:after="165" w:afterLines="50" w:line="360" w:lineRule="auto"/>
        <w:jc w:val="center"/>
        <w:rPr>
          <w:rFonts w:ascii="宋体" w:hAnsi="宋体" w:cs="宋体"/>
          <w:b/>
          <w:sz w:val="32"/>
          <w:szCs w:val="32"/>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center"/>
        <w:rPr>
          <w:rFonts w:ascii="宋体" w:hAnsi="宋体" w:cs="宋体"/>
          <w:b/>
          <w:sz w:val="32"/>
          <w:szCs w:val="32"/>
        </w:rPr>
      </w:pPr>
      <w:r>
        <w:rPr>
          <w:rFonts w:hint="eastAsia" w:ascii="宋体" w:hAnsi="宋体" w:cs="宋体"/>
          <w:b/>
          <w:sz w:val="32"/>
          <w:szCs w:val="32"/>
        </w:rPr>
        <w:t>六、投标资格声明</w:t>
      </w:r>
    </w:p>
    <w:p>
      <w:pPr>
        <w:tabs>
          <w:tab w:val="left" w:pos="7200"/>
        </w:tabs>
        <w:spacing w:line="360" w:lineRule="auto"/>
        <w:rPr>
          <w:rFonts w:ascii="宋体" w:hAnsi="宋体" w:cs="宋体"/>
          <w:szCs w:val="21"/>
          <w:u w:val="single"/>
        </w:rPr>
      </w:pPr>
      <w:r>
        <w:rPr>
          <w:rFonts w:hint="eastAsia" w:ascii="宋体" w:hAnsi="宋体" w:cs="宋体"/>
          <w:szCs w:val="21"/>
        </w:rPr>
        <w:t>致：</w:t>
      </w:r>
      <w:r>
        <w:rPr>
          <w:rFonts w:hint="eastAsia" w:ascii="宋体" w:hAnsi="宋体" w:cs="宋体"/>
          <w:szCs w:val="21"/>
          <w:u w:val="single"/>
        </w:rPr>
        <w:t xml:space="preserve"> </w:t>
      </w:r>
    </w:p>
    <w:p>
      <w:pPr>
        <w:snapToGrid w:val="0"/>
        <w:spacing w:line="360" w:lineRule="auto"/>
        <w:ind w:firstLine="420" w:firstLineChars="200"/>
        <w:jc w:val="left"/>
        <w:rPr>
          <w:rFonts w:ascii="宋体" w:hAnsi="宋体" w:cs="宋体"/>
          <w:szCs w:val="21"/>
        </w:rPr>
      </w:pPr>
      <w:r>
        <w:rPr>
          <w:rFonts w:hint="eastAsia" w:ascii="宋体" w:hAnsi="宋体" w:cs="宋体"/>
          <w:szCs w:val="21"/>
        </w:rPr>
        <w:t>我方愿意参加贵方组织的_</w:t>
      </w:r>
      <w:r>
        <w:rPr>
          <w:rFonts w:hint="eastAsia" w:ascii="宋体" w:hAnsi="宋体" w:cs="宋体"/>
          <w:szCs w:val="21"/>
          <w:u w:val="single"/>
        </w:rPr>
        <w:t xml:space="preserve">           </w:t>
      </w:r>
      <w:r>
        <w:rPr>
          <w:rFonts w:hint="eastAsia" w:ascii="宋体" w:hAnsi="宋体" w:cs="宋体"/>
          <w:szCs w:val="21"/>
        </w:rPr>
        <w:t>（项目编号：</w:t>
      </w:r>
      <w:r>
        <w:rPr>
          <w:rFonts w:hint="eastAsia" w:ascii="宋体" w:hAnsi="宋体" w:cs="宋体"/>
          <w:szCs w:val="21"/>
          <w:u w:val="single"/>
        </w:rPr>
        <w:t xml:space="preserve">       </w:t>
      </w:r>
      <w:r>
        <w:rPr>
          <w:rFonts w:hint="eastAsia" w:ascii="宋体" w:hAnsi="宋体" w:cs="宋体"/>
          <w:szCs w:val="21"/>
        </w:rPr>
        <w:t>）项目的投标，为便于贵方公正、择优的确定中标人，我方就本次投标有关事项郑重声明如下：</w:t>
      </w:r>
    </w:p>
    <w:p>
      <w:pPr>
        <w:snapToGrid w:val="0"/>
        <w:spacing w:line="360" w:lineRule="auto"/>
        <w:ind w:firstLine="420" w:firstLineChars="200"/>
        <w:jc w:val="left"/>
        <w:rPr>
          <w:rFonts w:ascii="宋体" w:hAnsi="宋体" w:cs="宋体"/>
          <w:szCs w:val="21"/>
        </w:rPr>
      </w:pPr>
      <w:r>
        <w:rPr>
          <w:rFonts w:hint="eastAsia" w:ascii="宋体" w:hAnsi="宋体" w:cs="宋体"/>
          <w:szCs w:val="21"/>
        </w:rPr>
        <w:t>1.我方承诺已经具备《中华人民共和国政府采购法》第二十二条中规定的参加政府采购活动的供应商应当具备的条件并按本项目投标文件“第三章”“第一节 投标人须知前附表”中“资格证明文件组成”完整提供证明材料。</w:t>
      </w:r>
    </w:p>
    <w:p>
      <w:pPr>
        <w:snapToGrid w:val="0"/>
        <w:spacing w:line="360" w:lineRule="auto"/>
        <w:ind w:firstLine="420" w:firstLineChars="200"/>
        <w:jc w:val="left"/>
        <w:rPr>
          <w:rFonts w:ascii="宋体" w:hAnsi="宋体" w:cs="宋体"/>
          <w:szCs w:val="21"/>
        </w:rPr>
      </w:pPr>
      <w:r>
        <w:rPr>
          <w:rFonts w:hint="eastAsia" w:ascii="宋体" w:hAnsi="宋体" w:cs="宋体"/>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pPr>
        <w:snapToGrid w:val="0"/>
        <w:spacing w:line="360" w:lineRule="auto"/>
        <w:ind w:firstLine="420" w:firstLineChars="200"/>
        <w:jc w:val="left"/>
        <w:rPr>
          <w:rFonts w:ascii="宋体" w:hAnsi="宋体" w:cs="宋体"/>
          <w:szCs w:val="21"/>
        </w:rPr>
      </w:pPr>
      <w:r>
        <w:rPr>
          <w:rFonts w:hint="eastAsia" w:ascii="宋体" w:hAnsi="宋体" w:cs="宋体"/>
          <w:szCs w:val="21"/>
        </w:rPr>
        <w:t>3.经查询，在“信用中国”和“中国政府采购网”网站我方未被列入失信被执行人、重大税收违法失信主体、政府采购严重违法失信行为记录名单。</w:t>
      </w:r>
    </w:p>
    <w:p>
      <w:pPr>
        <w:snapToGrid w:val="0"/>
        <w:spacing w:line="360" w:lineRule="auto"/>
        <w:ind w:firstLine="420" w:firstLineChars="200"/>
        <w:jc w:val="left"/>
        <w:rPr>
          <w:rFonts w:ascii="宋体" w:hAnsi="宋体" w:cs="宋体"/>
          <w:szCs w:val="21"/>
        </w:rPr>
      </w:pPr>
      <w:r>
        <w:rPr>
          <w:rFonts w:hint="eastAsia" w:ascii="宋体" w:hAnsi="宋体" w:cs="宋体"/>
          <w:szCs w:val="21"/>
        </w:rPr>
        <w:t xml:space="preserve">4.以上事项如有虚假或隐瞒，我方愿意承担一切后果，并不再寻求任何旨在减轻或免除法律责任的辩解。 </w:t>
      </w:r>
    </w:p>
    <w:p>
      <w:pPr>
        <w:tabs>
          <w:tab w:val="left" w:pos="7200"/>
        </w:tabs>
        <w:spacing w:line="360" w:lineRule="auto"/>
        <w:ind w:firstLine="270" w:firstLineChars="150"/>
        <w:rPr>
          <w:rFonts w:ascii="宋体" w:hAnsi="宋体" w:cs="宋体"/>
          <w:sz w:val="18"/>
          <w:szCs w:val="18"/>
        </w:rPr>
      </w:pPr>
      <w:r>
        <w:rPr>
          <w:rFonts w:hint="eastAsia" w:ascii="宋体" w:hAnsi="宋体" w:cs="宋体"/>
          <w:sz w:val="18"/>
          <w:szCs w:val="18"/>
        </w:rPr>
        <w:t>说明：</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pPr>
        <w:spacing w:line="360" w:lineRule="auto"/>
        <w:ind w:firstLine="360" w:firstLineChars="200"/>
        <w:jc w:val="left"/>
        <w:rPr>
          <w:rFonts w:ascii="宋体" w:hAnsi="宋体" w:cs="宋体"/>
          <w:sz w:val="18"/>
          <w:szCs w:val="18"/>
        </w:rPr>
      </w:pPr>
      <w:r>
        <w:rPr>
          <w:rFonts w:hint="eastAsia" w:ascii="宋体" w:hAnsi="宋体" w:cs="宋体"/>
          <w:sz w:val="18"/>
          <w:szCs w:val="18"/>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snapToGrid w:val="0"/>
        <w:spacing w:before="50" w:after="165" w:afterLines="50" w:line="360" w:lineRule="auto"/>
        <w:jc w:val="left"/>
        <w:rPr>
          <w:rFonts w:ascii="宋体" w:hAnsi="宋体" w:cs="宋体"/>
          <w:sz w:val="18"/>
          <w:szCs w:val="18"/>
        </w:rPr>
      </w:pPr>
      <w:r>
        <w:rPr>
          <w:rFonts w:hint="eastAsia" w:ascii="宋体" w:hAnsi="宋体" w:cs="宋体"/>
          <w:sz w:val="18"/>
          <w:szCs w:val="18"/>
        </w:rPr>
        <w:t xml:space="preserve"> </w:t>
      </w:r>
      <w:r>
        <w:rPr>
          <w:rFonts w:hint="eastAsia" w:ascii="宋体" w:hAnsi="宋体" w:cs="宋体"/>
          <w:b/>
          <w:sz w:val="18"/>
          <w:szCs w:val="18"/>
        </w:rPr>
        <w:t xml:space="preserve">  3.如为联合体投标，盖章处须加盖联合体各方公章并由联合体各方法定代表人分别签署，否则投标无效。</w:t>
      </w:r>
    </w:p>
    <w:p>
      <w:pPr>
        <w:snapToGrid w:val="0"/>
        <w:spacing w:before="50" w:after="331" w:afterLines="100" w:line="360" w:lineRule="auto"/>
        <w:jc w:val="left"/>
        <w:rPr>
          <w:rFonts w:ascii="宋体" w:hAnsi="宋体" w:cs="宋体"/>
          <w:sz w:val="24"/>
        </w:rPr>
      </w:pPr>
      <w:r>
        <w:rPr>
          <w:rFonts w:hint="eastAsia" w:ascii="宋体" w:hAnsi="宋体" w:cs="宋体"/>
          <w:sz w:val="24"/>
        </w:rPr>
        <w:t xml:space="preserve">                                     </w:t>
      </w:r>
    </w:p>
    <w:p>
      <w:pPr>
        <w:snapToGrid w:val="0"/>
        <w:spacing w:before="50" w:after="331" w:afterLines="100" w:line="360" w:lineRule="auto"/>
        <w:ind w:left="7428" w:leftChars="2223" w:hanging="2760" w:hangingChars="1150"/>
        <w:jc w:val="left"/>
        <w:rPr>
          <w:rFonts w:ascii="宋体" w:hAnsi="宋体" w:cs="宋体"/>
          <w:kern w:val="0"/>
          <w:sz w:val="24"/>
          <w:lang w:val="zh-CN"/>
        </w:rPr>
      </w:pPr>
      <w:r>
        <w:rPr>
          <w:rFonts w:hint="eastAsia" w:ascii="宋体" w:hAnsi="宋体" w:cs="宋体"/>
          <w:sz w:val="24"/>
        </w:rPr>
        <w:t xml:space="preserve">  </w:t>
      </w:r>
      <w:r>
        <w:rPr>
          <w:rFonts w:hint="eastAsia" w:ascii="宋体" w:hAnsi="宋体" w:cs="宋体"/>
          <w:kern w:val="0"/>
          <w:sz w:val="24"/>
          <w:lang w:val="zh-CN"/>
        </w:rPr>
        <w:t>投标人名称（电子签章）：</w:t>
      </w:r>
      <w:r>
        <w:rPr>
          <w:rFonts w:hint="eastAsia" w:ascii="宋体" w:hAnsi="宋体" w:cs="宋体"/>
          <w:szCs w:val="21"/>
        </w:rPr>
        <w:t xml:space="preserve">                                     年    月    日</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rPr>
      </w:pPr>
      <w:r>
        <w:rPr>
          <w:rFonts w:hint="eastAsia" w:hAnsi="宋体" w:cs="宋体"/>
          <w:b/>
          <w:bCs/>
          <w:sz w:val="30"/>
          <w:szCs w:val="30"/>
        </w:rPr>
        <w:t>七、联合体协议书</w:t>
      </w:r>
    </w:p>
    <w:p>
      <w:pPr>
        <w:autoSpaceDE w:val="0"/>
        <w:autoSpaceDN w:val="0"/>
        <w:adjustRightInd w:val="0"/>
        <w:spacing w:line="360" w:lineRule="auto"/>
        <w:jc w:val="left"/>
        <w:rPr>
          <w:rFonts w:ascii="宋体" w:hAnsi="宋体" w:cs="宋体"/>
          <w:kern w:val="0"/>
          <w:szCs w:val="21"/>
          <w:u w:val="single"/>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u w:val="single"/>
        </w:rPr>
        <w:t xml:space="preserve">                                                  </w:t>
      </w:r>
      <w:r>
        <w:rPr>
          <w:rFonts w:hint="eastAsia" w:ascii="宋体" w:hAnsi="宋体" w:cs="宋体"/>
          <w:kern w:val="0"/>
          <w:szCs w:val="21"/>
        </w:rPr>
        <w:t>（所有成员单位名称）自愿组成联合体，共同参加</w:t>
      </w:r>
      <w:r>
        <w:rPr>
          <w:rFonts w:hint="eastAsia" w:ascii="宋体" w:hAnsi="宋体" w:cs="宋体"/>
          <w:kern w:val="0"/>
          <w:szCs w:val="21"/>
          <w:u w:val="single"/>
        </w:rPr>
        <w:t xml:space="preserve">           </w:t>
      </w:r>
      <w:r>
        <w:rPr>
          <w:rFonts w:hint="eastAsia" w:ascii="宋体" w:hAnsi="宋体" w:cs="宋体"/>
          <w:kern w:val="0"/>
          <w:szCs w:val="21"/>
        </w:rPr>
        <w:t>组织的</w:t>
      </w:r>
      <w:r>
        <w:rPr>
          <w:rFonts w:hint="eastAsia" w:ascii="宋体" w:hAnsi="宋体" w:cs="宋体"/>
          <w:kern w:val="0"/>
          <w:szCs w:val="21"/>
          <w:u w:val="single"/>
        </w:rPr>
        <w:t xml:space="preserve">              </w:t>
      </w:r>
      <w:r>
        <w:rPr>
          <w:rFonts w:hint="eastAsia" w:ascii="宋体" w:hAnsi="宋体" w:cs="宋体"/>
          <w:kern w:val="0"/>
          <w:szCs w:val="21"/>
        </w:rPr>
        <w:t>（项目编号：</w:t>
      </w:r>
      <w:r>
        <w:rPr>
          <w:rFonts w:hint="eastAsia" w:ascii="宋体" w:hAnsi="宋体" w:cs="宋体"/>
          <w:kern w:val="0"/>
          <w:szCs w:val="21"/>
          <w:u w:val="single"/>
        </w:rPr>
        <w:t xml:space="preserve">           </w:t>
      </w:r>
      <w:r>
        <w:rPr>
          <w:rFonts w:hint="eastAsia" w:ascii="宋体" w:hAnsi="宋体" w:cs="宋体"/>
          <w:kern w:val="0"/>
          <w:szCs w:val="21"/>
        </w:rPr>
        <w:t>）投标。现就联合体投标事宜订立如下协议：</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1、</w:t>
      </w:r>
      <w:r>
        <w:rPr>
          <w:rFonts w:hint="eastAsia" w:ascii="宋体" w:hAnsi="宋体" w:cs="宋体"/>
        </w:rPr>
        <w:t>________________________</w:t>
      </w:r>
      <w:r>
        <w:rPr>
          <w:rFonts w:hint="eastAsia" w:ascii="宋体" w:hAnsi="宋体" w:cs="宋体"/>
          <w:kern w:val="0"/>
          <w:szCs w:val="21"/>
        </w:rPr>
        <w:t>（某成员单位名称）为联合体名称牵头人。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3、联合体牵头人在本项目中签署和盖章的一切文件和处理的一切事宜，联合体各成员均予以承认。 联合体各成员将严格按照招标文件、投标文件和合同的要求全面履行义务，并向招标人承担连带责任。</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4、联合体各成员单位内部的职责分工如下</w:t>
      </w:r>
      <w:r>
        <w:rPr>
          <w:rFonts w:hint="eastAsia" w:ascii="宋体" w:hAnsi="宋体" w:cs="宋体"/>
          <w:kern w:val="0"/>
          <w:szCs w:val="21"/>
          <w:u w:val="single"/>
        </w:rPr>
        <w:t xml:space="preserve">：                                     </w:t>
      </w:r>
      <w:r>
        <w:rPr>
          <w:rFonts w:hint="eastAsia" w:ascii="宋体" w:hAnsi="宋体" w:cs="宋体"/>
          <w:kern w:val="0"/>
          <w:szCs w:val="21"/>
        </w:rPr>
        <w:t>。</w:t>
      </w:r>
    </w:p>
    <w:p>
      <w:pPr>
        <w:pStyle w:val="12"/>
        <w:spacing w:line="360" w:lineRule="auto"/>
        <w:ind w:firstLine="420" w:firstLineChars="200"/>
        <w:rPr>
          <w:rFonts w:hAnsi="宋体" w:cs="宋体"/>
          <w:szCs w:val="21"/>
        </w:rPr>
      </w:pPr>
      <w:r>
        <w:rPr>
          <w:rFonts w:hint="eastAsia" w:hAnsi="宋体" w:cs="宋体"/>
          <w:kern w:val="0"/>
        </w:rPr>
        <w:t>5、本联合体中</w:t>
      </w:r>
      <w:r>
        <w:rPr>
          <w:rFonts w:hint="eastAsia" w:hAnsi="宋体" w:cs="宋体"/>
          <w:kern w:val="0"/>
          <w:u w:val="single"/>
        </w:rPr>
        <w:t>，</w:t>
      </w:r>
      <w:r>
        <w:rPr>
          <w:rFonts w:hint="eastAsia" w:hAnsi="宋体" w:cs="宋体"/>
          <w:kern w:val="0"/>
          <w:szCs w:val="21"/>
          <w:u w:val="single"/>
        </w:rPr>
        <w:t xml:space="preserve">               </w:t>
      </w:r>
      <w:r>
        <w:rPr>
          <w:rFonts w:hint="eastAsia" w:hAnsi="宋体" w:cs="宋体"/>
          <w:kern w:val="0"/>
          <w:u w:val="single"/>
        </w:rPr>
        <w:t>（某成员单位名称）为</w:t>
      </w:r>
      <w:r>
        <w:rPr>
          <w:rFonts w:hint="eastAsia" w:hAnsi="宋体" w:cs="宋体"/>
          <w:kern w:val="0"/>
          <w:szCs w:val="21"/>
          <w:u w:val="single"/>
        </w:rPr>
        <w:t xml:space="preserve">         </w:t>
      </w:r>
      <w:r>
        <w:rPr>
          <w:rFonts w:hint="eastAsia" w:hAnsi="宋体" w:cs="宋体"/>
        </w:rPr>
        <w:t>（请填写：中型、小型、微型）企业，其协议合同金额占联合体协议合同总金额的</w:t>
      </w:r>
      <w:r>
        <w:rPr>
          <w:rFonts w:hint="eastAsia" w:hAnsi="宋体" w:cs="宋体"/>
          <w:kern w:val="0"/>
          <w:szCs w:val="21"/>
          <w:u w:val="single"/>
        </w:rPr>
        <w:t xml:space="preserve">       </w:t>
      </w:r>
      <w:r>
        <w:rPr>
          <w:rFonts w:hint="eastAsia" w:hAnsi="宋体" w:cs="宋体"/>
        </w:rPr>
        <w:t>%。【如联合体成员中有小型、微型企业的，请填写此条，否则无需填写；如联合体成员中有多个小型、微型企业的，请逐一列出。】</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6、本协议书自签署之日起生效，合同履行完毕后自动失效。</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7、本协议书一式</w:t>
      </w:r>
      <w:r>
        <w:rPr>
          <w:rFonts w:hint="eastAsia" w:ascii="宋体" w:hAnsi="宋体" w:cs="宋体"/>
          <w:kern w:val="0"/>
          <w:szCs w:val="21"/>
          <w:u w:val="single"/>
        </w:rPr>
        <w:t xml:space="preserve">    </w:t>
      </w:r>
      <w:r>
        <w:rPr>
          <w:rFonts w:hint="eastAsia" w:ascii="宋体" w:hAnsi="宋体" w:cs="宋体"/>
          <w:kern w:val="0"/>
          <w:szCs w:val="21"/>
        </w:rPr>
        <w:t>份，联合体成员和采购代理机构各执一份。</w:t>
      </w:r>
    </w:p>
    <w:p>
      <w:pPr>
        <w:autoSpaceDE w:val="0"/>
        <w:autoSpaceDN w:val="0"/>
        <w:adjustRightInd w:val="0"/>
        <w:spacing w:line="360" w:lineRule="auto"/>
        <w:ind w:firstLine="420"/>
        <w:jc w:val="left"/>
        <w:rPr>
          <w:rFonts w:ascii="宋体" w:hAnsi="宋体" w:cs="宋体"/>
          <w:kern w:val="0"/>
          <w:szCs w:val="21"/>
        </w:rPr>
      </w:pPr>
      <w:r>
        <w:rPr>
          <w:rFonts w:hint="eastAsia" w:ascii="宋体" w:hAnsi="宋体" w:cs="宋体"/>
          <w:kern w:val="0"/>
          <w:szCs w:val="21"/>
        </w:rPr>
        <w:t>注：本协议书由法定代表人签字的，应附法定代表人身份证明；本协议书由委托代理人签字的，应附法定代表人授权委托书。</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牵头人名称：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成员一名称：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（手写签名/电子签名）</w:t>
      </w:r>
    </w:p>
    <w:p>
      <w:pPr>
        <w:autoSpaceDE w:val="0"/>
        <w:autoSpaceDN w:val="0"/>
        <w:adjustRightInd w:val="0"/>
        <w:spacing w:line="360" w:lineRule="auto"/>
        <w:jc w:val="left"/>
        <w:rPr>
          <w:rFonts w:ascii="宋体" w:hAnsi="宋体" w:cs="宋体"/>
          <w:kern w:val="0"/>
          <w:szCs w:val="21"/>
        </w:rPr>
      </w:pPr>
    </w:p>
    <w:p>
      <w:pPr>
        <w:autoSpaceDE w:val="0"/>
        <w:autoSpaceDN w:val="0"/>
        <w:adjustRightInd w:val="0"/>
        <w:spacing w:line="360" w:lineRule="auto"/>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（公章/电子签章）</w:t>
      </w:r>
    </w:p>
    <w:p>
      <w:pPr>
        <w:pStyle w:val="12"/>
        <w:spacing w:line="360" w:lineRule="auto"/>
        <w:rPr>
          <w:rFonts w:hAnsi="宋体" w:cs="宋体"/>
          <w:kern w:val="0"/>
          <w:szCs w:val="21"/>
        </w:rPr>
        <w:sectPr>
          <w:pgSz w:w="11906" w:h="16838"/>
          <w:pgMar w:top="1440" w:right="1080" w:bottom="1440" w:left="1080" w:header="720" w:footer="720" w:gutter="0"/>
          <w:cols w:space="720" w:num="1"/>
          <w:docGrid w:type="lines" w:linePitch="331" w:charSpace="0"/>
        </w:sectPr>
      </w:pPr>
      <w:r>
        <w:rPr>
          <w:rFonts w:hint="eastAsia" w:hAnsi="宋体" w:cs="宋体"/>
          <w:kern w:val="0"/>
          <w:szCs w:val="21"/>
        </w:rPr>
        <w:t>法定代表人或其委托代理人：</w:t>
      </w:r>
      <w:r>
        <w:rPr>
          <w:rFonts w:hint="eastAsia" w:hAnsi="宋体" w:cs="宋体"/>
          <w:kern w:val="0"/>
          <w:szCs w:val="21"/>
          <w:u w:val="single"/>
        </w:rPr>
        <w:t xml:space="preserve">                         </w:t>
      </w:r>
      <w:r>
        <w:rPr>
          <w:rFonts w:hint="eastAsia" w:hAnsi="宋体" w:cs="宋体"/>
          <w:kern w:val="0"/>
          <w:szCs w:val="21"/>
        </w:rPr>
        <w:t>（手写签名/电子签名）</w:t>
      </w:r>
    </w:p>
    <w:p>
      <w:pPr>
        <w:pStyle w:val="12"/>
        <w:spacing w:line="360" w:lineRule="auto"/>
        <w:jc w:val="center"/>
        <w:rPr>
          <w:rFonts w:hAnsi="宋体" w:cs="宋体"/>
          <w:b/>
          <w:bCs/>
          <w:sz w:val="30"/>
          <w:szCs w:val="30"/>
        </w:rPr>
      </w:pPr>
      <w:r>
        <w:rPr>
          <w:rFonts w:hint="eastAsia" w:hAnsi="宋体" w:cs="宋体"/>
          <w:b/>
          <w:bCs/>
          <w:sz w:val="30"/>
          <w:szCs w:val="30"/>
        </w:rPr>
        <w:t>八、符合特定资格或条件（如有）的有关证明材料</w:t>
      </w:r>
    </w:p>
    <w:p>
      <w:pPr>
        <w:pStyle w:val="12"/>
        <w:spacing w:line="360" w:lineRule="auto"/>
        <w:jc w:val="center"/>
        <w:rPr>
          <w:rFonts w:hAnsi="宋体" w:cs="宋体"/>
          <w:b/>
          <w:bCs/>
          <w:sz w:val="30"/>
          <w:szCs w:val="30"/>
        </w:rPr>
      </w:pPr>
    </w:p>
    <w:p>
      <w:pPr>
        <w:pStyle w:val="12"/>
        <w:spacing w:line="360" w:lineRule="auto"/>
        <w:jc w:val="center"/>
        <w:rPr>
          <w:rFonts w:hAnsi="宋体" w:cs="宋体"/>
          <w:b/>
          <w:bCs/>
          <w:sz w:val="30"/>
          <w:szCs w:val="30"/>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rPr>
          <w:rFonts w:hAnsi="宋体" w:cs="宋体"/>
        </w:rPr>
      </w:pPr>
    </w:p>
    <w:p>
      <w:pPr>
        <w:autoSpaceDE w:val="0"/>
        <w:autoSpaceDN w:val="0"/>
        <w:adjustRightInd w:val="0"/>
        <w:spacing w:line="360" w:lineRule="auto"/>
        <w:jc w:val="left"/>
        <w:rPr>
          <w:rFonts w:ascii="宋体" w:hAnsi="宋体" w:cs="宋体"/>
          <w:szCs w:val="21"/>
        </w:rPr>
        <w:sectPr>
          <w:pgSz w:w="11906" w:h="16838"/>
          <w:pgMar w:top="1440" w:right="1080" w:bottom="1440" w:left="1080" w:header="720" w:footer="720" w:gutter="0"/>
          <w:cols w:space="720" w:num="1"/>
          <w:docGrid w:type="lines" w:linePitch="331" w:charSpace="0"/>
        </w:sectPr>
      </w:pPr>
    </w:p>
    <w:p>
      <w:pPr>
        <w:spacing w:line="360" w:lineRule="auto"/>
        <w:rPr>
          <w:rFonts w:ascii="宋体" w:hAnsi="宋体" w:cs="宋体"/>
        </w:rPr>
      </w:pPr>
    </w:p>
    <w:p>
      <w:pPr>
        <w:pStyle w:val="12"/>
        <w:spacing w:line="360" w:lineRule="auto"/>
        <w:jc w:val="center"/>
        <w:outlineLvl w:val="1"/>
        <w:rPr>
          <w:rFonts w:hAnsi="宋体" w:cs="宋体"/>
          <w:b/>
          <w:bCs/>
          <w:sz w:val="28"/>
          <w:szCs w:val="28"/>
        </w:rPr>
      </w:pPr>
      <w:bookmarkStart w:id="304" w:name="_Toc19686838"/>
      <w:bookmarkStart w:id="305" w:name="_Toc9533"/>
      <w:r>
        <w:rPr>
          <w:rFonts w:hint="eastAsia" w:hAnsi="宋体" w:cs="宋体"/>
          <w:b/>
          <w:bCs/>
          <w:sz w:val="28"/>
          <w:szCs w:val="28"/>
        </w:rPr>
        <w:t>第三节 商务文件格式</w:t>
      </w:r>
      <w:bookmarkEnd w:id="304"/>
      <w:bookmarkEnd w:id="305"/>
    </w:p>
    <w:p>
      <w:pPr>
        <w:snapToGrid w:val="0"/>
        <w:spacing w:before="165" w:beforeLines="50" w:after="50" w:line="360" w:lineRule="auto"/>
        <w:rPr>
          <w:rFonts w:ascii="宋体" w:hAnsi="宋体" w:cs="宋体"/>
          <w:sz w:val="30"/>
          <w:szCs w:val="20"/>
        </w:rPr>
      </w:pPr>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 xml:space="preserve">             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sz w:val="24"/>
          <w:szCs w:val="20"/>
        </w:rPr>
      </w:pPr>
      <w:r>
        <w:rPr>
          <w:rFonts w:hint="eastAsia" w:ascii="宋体" w:hAnsi="宋体" w:cs="宋体"/>
          <w:b/>
          <w:sz w:val="32"/>
          <w:szCs w:val="32"/>
        </w:rPr>
        <w:t>商务文件（封面）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540" w:firstLineChars="225"/>
        <w:rPr>
          <w:rFonts w:ascii="宋体" w:hAnsi="宋体" w:cs="宋体"/>
          <w:bCs/>
          <w:sz w:val="24"/>
          <w:szCs w:val="20"/>
        </w:rPr>
      </w:pP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项目编号：</w:t>
      </w:r>
    </w:p>
    <w:p>
      <w:pPr>
        <w:snapToGrid w:val="0"/>
        <w:spacing w:before="165" w:beforeLines="50" w:after="50" w:line="360" w:lineRule="auto"/>
        <w:ind w:firstLine="540" w:firstLineChars="225"/>
        <w:rPr>
          <w:rFonts w:ascii="宋体" w:hAnsi="宋体" w:cs="宋体"/>
          <w:bCs/>
          <w:sz w:val="24"/>
          <w:szCs w:val="20"/>
        </w:rPr>
      </w:pPr>
      <w:r>
        <w:rPr>
          <w:rFonts w:hint="eastAsia" w:ascii="宋体" w:hAnsi="宋体" w:cs="宋体"/>
          <w:bCs/>
          <w:sz w:val="24"/>
        </w:rPr>
        <w:t xml:space="preserve"> </w:t>
      </w:r>
    </w:p>
    <w:p>
      <w:pPr>
        <w:snapToGrid w:val="0"/>
        <w:spacing w:before="165" w:beforeLines="50" w:after="50" w:line="360" w:lineRule="auto"/>
        <w:ind w:firstLine="540" w:firstLineChars="225"/>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540" w:firstLineChars="225"/>
        <w:rPr>
          <w:rFonts w:ascii="宋体" w:hAnsi="宋体" w:cs="宋体"/>
          <w:bCs/>
          <w:sz w:val="24"/>
          <w:szCs w:val="20"/>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投标人名称：</w:t>
      </w:r>
    </w:p>
    <w:p>
      <w:pPr>
        <w:pStyle w:val="7"/>
        <w:snapToGrid w:val="0"/>
        <w:spacing w:before="50" w:after="50" w:line="360" w:lineRule="auto"/>
        <w:ind w:firstLine="540" w:firstLineChars="225"/>
        <w:rPr>
          <w:rFonts w:ascii="宋体" w:hAnsi="宋体" w:cs="宋体"/>
          <w:bCs/>
          <w:sz w:val="24"/>
          <w:szCs w:val="24"/>
        </w:rPr>
      </w:pPr>
    </w:p>
    <w:p>
      <w:pPr>
        <w:pStyle w:val="7"/>
        <w:snapToGrid w:val="0"/>
        <w:spacing w:before="50" w:after="50" w:line="360" w:lineRule="auto"/>
        <w:ind w:firstLine="540" w:firstLineChars="225"/>
        <w:rPr>
          <w:rFonts w:ascii="宋体" w:hAnsi="宋体" w:cs="宋体"/>
          <w:bCs/>
          <w:sz w:val="24"/>
          <w:szCs w:val="24"/>
        </w:rPr>
      </w:pPr>
      <w:r>
        <w:rPr>
          <w:rFonts w:hint="eastAsia" w:ascii="宋体" w:hAnsi="宋体" w:cs="宋体"/>
          <w:bCs/>
          <w:sz w:val="24"/>
          <w:szCs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ind w:firstLine="645"/>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rPr>
          <w:rFonts w:ascii="宋体" w:hAnsi="宋体" w:cs="宋体"/>
          <w:sz w:val="24"/>
          <w:szCs w:val="20"/>
        </w:rPr>
      </w:pPr>
      <w:r>
        <w:rPr>
          <w:rFonts w:hint="eastAsia" w:ascii="宋体" w:hAnsi="宋体" w:cs="宋体"/>
          <w:sz w:val="24"/>
          <w:szCs w:val="20"/>
        </w:rPr>
        <w:t xml:space="preserve"> </w:t>
      </w:r>
    </w:p>
    <w:p>
      <w:pPr>
        <w:spacing w:line="360" w:lineRule="auto"/>
        <w:ind w:right="420"/>
        <w:rPr>
          <w:rFonts w:ascii="宋体" w:hAnsi="宋体" w:cs="宋体"/>
          <w:sz w:val="24"/>
          <w:szCs w:val="20"/>
        </w:rPr>
      </w:pPr>
    </w:p>
    <w:p>
      <w:pPr>
        <w:spacing w:line="360" w:lineRule="auto"/>
        <w:ind w:right="420"/>
        <w:rPr>
          <w:rFonts w:ascii="宋体" w:hAnsi="宋体" w:cs="宋体"/>
          <w:sz w:val="24"/>
          <w:szCs w:val="20"/>
        </w:rPr>
      </w:pPr>
    </w:p>
    <w:p>
      <w:pPr>
        <w:spacing w:line="360" w:lineRule="auto"/>
        <w:rPr>
          <w:rFonts w:ascii="宋体" w:hAnsi="宋体" w:cs="宋体"/>
          <w:b/>
          <w:kern w:val="0"/>
          <w:sz w:val="24"/>
        </w:rPr>
      </w:pPr>
    </w:p>
    <w:p>
      <w:pPr>
        <w:spacing w:line="360" w:lineRule="auto"/>
        <w:jc w:val="center"/>
        <w:rPr>
          <w:rFonts w:ascii="宋体" w:hAnsi="宋体" w:cs="宋体"/>
          <w:b/>
          <w:kern w:val="0"/>
          <w:sz w:val="28"/>
          <w:szCs w:val="28"/>
        </w:rPr>
        <w:sectPr>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商务文件目录</w:t>
      </w:r>
    </w:p>
    <w:p>
      <w:pPr>
        <w:pStyle w:val="35"/>
        <w:spacing w:line="360" w:lineRule="auto"/>
        <w:rPr>
          <w:rFonts w:ascii="宋体" w:hAnsi="宋体" w:eastAsia="宋体" w:cs="宋体"/>
        </w:rPr>
      </w:pPr>
      <w:r>
        <w:rPr>
          <w:rFonts w:hint="eastAsia" w:ascii="宋体" w:hAnsi="宋体" w:eastAsia="宋体" w:cs="宋体"/>
        </w:rPr>
        <w:t>一、无串通投标行为承诺函………………………………………………………（页码）</w:t>
      </w:r>
    </w:p>
    <w:p>
      <w:pPr>
        <w:pStyle w:val="35"/>
        <w:spacing w:line="360" w:lineRule="auto"/>
        <w:rPr>
          <w:rFonts w:ascii="宋体" w:hAnsi="宋体" w:eastAsia="宋体" w:cs="宋体"/>
        </w:rPr>
      </w:pPr>
      <w:r>
        <w:rPr>
          <w:rFonts w:hint="eastAsia" w:ascii="宋体" w:hAnsi="宋体" w:eastAsia="宋体" w:cs="宋体"/>
        </w:rPr>
        <w:t>二、法定代表人身份证明及法定代表人有效身份证正反面复印件………（页码）</w:t>
      </w:r>
    </w:p>
    <w:p>
      <w:pPr>
        <w:pStyle w:val="35"/>
        <w:spacing w:line="360" w:lineRule="auto"/>
        <w:rPr>
          <w:rFonts w:ascii="宋体" w:hAnsi="宋体" w:eastAsia="宋体" w:cs="宋体"/>
        </w:rPr>
      </w:pPr>
      <w:r>
        <w:rPr>
          <w:rFonts w:hint="eastAsia" w:ascii="宋体" w:hAnsi="宋体" w:eastAsia="宋体" w:cs="宋体"/>
        </w:rPr>
        <w:t>三、法定代表人授权委托书（如有委托时）……………………………………（页码）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商务条款偏离表………………………………</w:t>
      </w:r>
      <w:r>
        <w:rPr>
          <w:rFonts w:hint="eastAsia" w:ascii="宋体" w:hAnsi="宋体" w:eastAsia="宋体" w:cs="宋体"/>
        </w:rPr>
        <w:t>………………………………（页码）</w:t>
      </w:r>
    </w:p>
    <w:p>
      <w:pPr>
        <w:pStyle w:val="35"/>
        <w:spacing w:line="360" w:lineRule="auto"/>
        <w:rPr>
          <w:rFonts w:ascii="宋体" w:hAnsi="宋体" w:eastAsia="宋体" w:cs="宋体"/>
        </w:rPr>
      </w:pPr>
      <w:bookmarkStart w:id="306" w:name="OLE_LINK6"/>
      <w:bookmarkStart w:id="307" w:name="OLE_LINK7"/>
      <w:bookmarkStart w:id="308" w:name="OLE_LINK5"/>
      <w:r>
        <w:rPr>
          <w:rFonts w:hint="eastAsia" w:ascii="宋体" w:hAnsi="宋体" w:eastAsia="宋体" w:cs="宋体"/>
        </w:rPr>
        <w:t>五、投标人情况介绍</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六、投标人类似业绩的证明文件（如有要求）</w:t>
      </w:r>
      <w:r>
        <w:rPr>
          <w:rFonts w:hint="eastAsia" w:ascii="宋体" w:hAnsi="宋体" w:eastAsia="宋体" w:cs="宋体"/>
          <w:lang w:val="zh-CN"/>
        </w:rPr>
        <w:t>…………………………………</w:t>
      </w:r>
      <w:r>
        <w:rPr>
          <w:rFonts w:hint="eastAsia" w:ascii="宋体" w:hAnsi="宋体" w:eastAsia="宋体" w:cs="宋体"/>
        </w:rPr>
        <w:t>…（页码）</w:t>
      </w:r>
      <w:bookmarkEnd w:id="306"/>
      <w:bookmarkEnd w:id="307"/>
    </w:p>
    <w:p>
      <w:pPr>
        <w:pStyle w:val="35"/>
        <w:spacing w:line="360" w:lineRule="auto"/>
        <w:rPr>
          <w:rFonts w:ascii="宋体" w:hAnsi="宋体" w:eastAsia="宋体" w:cs="宋体"/>
        </w:rPr>
      </w:pPr>
      <w:r>
        <w:rPr>
          <w:rFonts w:hint="eastAsia" w:ascii="宋体" w:hAnsi="宋体" w:eastAsia="宋体" w:cs="宋体"/>
        </w:rPr>
        <w:t>七、其他商务文件或说明</w:t>
      </w:r>
      <w:r>
        <w:rPr>
          <w:rFonts w:hint="eastAsia" w:ascii="宋体" w:hAnsi="宋体" w:eastAsia="宋体" w:cs="宋体"/>
          <w:lang w:val="zh-CN"/>
        </w:rPr>
        <w:t>…………………………………………………………</w:t>
      </w:r>
      <w:r>
        <w:rPr>
          <w:rFonts w:hint="eastAsia" w:ascii="宋体" w:hAnsi="宋体" w:eastAsia="宋体" w:cs="宋体"/>
        </w:rPr>
        <w:t>…（页码）</w:t>
      </w:r>
    </w:p>
    <w:bookmarkEnd w:id="308"/>
    <w:p>
      <w:pPr>
        <w:spacing w:line="360" w:lineRule="auto"/>
        <w:rPr>
          <w:rFonts w:ascii="宋体" w:hAnsi="宋体" w:cs="宋体"/>
          <w:b/>
          <w:bCs/>
          <w:sz w:val="24"/>
        </w:rPr>
      </w:pPr>
      <w:r>
        <w:rPr>
          <w:rFonts w:hint="eastAsia" w:ascii="宋体" w:hAnsi="宋体" w:cs="宋体"/>
          <w:b/>
          <w:bCs/>
          <w:sz w:val="24"/>
        </w:rPr>
        <w:t>注：以上目录是基本格式要求，各投标人可根据自身情况进一步向下增加内容或细化。</w:t>
      </w:r>
    </w:p>
    <w:p>
      <w:pPr>
        <w:snapToGrid w:val="0"/>
        <w:spacing w:line="360" w:lineRule="auto"/>
        <w:ind w:firstLine="420" w:firstLineChars="200"/>
        <w:jc w:val="left"/>
        <w:rPr>
          <w:rFonts w:ascii="宋体" w:hAnsi="宋体" w:cs="宋体"/>
        </w:rPr>
        <w:sectPr>
          <w:pgSz w:w="11906" w:h="16838"/>
          <w:pgMar w:top="1440" w:right="1080" w:bottom="1440" w:left="1080" w:header="720" w:footer="720" w:gutter="0"/>
          <w:cols w:space="720" w:num="1"/>
          <w:docGrid w:type="lines" w:linePitch="331" w:charSpace="0"/>
        </w:sectPr>
      </w:pPr>
    </w:p>
    <w:p>
      <w:pPr>
        <w:snapToGrid w:val="0"/>
        <w:spacing w:before="120" w:beforeLines="50" w:after="50" w:line="360" w:lineRule="auto"/>
        <w:ind w:left="420"/>
        <w:jc w:val="center"/>
        <w:rPr>
          <w:rFonts w:ascii="宋体" w:hAnsi="宋体" w:cs="宋体"/>
          <w:b/>
          <w:bCs/>
          <w:sz w:val="30"/>
          <w:szCs w:val="30"/>
        </w:rPr>
      </w:pPr>
      <w:r>
        <w:rPr>
          <w:rFonts w:hint="eastAsia" w:ascii="宋体" w:hAnsi="宋体" w:cs="宋体"/>
          <w:b/>
          <w:bCs/>
          <w:sz w:val="30"/>
          <w:szCs w:val="30"/>
        </w:rPr>
        <w:t>一、无串通投标行为承诺函</w:t>
      </w:r>
    </w:p>
    <w:p>
      <w:pPr>
        <w:snapToGrid w:val="0"/>
        <w:spacing w:before="120" w:beforeLines="50" w:after="50" w:line="360" w:lineRule="auto"/>
        <w:ind w:left="420"/>
        <w:jc w:val="center"/>
        <w:rPr>
          <w:rFonts w:ascii="宋体" w:hAnsi="宋体" w:cs="宋体"/>
          <w:b/>
          <w:sz w:val="32"/>
          <w:szCs w:val="32"/>
        </w:rPr>
      </w:pPr>
      <w:r>
        <w:rPr>
          <w:rFonts w:hint="eastAsia" w:ascii="宋体" w:hAnsi="宋体" w:cs="宋体"/>
          <w:b/>
          <w:sz w:val="32"/>
          <w:szCs w:val="32"/>
        </w:rPr>
        <w:t>投标人参加本项目无围标串通投标行为的承诺函</w:t>
      </w:r>
    </w:p>
    <w:p>
      <w:pPr>
        <w:snapToGrid w:val="0"/>
        <w:spacing w:before="120" w:beforeLines="50" w:after="50" w:line="360" w:lineRule="auto"/>
        <w:rPr>
          <w:rFonts w:ascii="宋体" w:hAnsi="宋体" w:cs="宋体"/>
          <w:b/>
          <w:szCs w:val="21"/>
        </w:rPr>
      </w:pPr>
    </w:p>
    <w:p>
      <w:pPr>
        <w:snapToGrid w:val="0"/>
        <w:spacing w:before="120" w:beforeLines="50" w:after="50" w:line="360" w:lineRule="auto"/>
        <w:jc w:val="left"/>
        <w:rPr>
          <w:rFonts w:ascii="宋体" w:hAnsi="宋体" w:cs="宋体"/>
          <w:b/>
          <w:szCs w:val="21"/>
        </w:rPr>
      </w:pPr>
      <w:r>
        <w:rPr>
          <w:rFonts w:hint="eastAsia" w:ascii="宋体" w:hAnsi="宋体" w:cs="宋体"/>
          <w:b/>
          <w:szCs w:val="21"/>
        </w:rPr>
        <w:t>一、我方承诺无下列相互串通投标的情形：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1.不同投标人的投标文件由同一单位或者个人编制；或者不同投标人报名的IP地址一致的；或者编制标书硬件设备CPU编号、硬盘编号、网卡地址一致的情况。</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2.不同投标人委托同一单位或者个人办理投标事宜；</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3.不同的投标人的投标文件载明的项目管理员为同一个人；</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4.不同投标人的投标文件异常一致或者投标报价呈规律性差异；</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5.不同投标人的投标文件相互混装；</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6.不同投标人的投标保证金从同一单位或者个人账户转出。</w:t>
      </w:r>
    </w:p>
    <w:p>
      <w:pPr>
        <w:snapToGrid w:val="0"/>
        <w:spacing w:before="120" w:beforeLines="50" w:after="50" w:line="360" w:lineRule="auto"/>
        <w:jc w:val="left"/>
        <w:rPr>
          <w:rFonts w:ascii="宋体" w:hAnsi="宋体" w:cs="宋体"/>
          <w:szCs w:val="21"/>
        </w:rPr>
      </w:pPr>
      <w:r>
        <w:rPr>
          <w:rFonts w:hint="eastAsia" w:ascii="宋体" w:hAnsi="宋体" w:cs="宋体"/>
          <w:b/>
          <w:szCs w:val="21"/>
        </w:rPr>
        <w:t>二、我方承诺无下列恶意串通的情形：</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1.投标人直接或者间接从采购人或者采购代理机构处获得其他投标人的相关信息并修改其投标文件或者投标文件；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2.投标人按照采购人或者采购代理机构的授意撤换、修改投标文件或者投标文件；</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3.投标人之间协商报价、技术方案等投标文件或者投标文件的实质性内容；</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4.属于同一集团、协会、商会等组织成员的投标人按照该组织要求协同参加政府采购活动；</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5.投标人之间事先约定一致抬高或者压低投标报价，或者在招标项目中事先约定轮流以高价位或者低价位中标，或者事先约定由某一特定投标人中标，然后再参加投标；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6.投标人之间商定部分投标人放弃参加政府采购活动或者放弃中标；</w:t>
      </w:r>
    </w:p>
    <w:p>
      <w:pPr>
        <w:snapToGrid w:val="0"/>
        <w:spacing w:before="120" w:beforeLines="50" w:after="50" w:line="360" w:lineRule="auto"/>
        <w:ind w:firstLine="411" w:firstLineChars="196"/>
        <w:jc w:val="left"/>
        <w:rPr>
          <w:rFonts w:ascii="宋体" w:hAnsi="宋体" w:cs="宋体"/>
          <w:szCs w:val="21"/>
        </w:rPr>
      </w:pPr>
      <w:r>
        <w:rPr>
          <w:rFonts w:hint="eastAsia" w:ascii="宋体" w:hAnsi="宋体" w:cs="宋体"/>
          <w:szCs w:val="21"/>
        </w:rPr>
        <w:t>7.投标人与采购人或者采购代理机构之间、投标人相互之间，为谋求特定投标人中标或者排斥其他投标人的其他串通行为。</w:t>
      </w:r>
    </w:p>
    <w:p>
      <w:pPr>
        <w:snapToGrid w:val="0"/>
        <w:spacing w:before="120" w:beforeLines="50" w:after="50" w:line="360" w:lineRule="auto"/>
        <w:ind w:firstLine="413" w:firstLineChars="196"/>
        <w:jc w:val="left"/>
        <w:rPr>
          <w:rFonts w:ascii="宋体" w:hAnsi="宋体" w:cs="宋体"/>
          <w:b/>
          <w:szCs w:val="21"/>
        </w:rPr>
      </w:pPr>
      <w:r>
        <w:rPr>
          <w:rFonts w:hint="eastAsia" w:ascii="宋体" w:hAnsi="宋体" w:cs="宋体"/>
          <w:b/>
          <w:szCs w:val="21"/>
        </w:rPr>
        <w:t>以上情形一经核查属实，接受政府采购监管部门对我方认定存在围标串标行为，我方愿意承担一切后果，并不再寻求任何旨在减轻或者免除法律责任的辩解。</w:t>
      </w: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napToGrid w:val="0"/>
        <w:spacing w:before="295" w:after="295" w:line="360" w:lineRule="auto"/>
        <w:jc w:val="center"/>
        <w:rPr>
          <w:rFonts w:hAnsi="宋体" w:cs="宋体"/>
          <w:b/>
          <w:sz w:val="24"/>
        </w:rPr>
      </w:pPr>
      <w:r>
        <w:rPr>
          <w:rFonts w:hint="eastAsia" w:hAnsi="宋体" w:cs="宋体"/>
          <w:b/>
          <w:sz w:val="24"/>
        </w:rPr>
        <w:br w:type="page"/>
      </w:r>
      <w:r>
        <w:rPr>
          <w:rFonts w:hint="eastAsia" w:hAnsi="宋体" w:cs="宋体"/>
          <w:b/>
          <w:bCs/>
          <w:sz w:val="30"/>
          <w:szCs w:val="30"/>
        </w:rPr>
        <w:t>二、法定代表人身份证明</w:t>
      </w:r>
    </w:p>
    <w:p>
      <w:pPr>
        <w:spacing w:before="240" w:beforeLines="100" w:after="120" w:afterLines="50" w:line="360" w:lineRule="auto"/>
        <w:ind w:left="540"/>
        <w:jc w:val="center"/>
        <w:rPr>
          <w:rFonts w:ascii="宋体" w:hAnsi="宋体" w:cs="宋体"/>
          <w:b/>
          <w:sz w:val="32"/>
          <w:szCs w:val="32"/>
        </w:rPr>
      </w:pPr>
    </w:p>
    <w:p>
      <w:pPr>
        <w:spacing w:before="240" w:beforeLines="100" w:after="120" w:afterLines="50" w:line="360" w:lineRule="auto"/>
        <w:ind w:left="540"/>
        <w:jc w:val="center"/>
        <w:rPr>
          <w:rFonts w:ascii="宋体" w:hAnsi="宋体" w:cs="宋体"/>
          <w:sz w:val="32"/>
          <w:szCs w:val="32"/>
        </w:rPr>
      </w:pPr>
      <w:r>
        <w:rPr>
          <w:rFonts w:hint="eastAsia" w:ascii="宋体" w:hAnsi="宋体" w:cs="宋体"/>
          <w:b/>
          <w:sz w:val="32"/>
          <w:szCs w:val="32"/>
        </w:rPr>
        <w:t>法定代表人身份证明</w:t>
      </w:r>
    </w:p>
    <w:p>
      <w:pPr>
        <w:spacing w:line="360" w:lineRule="auto"/>
        <w:ind w:left="540"/>
        <w:rPr>
          <w:rFonts w:ascii="宋体" w:hAnsi="宋体" w:cs="宋体"/>
          <w:sz w:val="24"/>
        </w:rPr>
      </w:pPr>
      <w:r>
        <w:rPr>
          <w:rFonts w:hint="eastAsia" w:ascii="宋体" w:hAnsi="宋体" w:cs="宋体"/>
          <w:sz w:val="24"/>
        </w:rPr>
        <w:t>投 标 人：</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地    址：</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姓    名：</w:t>
      </w:r>
      <w:r>
        <w:rPr>
          <w:rFonts w:hint="eastAsia" w:ascii="宋体" w:hAnsi="宋体" w:cs="宋体"/>
          <w:sz w:val="24"/>
          <w:u w:val="single"/>
        </w:rPr>
        <w:t xml:space="preserve">                          </w:t>
      </w:r>
      <w:r>
        <w:rPr>
          <w:rFonts w:hint="eastAsia" w:ascii="宋体" w:hAnsi="宋体" w:cs="宋体"/>
          <w:sz w:val="24"/>
        </w:rPr>
        <w:t>性      别：</w:t>
      </w:r>
      <w:r>
        <w:rPr>
          <w:rFonts w:hint="eastAsia" w:ascii="宋体" w:hAnsi="宋体" w:cs="宋体"/>
          <w:sz w:val="24"/>
          <w:u w:val="single"/>
        </w:rPr>
        <w:t xml:space="preserve">                </w:t>
      </w:r>
    </w:p>
    <w:p>
      <w:pPr>
        <w:spacing w:line="360" w:lineRule="auto"/>
        <w:ind w:left="540"/>
        <w:rPr>
          <w:rFonts w:ascii="宋体" w:hAnsi="宋体" w:cs="宋体"/>
          <w:sz w:val="24"/>
          <w:u w:val="single"/>
        </w:rPr>
      </w:pPr>
      <w:r>
        <w:rPr>
          <w:rFonts w:hint="eastAsia" w:ascii="宋体" w:hAnsi="宋体" w:cs="宋体"/>
          <w:sz w:val="24"/>
        </w:rPr>
        <w:t>年    龄：</w:t>
      </w:r>
      <w:r>
        <w:rPr>
          <w:rFonts w:hint="eastAsia" w:ascii="宋体" w:hAnsi="宋体" w:cs="宋体"/>
          <w:sz w:val="24"/>
          <w:u w:val="single"/>
        </w:rPr>
        <w:t xml:space="preserve">                          </w:t>
      </w:r>
      <w:r>
        <w:rPr>
          <w:rFonts w:hint="eastAsia" w:ascii="宋体" w:hAnsi="宋体" w:cs="宋体"/>
          <w:sz w:val="24"/>
        </w:rPr>
        <w:t>职      务：</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身份证号码：</w:t>
      </w:r>
      <w:r>
        <w:rPr>
          <w:rFonts w:hint="eastAsia" w:ascii="宋体" w:hAnsi="宋体" w:cs="宋体"/>
          <w:sz w:val="24"/>
          <w:u w:val="single"/>
        </w:rPr>
        <w:t xml:space="preserve">                                 </w:t>
      </w:r>
    </w:p>
    <w:p>
      <w:pPr>
        <w:spacing w:line="360" w:lineRule="auto"/>
        <w:ind w:left="540"/>
        <w:rPr>
          <w:rFonts w:ascii="宋体" w:hAnsi="宋体" w:cs="宋体"/>
          <w:sz w:val="24"/>
        </w:rPr>
      </w:pPr>
      <w:r>
        <w:rPr>
          <w:rFonts w:hint="eastAsia" w:ascii="宋体" w:hAnsi="宋体" w:cs="宋体"/>
          <w:sz w:val="24"/>
        </w:rPr>
        <w:t>系</w:t>
      </w:r>
      <w:r>
        <w:rPr>
          <w:rFonts w:hint="eastAsia" w:ascii="宋体" w:hAnsi="宋体" w:cs="宋体"/>
          <w:sz w:val="24"/>
          <w:u w:val="single"/>
        </w:rPr>
        <w:t xml:space="preserve">            （投标人名称）              </w:t>
      </w:r>
      <w:r>
        <w:rPr>
          <w:rFonts w:hint="eastAsia" w:ascii="宋体" w:hAnsi="宋体" w:cs="宋体"/>
          <w:sz w:val="24"/>
        </w:rPr>
        <w:t>的法定代表人。</w:t>
      </w:r>
    </w:p>
    <w:p>
      <w:pPr>
        <w:spacing w:line="360" w:lineRule="auto"/>
        <w:ind w:left="540"/>
        <w:rPr>
          <w:rFonts w:ascii="宋体" w:hAnsi="宋体" w:cs="宋体"/>
          <w:sz w:val="24"/>
        </w:rPr>
      </w:pPr>
      <w:r>
        <w:rPr>
          <w:rFonts w:hint="eastAsia" w:ascii="宋体" w:hAnsi="宋体" w:cs="宋体"/>
          <w:sz w:val="24"/>
        </w:rPr>
        <w:t>特此证明。</w:t>
      </w:r>
    </w:p>
    <w:p>
      <w:pPr>
        <w:spacing w:line="360" w:lineRule="auto"/>
        <w:ind w:left="540"/>
        <w:rPr>
          <w:rFonts w:ascii="宋体" w:hAnsi="宋体" w:cs="宋体"/>
          <w:sz w:val="24"/>
        </w:rPr>
      </w:pPr>
    </w:p>
    <w:p>
      <w:pPr>
        <w:spacing w:line="360" w:lineRule="auto"/>
        <w:ind w:left="540"/>
        <w:rPr>
          <w:rFonts w:ascii="宋体" w:hAnsi="宋体" w:cs="宋体"/>
          <w:sz w:val="24"/>
        </w:rPr>
      </w:pPr>
    </w:p>
    <w:p>
      <w:pPr>
        <w:spacing w:line="360" w:lineRule="auto"/>
        <w:ind w:left="540"/>
        <w:rPr>
          <w:rFonts w:ascii="宋体" w:hAnsi="宋体" w:cs="宋体"/>
          <w:sz w:val="24"/>
        </w:rPr>
      </w:pPr>
      <w:r>
        <w:rPr>
          <w:rFonts w:hint="eastAsia" w:ascii="宋体" w:hAnsi="宋体" w:cs="宋体"/>
          <w:sz w:val="24"/>
        </w:rPr>
        <w:t>附件：法定代表人有效身份证正反面复印件</w:t>
      </w:r>
    </w:p>
    <w:p>
      <w:pPr>
        <w:spacing w:line="360" w:lineRule="auto"/>
        <w:ind w:left="540"/>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jc w:val="center"/>
        <w:rPr>
          <w:rFonts w:ascii="宋体" w:hAnsi="宋体" w:cs="宋体"/>
          <w:b/>
          <w:sz w:val="24"/>
        </w:rPr>
      </w:pPr>
    </w:p>
    <w:p>
      <w:pPr>
        <w:snapToGrid w:val="0"/>
        <w:spacing w:before="120" w:beforeLines="50" w:after="50" w:line="360" w:lineRule="auto"/>
        <w:ind w:firstLine="600" w:firstLineChars="250"/>
        <w:jc w:val="left"/>
        <w:rPr>
          <w:rFonts w:ascii="宋体" w:hAnsi="宋体" w:cs="宋体"/>
          <w:sz w:val="24"/>
        </w:rPr>
      </w:pPr>
      <w:r>
        <w:rPr>
          <w:rFonts w:hint="eastAsia" w:ascii="宋体" w:hAnsi="宋体" w:cs="宋体"/>
          <w:sz w:val="24"/>
        </w:rPr>
        <w:t>注：自然人投标的无需提供</w:t>
      </w:r>
    </w:p>
    <w:p>
      <w:pPr>
        <w:snapToGrid w:val="0"/>
        <w:spacing w:before="120" w:beforeLines="50" w:after="50" w:line="360" w:lineRule="auto"/>
        <w:ind w:firstLine="600" w:firstLineChars="250"/>
        <w:jc w:val="left"/>
        <w:rPr>
          <w:rFonts w:ascii="宋体" w:hAnsi="宋体" w:cs="宋体"/>
          <w:sz w:val="24"/>
        </w:rPr>
      </w:pPr>
    </w:p>
    <w:p>
      <w:pPr>
        <w:snapToGrid w:val="0"/>
        <w:spacing w:before="120" w:beforeLines="50" w:after="50" w:line="360" w:lineRule="auto"/>
        <w:ind w:firstLine="602" w:firstLineChars="250"/>
        <w:jc w:val="left"/>
        <w:rPr>
          <w:rFonts w:ascii="宋体" w:hAnsi="宋体" w:cs="宋体"/>
          <w:b/>
          <w:sz w:val="24"/>
          <w:szCs w:val="20"/>
        </w:rPr>
      </w:pPr>
    </w:p>
    <w:tbl>
      <w:tblPr>
        <w:tblStyle w:val="25"/>
        <w:tblpPr w:leftFromText="180" w:rightFromText="180" w:vertAnchor="text" w:horzAnchor="margin" w:tblpXSpec="center" w:tblpY="116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jc w:val="center"/>
        </w:trPr>
        <w:tc>
          <w:tcPr>
            <w:tcW w:w="8461"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法定代表身份证复印件粘贴处（正、反面）</w:t>
            </w:r>
          </w:p>
        </w:tc>
      </w:tr>
    </w:tbl>
    <w:p>
      <w:pPr>
        <w:pStyle w:val="12"/>
        <w:snapToGrid w:val="0"/>
        <w:spacing w:before="295" w:after="295" w:line="360" w:lineRule="auto"/>
        <w:jc w:val="center"/>
        <w:rPr>
          <w:rFonts w:hAnsi="宋体" w:cs="宋体"/>
          <w:b/>
          <w:sz w:val="24"/>
        </w:rPr>
      </w:pPr>
      <w:r>
        <w:rPr>
          <w:rFonts w:hint="eastAsia" w:hAnsi="宋体" w:cs="宋体"/>
          <w:b/>
          <w:sz w:val="24"/>
        </w:rPr>
        <w:t>附件：</w:t>
      </w:r>
      <w:r>
        <w:rPr>
          <w:rFonts w:hint="eastAsia" w:hAnsi="宋体" w:cs="宋体"/>
          <w:b/>
          <w:sz w:val="24"/>
        </w:rPr>
        <w:br w:type="page"/>
      </w:r>
      <w:r>
        <w:rPr>
          <w:rFonts w:hint="eastAsia" w:hAnsi="宋体" w:cs="宋体"/>
          <w:b/>
          <w:bCs/>
          <w:sz w:val="30"/>
          <w:szCs w:val="30"/>
        </w:rPr>
        <w:t>三、法定代表人授权委托书（如有委托时）</w:t>
      </w:r>
    </w:p>
    <w:p>
      <w:pPr>
        <w:snapToGrid w:val="0"/>
        <w:spacing w:before="120" w:beforeLines="50" w:after="50" w:line="360" w:lineRule="auto"/>
        <w:jc w:val="center"/>
        <w:rPr>
          <w:rFonts w:ascii="宋体" w:hAnsi="宋体" w:cs="宋体"/>
          <w:b/>
          <w:sz w:val="32"/>
          <w:szCs w:val="32"/>
        </w:rPr>
      </w:pPr>
      <w:r>
        <w:rPr>
          <w:rFonts w:hint="eastAsia" w:ascii="宋体" w:hAnsi="宋体" w:cs="宋体"/>
          <w:b/>
          <w:sz w:val="32"/>
          <w:szCs w:val="32"/>
        </w:rPr>
        <w:t>法定代表人授权委托书</w:t>
      </w:r>
    </w:p>
    <w:p>
      <w:pPr>
        <w:snapToGrid w:val="0"/>
        <w:spacing w:before="120" w:beforeLines="50" w:after="50" w:line="360" w:lineRule="auto"/>
        <w:jc w:val="center"/>
        <w:rPr>
          <w:rFonts w:ascii="宋体" w:hAnsi="宋体" w:cs="宋体"/>
          <w:b/>
          <w:sz w:val="24"/>
        </w:rPr>
      </w:pPr>
    </w:p>
    <w:p>
      <w:pPr>
        <w:pStyle w:val="12"/>
        <w:spacing w:line="360" w:lineRule="auto"/>
        <w:ind w:firstLine="420" w:firstLineChars="200"/>
        <w:rPr>
          <w:rFonts w:hAnsi="宋体" w:cs="宋体"/>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本人</w:t>
      </w:r>
      <w:r>
        <w:rPr>
          <w:rFonts w:hint="eastAsia" w:hAnsi="宋体" w:cs="宋体"/>
          <w:u w:val="single"/>
        </w:rPr>
        <w:t xml:space="preserve">        </w:t>
      </w:r>
      <w:r>
        <w:rPr>
          <w:rFonts w:hint="eastAsia" w:hAnsi="宋体" w:cs="宋体"/>
        </w:rPr>
        <w:t>（姓名）系</w:t>
      </w:r>
      <w:r>
        <w:rPr>
          <w:rFonts w:hint="eastAsia" w:hAnsi="宋体" w:cs="宋体"/>
          <w:u w:val="single"/>
        </w:rPr>
        <w:t xml:space="preserve">                 </w:t>
      </w:r>
      <w:r>
        <w:rPr>
          <w:rFonts w:hint="eastAsia" w:hAnsi="宋体" w:cs="宋体"/>
        </w:rPr>
        <w:t>（投标人名称）的法定代表人，现授权我单位在职正式员工</w:t>
      </w:r>
      <w:r>
        <w:rPr>
          <w:rFonts w:hint="eastAsia" w:hAnsi="宋体" w:cs="宋体"/>
          <w:u w:val="single"/>
        </w:rPr>
        <w:t xml:space="preserve">        </w:t>
      </w:r>
      <w:r>
        <w:rPr>
          <w:rFonts w:hint="eastAsia" w:hAnsi="宋体" w:cs="宋体"/>
        </w:rPr>
        <w:t>（姓名和职务）为我方代理人。代理人根据授权，以我方名义签署、澄清、说明、补正、递交、撤回、修改贵方组织的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）的投标文件、签订合同和处理一切有关事宜，其法律后果由我方承担。</w:t>
      </w:r>
    </w:p>
    <w:p>
      <w:pPr>
        <w:pStyle w:val="12"/>
        <w:spacing w:line="360" w:lineRule="auto"/>
        <w:ind w:firstLine="420" w:firstLineChars="200"/>
        <w:rPr>
          <w:rFonts w:hAnsi="宋体" w:cs="宋体"/>
        </w:rPr>
      </w:pPr>
      <w:r>
        <w:rPr>
          <w:rFonts w:hint="eastAsia" w:hAnsi="宋体" w:cs="宋体"/>
        </w:rPr>
        <w:t>本授权书于</w:t>
      </w:r>
      <w:r>
        <w:rPr>
          <w:rFonts w:hint="eastAsia" w:hAnsi="宋体" w:cs="宋体"/>
          <w:spacing w:val="10"/>
          <w:sz w:val="24"/>
          <w:u w:val="single"/>
        </w:rPr>
        <w:t xml:space="preserve">    </w:t>
      </w:r>
      <w:r>
        <w:rPr>
          <w:rFonts w:hint="eastAsia" w:hAnsi="宋体" w:cs="宋体"/>
        </w:rPr>
        <w:t>年</w:t>
      </w:r>
      <w:r>
        <w:rPr>
          <w:rFonts w:hint="eastAsia" w:hAnsi="宋体" w:cs="宋体"/>
          <w:spacing w:val="10"/>
          <w:sz w:val="24"/>
          <w:u w:val="single"/>
        </w:rPr>
        <w:t xml:space="preserve">    </w:t>
      </w:r>
      <w:r>
        <w:rPr>
          <w:rFonts w:hint="eastAsia" w:hAnsi="宋体" w:cs="宋体"/>
        </w:rPr>
        <w:t>月</w:t>
      </w:r>
      <w:r>
        <w:rPr>
          <w:rFonts w:hint="eastAsia" w:hAnsi="宋体" w:cs="宋体"/>
          <w:spacing w:val="10"/>
          <w:sz w:val="24"/>
          <w:u w:val="single"/>
        </w:rPr>
        <w:t xml:space="preserve">    </w:t>
      </w:r>
      <w:r>
        <w:rPr>
          <w:rFonts w:hint="eastAsia" w:hAnsi="宋体" w:cs="宋体"/>
        </w:rPr>
        <w:t>日签字生效，委托期限：</w:t>
      </w:r>
      <w:r>
        <w:rPr>
          <w:rFonts w:hint="eastAsia" w:hAnsi="宋体" w:cs="宋体"/>
          <w:spacing w:val="10"/>
          <w:sz w:val="24"/>
          <w:u w:val="single"/>
        </w:rPr>
        <w:t xml:space="preserve">    </w:t>
      </w:r>
      <w:r>
        <w:rPr>
          <w:rFonts w:hint="eastAsia" w:hAnsi="宋体" w:cs="宋体"/>
        </w:rPr>
        <w:t>。</w:t>
      </w:r>
    </w:p>
    <w:p>
      <w:pPr>
        <w:pStyle w:val="12"/>
        <w:spacing w:line="360" w:lineRule="auto"/>
        <w:ind w:firstLine="420"/>
        <w:rPr>
          <w:rFonts w:hAnsi="宋体" w:cs="宋体"/>
        </w:rPr>
      </w:pPr>
      <w:r>
        <w:rPr>
          <w:rFonts w:hint="eastAsia" w:hAnsi="宋体" w:cs="宋体"/>
        </w:rPr>
        <w:t>代理人无转委托权。</w:t>
      </w:r>
    </w:p>
    <w:p>
      <w:pPr>
        <w:pStyle w:val="12"/>
        <w:spacing w:line="360" w:lineRule="auto"/>
        <w:ind w:firstLine="420"/>
        <w:rPr>
          <w:rFonts w:hAnsi="宋体" w:cs="宋体"/>
        </w:rPr>
      </w:pPr>
    </w:p>
    <w:p>
      <w:pPr>
        <w:pStyle w:val="12"/>
        <w:spacing w:line="360" w:lineRule="auto"/>
        <w:ind w:firstLine="420"/>
        <w:rPr>
          <w:rFonts w:hAnsi="宋体" w:cs="宋体"/>
          <w:u w:val="single"/>
        </w:rPr>
      </w:pPr>
      <w:r>
        <w:rPr>
          <w:rFonts w:hint="eastAsia" w:hAnsi="宋体" w:cs="宋体"/>
        </w:rPr>
        <w:t>投标人（或联合体投标</w:t>
      </w:r>
      <w:r>
        <w:rPr>
          <w:rFonts w:hint="eastAsia" w:hAnsi="宋体" w:cs="宋体"/>
          <w:kern w:val="0"/>
          <w:szCs w:val="21"/>
        </w:rPr>
        <w:t>牵头人名称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法定代表人身份证号码：</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委托代理人（签字）：</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委托代理人身份证号码：</w:t>
      </w:r>
      <w:r>
        <w:rPr>
          <w:rFonts w:hint="eastAsia" w:hAnsi="宋体" w:cs="宋体"/>
          <w:u w:val="single"/>
        </w:rPr>
        <w:t xml:space="preserve">                                   </w:t>
      </w:r>
    </w:p>
    <w:p>
      <w:pPr>
        <w:pStyle w:val="12"/>
        <w:spacing w:line="360" w:lineRule="auto"/>
        <w:ind w:firstLine="420"/>
        <w:rPr>
          <w:rFonts w:hAnsi="宋体" w:cs="宋体"/>
          <w:u w:val="single"/>
        </w:rPr>
      </w:pPr>
    </w:p>
    <w:p>
      <w:pPr>
        <w:pStyle w:val="12"/>
        <w:spacing w:line="360" w:lineRule="auto"/>
        <w:ind w:firstLine="420"/>
        <w:rPr>
          <w:rFonts w:hAnsi="宋体" w:cs="宋体"/>
          <w:u w:val="single"/>
        </w:rPr>
      </w:pPr>
      <w:r>
        <w:rPr>
          <w:rFonts w:hint="eastAsia" w:hAnsi="宋体" w:cs="宋体"/>
          <w:kern w:val="0"/>
          <w:szCs w:val="21"/>
        </w:rPr>
        <w:t>成员一名称：</w:t>
      </w:r>
      <w:r>
        <w:rPr>
          <w:rFonts w:hint="eastAsia" w:hAnsi="宋体" w:cs="宋体"/>
        </w:rPr>
        <w:t>（盖单位公章）：</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法定代表人（签字）：</w:t>
      </w:r>
      <w:r>
        <w:rPr>
          <w:rFonts w:hint="eastAsia" w:hAnsi="宋体" w:cs="宋体"/>
          <w:u w:val="single"/>
        </w:rPr>
        <w:t xml:space="preserve">                                </w:t>
      </w:r>
    </w:p>
    <w:p>
      <w:pPr>
        <w:pStyle w:val="12"/>
        <w:spacing w:line="360" w:lineRule="auto"/>
        <w:ind w:firstLine="420"/>
        <w:rPr>
          <w:rFonts w:hAnsi="宋体" w:cs="宋体"/>
          <w:u w:val="single"/>
        </w:rPr>
      </w:pP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成员二名称：</w:t>
      </w:r>
      <w:r>
        <w:rPr>
          <w:rFonts w:hint="eastAsia" w:ascii="宋体" w:hAnsi="宋体" w:cs="宋体"/>
          <w:kern w:val="0"/>
          <w:szCs w:val="21"/>
          <w:u w:val="single"/>
        </w:rPr>
        <w:t xml:space="preserve">                                       </w:t>
      </w:r>
      <w:r>
        <w:rPr>
          <w:rFonts w:hint="eastAsia" w:ascii="宋体" w:hAnsi="宋体" w:cs="宋体"/>
          <w:kern w:val="0"/>
          <w:szCs w:val="21"/>
        </w:rPr>
        <w:t>（盖单位公章）</w:t>
      </w:r>
    </w:p>
    <w:p>
      <w:pPr>
        <w:autoSpaceDE w:val="0"/>
        <w:autoSpaceDN w:val="0"/>
        <w:adjustRightInd w:val="0"/>
        <w:spacing w:line="360" w:lineRule="auto"/>
        <w:ind w:firstLine="420" w:firstLineChars="200"/>
        <w:jc w:val="left"/>
        <w:rPr>
          <w:rFonts w:ascii="宋体" w:hAnsi="宋体" w:cs="宋体"/>
          <w:kern w:val="0"/>
          <w:szCs w:val="21"/>
        </w:rPr>
      </w:pPr>
      <w:r>
        <w:rPr>
          <w:rFonts w:hint="eastAsia" w:ascii="宋体" w:hAnsi="宋体" w:cs="宋体"/>
          <w:kern w:val="0"/>
          <w:szCs w:val="21"/>
        </w:rPr>
        <w:t>法定代表人或其委托代理人：</w:t>
      </w:r>
      <w:r>
        <w:rPr>
          <w:rFonts w:hint="eastAsia" w:ascii="宋体" w:hAnsi="宋体" w:cs="宋体"/>
          <w:kern w:val="0"/>
          <w:szCs w:val="21"/>
          <w:u w:val="single"/>
        </w:rPr>
        <w:t xml:space="preserve">                         </w:t>
      </w:r>
      <w:r>
        <w:rPr>
          <w:rFonts w:hint="eastAsia" w:ascii="宋体" w:hAnsi="宋体" w:cs="宋体"/>
          <w:kern w:val="0"/>
          <w:szCs w:val="21"/>
        </w:rPr>
        <w:t>（签字）</w:t>
      </w:r>
    </w:p>
    <w:p>
      <w:pPr>
        <w:pStyle w:val="12"/>
        <w:spacing w:line="360" w:lineRule="auto"/>
        <w:ind w:firstLine="420" w:firstLineChars="200"/>
        <w:rPr>
          <w:rFonts w:hAnsi="宋体" w:cs="宋体"/>
        </w:rPr>
      </w:pPr>
      <w:r>
        <w:rPr>
          <w:rFonts w:hint="eastAsia" w:hAnsi="宋体" w:cs="宋体"/>
        </w:rPr>
        <w:t>……</w:t>
      </w:r>
    </w:p>
    <w:p>
      <w:pPr>
        <w:spacing w:line="360" w:lineRule="auto"/>
        <w:rPr>
          <w:rFonts w:ascii="宋体" w:hAnsi="宋体" w:cs="宋体"/>
          <w:szCs w:val="21"/>
        </w:rPr>
      </w:pPr>
      <w:r>
        <w:rPr>
          <w:rFonts w:hint="eastAsia" w:ascii="宋体" w:hAnsi="宋体" w:cs="宋体"/>
          <w:szCs w:val="21"/>
        </w:rPr>
        <w:t>注：</w:t>
      </w:r>
    </w:p>
    <w:p>
      <w:pPr>
        <w:spacing w:line="360" w:lineRule="auto"/>
        <w:rPr>
          <w:rFonts w:ascii="宋体" w:hAnsi="宋体" w:cs="宋体"/>
          <w:szCs w:val="21"/>
        </w:rPr>
      </w:pPr>
      <w:r>
        <w:rPr>
          <w:rFonts w:hint="eastAsia" w:ascii="宋体" w:hAnsi="宋体" w:cs="宋体"/>
          <w:szCs w:val="21"/>
        </w:rPr>
        <w:t>1.法定代表人和委托代理人必须在授权委托书上亲笔签名，不得使用印章、签名章或者其他电子制版签名代替，</w:t>
      </w:r>
      <w:r>
        <w:rPr>
          <w:rFonts w:hint="eastAsia" w:ascii="宋体" w:hAnsi="宋体" w:cs="宋体"/>
          <w:b/>
          <w:bCs/>
          <w:szCs w:val="21"/>
        </w:rPr>
        <w:t>否则作无效投标处理</w:t>
      </w:r>
      <w:r>
        <w:rPr>
          <w:rFonts w:hint="eastAsia" w:ascii="宋体" w:hAnsi="宋体" w:cs="宋体"/>
          <w:szCs w:val="21"/>
        </w:rPr>
        <w:t>；</w:t>
      </w:r>
    </w:p>
    <w:p>
      <w:pPr>
        <w:spacing w:line="360" w:lineRule="auto"/>
        <w:jc w:val="left"/>
        <w:rPr>
          <w:rFonts w:ascii="宋体" w:hAnsi="宋体" w:cs="宋体"/>
          <w:szCs w:val="21"/>
        </w:rPr>
      </w:pPr>
      <w:r>
        <w:rPr>
          <w:rFonts w:hint="eastAsia" w:ascii="宋体" w:hAnsi="宋体" w:cs="宋体"/>
          <w:szCs w:val="21"/>
        </w:rPr>
        <w:t>2.以联合体形式投标的，本授权委托书应由联合体牵头人的法定代表人按上述规定签署。</w:t>
      </w:r>
    </w:p>
    <w:p>
      <w:pPr>
        <w:snapToGrid w:val="0"/>
        <w:spacing w:before="50" w:after="120" w:afterLines="50" w:line="360" w:lineRule="auto"/>
        <w:jc w:val="left"/>
        <w:rPr>
          <w:rFonts w:ascii="宋体" w:hAnsi="宋体" w:cs="宋体"/>
          <w:szCs w:val="21"/>
        </w:rPr>
      </w:pPr>
      <w:r>
        <w:rPr>
          <w:rFonts w:hint="eastAsia" w:ascii="宋体" w:hAnsi="宋体" w:cs="宋体"/>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pPr>
        <w:snapToGrid w:val="0"/>
        <w:spacing w:before="50" w:after="120" w:afterLines="50" w:line="360" w:lineRule="auto"/>
        <w:jc w:val="left"/>
        <w:rPr>
          <w:rFonts w:ascii="宋体" w:hAnsi="宋体" w:cs="宋体"/>
          <w:szCs w:val="21"/>
        </w:rPr>
      </w:pPr>
      <w:r>
        <w:rPr>
          <w:rFonts w:hint="eastAsia" w:ascii="宋体" w:hAnsi="宋体" w:cs="宋体"/>
          <w:szCs w:val="21"/>
        </w:rPr>
        <w:t>4. 若为联合体投标须各方签字或盖章。</w:t>
      </w:r>
    </w:p>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附件：</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8" w:hRule="atLeast"/>
          <w:jc w:val="center"/>
        </w:trPr>
        <w:tc>
          <w:tcPr>
            <w:tcW w:w="7985" w:type="dxa"/>
          </w:tcPr>
          <w:p>
            <w:pPr>
              <w:spacing w:line="360" w:lineRule="auto"/>
              <w:rPr>
                <w:rFonts w:ascii="宋体" w:hAnsi="宋体" w:cs="宋体"/>
                <w:b/>
                <w:sz w:val="24"/>
              </w:rPr>
            </w:pPr>
          </w:p>
          <w:p>
            <w:pPr>
              <w:spacing w:line="360" w:lineRule="auto"/>
              <w:rPr>
                <w:rFonts w:ascii="宋体" w:hAnsi="宋体" w:cs="宋体"/>
                <w:b/>
                <w:sz w:val="24"/>
              </w:rPr>
            </w:pPr>
            <w:r>
              <w:rPr>
                <w:rFonts w:hint="eastAsia" w:ascii="宋体" w:hAnsi="宋体" w:cs="宋体"/>
                <w:b/>
                <w:sz w:val="24"/>
              </w:rPr>
              <w:t>全权代表身份证复印件粘贴处（正、反面）</w:t>
            </w:r>
          </w:p>
        </w:tc>
      </w:tr>
    </w:tbl>
    <w:p>
      <w:pPr>
        <w:snapToGrid w:val="0"/>
        <w:spacing w:before="50" w:after="120" w:afterLines="50" w:line="360" w:lineRule="auto"/>
        <w:jc w:val="left"/>
        <w:rPr>
          <w:rFonts w:ascii="宋体" w:hAnsi="宋体" w:cs="宋体"/>
          <w:szCs w:val="21"/>
        </w:rPr>
      </w:pPr>
    </w:p>
    <w:p>
      <w:pPr>
        <w:snapToGrid w:val="0"/>
        <w:spacing w:before="120" w:beforeLines="50" w:after="50" w:line="360" w:lineRule="auto"/>
        <w:ind w:firstLine="711" w:firstLineChars="236"/>
        <w:jc w:val="center"/>
        <w:rPr>
          <w:rFonts w:ascii="宋体" w:hAnsi="宋体" w:cs="宋体"/>
          <w:b/>
          <w:bCs/>
          <w:sz w:val="30"/>
          <w:szCs w:val="30"/>
        </w:rPr>
        <w:sectPr>
          <w:footerReference r:id="rId10" w:type="first"/>
          <w:footerReference r:id="rId8" w:type="default"/>
          <w:footerReference r:id="rId9" w:type="even"/>
          <w:pgSz w:w="11906" w:h="16838"/>
          <w:pgMar w:top="1440" w:right="1080" w:bottom="1440" w:left="1080" w:header="851" w:footer="992" w:gutter="0"/>
          <w:cols w:space="720" w:num="1"/>
          <w:docGrid w:linePitch="312" w:charSpace="0"/>
        </w:sectPr>
      </w:pPr>
    </w:p>
    <w:p>
      <w:pPr>
        <w:snapToGrid w:val="0"/>
        <w:spacing w:before="120" w:beforeLines="50" w:after="50" w:line="360" w:lineRule="auto"/>
        <w:ind w:firstLine="711" w:firstLineChars="236"/>
        <w:jc w:val="center"/>
        <w:rPr>
          <w:rFonts w:ascii="宋体" w:hAnsi="宋体" w:cs="宋体"/>
          <w:b/>
          <w:bCs/>
          <w:sz w:val="30"/>
          <w:szCs w:val="30"/>
        </w:rPr>
      </w:pPr>
      <w:r>
        <w:rPr>
          <w:rFonts w:hint="eastAsia" w:ascii="宋体" w:hAnsi="宋体" w:cs="宋体"/>
          <w:b/>
          <w:bCs/>
          <w:sz w:val="30"/>
          <w:szCs w:val="30"/>
        </w:rPr>
        <w:t>四、商务条款偏离表</w:t>
      </w:r>
    </w:p>
    <w:p>
      <w:pPr>
        <w:spacing w:line="360" w:lineRule="auto"/>
        <w:jc w:val="center"/>
        <w:rPr>
          <w:rFonts w:ascii="宋体" w:hAnsi="宋体" w:cs="宋体"/>
          <w:b/>
          <w:sz w:val="24"/>
          <w:szCs w:val="20"/>
        </w:rPr>
      </w:pPr>
      <w:r>
        <w:rPr>
          <w:rFonts w:hint="eastAsia" w:ascii="宋体" w:hAnsi="宋体" w:cs="宋体"/>
          <w:sz w:val="30"/>
          <w:szCs w:val="20"/>
        </w:rPr>
        <w:t>（注：按项目需求表具体项目修改）</w:t>
      </w:r>
    </w:p>
    <w:p>
      <w:pPr>
        <w:snapToGrid w:val="0"/>
        <w:spacing w:before="50" w:line="360" w:lineRule="auto"/>
        <w:jc w:val="left"/>
        <w:rPr>
          <w:rFonts w:ascii="宋体" w:hAnsi="宋体" w:cs="宋体"/>
          <w:sz w:val="24"/>
        </w:rPr>
      </w:pPr>
    </w:p>
    <w:p>
      <w:pPr>
        <w:pStyle w:val="12"/>
        <w:spacing w:line="360" w:lineRule="auto"/>
        <w:ind w:left="-424" w:leftChars="-202" w:firstLine="846"/>
        <w:rPr>
          <w:rFonts w:hAnsi="宋体" w:cs="宋体"/>
          <w:sz w:val="24"/>
          <w:szCs w:val="24"/>
        </w:rPr>
      </w:pPr>
      <w:r>
        <w:rPr>
          <w:rFonts w:hint="eastAsia" w:hAnsi="宋体" w:cs="宋体"/>
        </w:rPr>
        <w:t>请逐条对应本项目招标文件第二章“货物需求一览表”中“商务条款”的要求，详细填写相应的具体内容。“偏离说明”一栏应当选择“正偏离”、“负偏离”或“无偏离”进行填写。</w:t>
      </w:r>
    </w:p>
    <w:tbl>
      <w:tblPr>
        <w:tblStyle w:val="25"/>
        <w:tblpPr w:leftFromText="180" w:rightFromText="180" w:vertAnchor="text" w:horzAnchor="margin" w:tblpXSpec="center" w:tblpY="9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589"/>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项号</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招标文件的商务需求</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投标文件承诺的商务条款</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一</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二</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92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58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7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bl>
    <w:p>
      <w:pPr>
        <w:pStyle w:val="12"/>
        <w:spacing w:line="360" w:lineRule="auto"/>
        <w:ind w:left="-708" w:leftChars="-337"/>
        <w:rPr>
          <w:rFonts w:hAnsi="宋体" w:cs="宋体"/>
        </w:rPr>
      </w:pPr>
    </w:p>
    <w:p>
      <w:pPr>
        <w:pStyle w:val="12"/>
        <w:spacing w:line="360" w:lineRule="auto"/>
        <w:ind w:left="-8" w:firstLine="7"/>
        <w:rPr>
          <w:rFonts w:hAnsi="宋体" w:cs="宋体"/>
        </w:rPr>
      </w:pPr>
      <w:r>
        <w:rPr>
          <w:rFonts w:hint="eastAsia" w:hAnsi="宋体" w:cs="宋体"/>
        </w:rPr>
        <w:t>注：</w:t>
      </w:r>
    </w:p>
    <w:p>
      <w:pPr>
        <w:pStyle w:val="12"/>
        <w:spacing w:line="360" w:lineRule="auto"/>
        <w:ind w:left="-8" w:firstLine="428"/>
        <w:rPr>
          <w:rFonts w:hAnsi="宋体" w:cs="宋体"/>
        </w:rPr>
      </w:pPr>
      <w:r>
        <w:rPr>
          <w:rFonts w:hint="eastAsia" w:hAnsi="宋体" w:cs="宋体"/>
        </w:rPr>
        <w:t>1.表格内容均需按要求填写并盖章，不得留空，否则按投标无效处理。</w:t>
      </w:r>
    </w:p>
    <w:p>
      <w:pPr>
        <w:pStyle w:val="12"/>
        <w:spacing w:line="360" w:lineRule="auto"/>
        <w:ind w:left="-8" w:firstLine="428"/>
        <w:rPr>
          <w:rFonts w:hAnsi="宋体" w:cs="宋体"/>
        </w:rPr>
      </w:pPr>
      <w:r>
        <w:rPr>
          <w:rFonts w:hint="eastAsia" w:hAnsi="宋体" w:cs="宋体"/>
        </w:rPr>
        <w:t>2.如果招标文件需求为小于或大于某个数值标准时，投标文件承诺不得直接复制招标文件需求，投标文件承诺内容应当写明投标货物具体参数或商务响应承诺的具体数值，否则按投标无效处理。</w:t>
      </w:r>
    </w:p>
    <w:p>
      <w:pPr>
        <w:pStyle w:val="12"/>
        <w:spacing w:line="360" w:lineRule="auto"/>
        <w:ind w:left="-8" w:firstLine="428"/>
        <w:rPr>
          <w:rFonts w:hAnsi="宋体" w:cs="宋体"/>
        </w:rPr>
      </w:pPr>
      <w:r>
        <w:rPr>
          <w:rFonts w:hint="eastAsia" w:hAnsi="宋体" w:cs="宋体"/>
        </w:rPr>
        <w:t>3.当投标文件的商务内容低于招标文件要求时，投标人应当如实写明“负偏离”，否则视为虚假应标。</w:t>
      </w:r>
    </w:p>
    <w:p>
      <w:pPr>
        <w:pStyle w:val="12"/>
        <w:spacing w:line="360" w:lineRule="auto"/>
        <w:ind w:left="-8" w:firstLine="428"/>
        <w:rPr>
          <w:rFonts w:hAnsi="宋体" w:cs="宋体"/>
        </w:rPr>
      </w:pPr>
      <w:r>
        <w:rPr>
          <w:rFonts w:hint="eastAsia" w:hAnsi="宋体" w:cs="宋体"/>
          <w:szCs w:val="21"/>
        </w:rPr>
        <w:t>4.采购需求中带“▲”及“★”的条款，也要分别在本表“投标文件的商务需求”、“投标文件承诺的商务条款”中标记。</w:t>
      </w:r>
    </w:p>
    <w:p>
      <w:pPr>
        <w:snapToGrid w:val="0"/>
        <w:spacing w:before="50" w:after="50" w:line="360" w:lineRule="auto"/>
        <w:rPr>
          <w:rFonts w:ascii="宋体" w:hAnsi="宋体" w:cs="宋体"/>
          <w:sz w:val="24"/>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20" w:beforeLines="50" w:after="50" w:line="360" w:lineRule="auto"/>
        <w:ind w:firstLine="3150" w:firstLineChars="1500"/>
        <w:jc w:val="left"/>
        <w:rPr>
          <w:rFonts w:ascii="宋体" w:hAnsi="宋体" w:cs="宋体"/>
          <w:szCs w:val="21"/>
        </w:rPr>
        <w:sectPr>
          <w:pgSz w:w="11906" w:h="16838"/>
          <w:pgMar w:top="1440" w:right="1080" w:bottom="1440" w:left="1080" w:header="851" w:footer="992" w:gutter="0"/>
          <w:cols w:space="720" w:num="1"/>
          <w:docGrid w:linePitch="312"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五、投标人情况介绍</w:t>
      </w:r>
    </w:p>
    <w:p>
      <w:pPr>
        <w:spacing w:line="360" w:lineRule="auto"/>
        <w:ind w:firstLine="4048" w:firstLineChars="1687"/>
        <w:rPr>
          <w:rFonts w:ascii="宋体" w:hAnsi="宋体" w:cs="宋体"/>
          <w:kern w:val="0"/>
          <w:sz w:val="24"/>
        </w:rPr>
      </w:pPr>
      <w:r>
        <w:rPr>
          <w:rFonts w:hint="eastAsia" w:ascii="宋体" w:hAnsi="宋体" w:cs="宋体"/>
          <w:sz w:val="24"/>
        </w:rPr>
        <w:t>（格式自拟）</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napToGrid w:val="0"/>
        <w:spacing w:line="360" w:lineRule="auto"/>
        <w:ind w:firstLine="4935" w:firstLineChars="2350"/>
        <w:rPr>
          <w:rFonts w:ascii="宋体" w:hAnsi="宋体" w:cs="宋体"/>
          <w:szCs w:val="21"/>
        </w:rPr>
      </w:pPr>
    </w:p>
    <w:p>
      <w:pPr>
        <w:spacing w:line="360" w:lineRule="auto"/>
        <w:rPr>
          <w:rFonts w:ascii="宋体" w:hAnsi="宋体" w:cs="宋体"/>
        </w:rPr>
      </w:pPr>
    </w:p>
    <w:p>
      <w:pPr>
        <w:snapToGrid w:val="0"/>
        <w:spacing w:line="360" w:lineRule="auto"/>
        <w:ind w:firstLine="4935" w:firstLineChars="235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firstLine="602" w:firstLineChars="200"/>
        <w:jc w:val="center"/>
        <w:rPr>
          <w:rFonts w:ascii="宋体" w:hAnsi="宋体" w:cs="宋体"/>
          <w:b/>
          <w:bCs/>
          <w:sz w:val="30"/>
          <w:szCs w:val="30"/>
        </w:rPr>
      </w:pPr>
    </w:p>
    <w:p>
      <w:pPr>
        <w:snapToGrid w:val="0"/>
        <w:spacing w:before="165" w:beforeLines="50" w:after="50" w:line="360" w:lineRule="auto"/>
        <w:ind w:firstLine="602" w:firstLineChars="200"/>
        <w:jc w:val="center"/>
        <w:rPr>
          <w:rFonts w:ascii="宋体" w:hAnsi="宋体" w:cs="宋体"/>
          <w:b/>
          <w:bCs/>
          <w:sz w:val="30"/>
          <w:szCs w:val="30"/>
        </w:rPr>
        <w:sectPr>
          <w:footerReference r:id="rId13" w:type="first"/>
          <w:footerReference r:id="rId11" w:type="default"/>
          <w:footerReference r:id="rId12" w:type="even"/>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ind w:firstLine="602" w:firstLineChars="200"/>
        <w:jc w:val="center"/>
        <w:rPr>
          <w:rFonts w:ascii="宋体" w:hAnsi="宋体" w:cs="宋体"/>
          <w:b/>
          <w:bCs/>
          <w:sz w:val="30"/>
          <w:szCs w:val="30"/>
        </w:rPr>
      </w:pPr>
      <w:r>
        <w:rPr>
          <w:rFonts w:hint="eastAsia" w:ascii="宋体" w:hAnsi="宋体" w:cs="宋体"/>
          <w:b/>
          <w:bCs/>
          <w:sz w:val="30"/>
          <w:szCs w:val="30"/>
        </w:rPr>
        <w:t>六、投标人类似的业绩证明文件（如有要求）</w:t>
      </w:r>
    </w:p>
    <w:p>
      <w:pPr>
        <w:pStyle w:val="19"/>
        <w:snapToGrid w:val="0"/>
        <w:spacing w:line="360" w:lineRule="auto"/>
        <w:ind w:left="480" w:hanging="480"/>
        <w:rPr>
          <w:rFonts w:ascii="宋体" w:hAnsi="宋体" w:cs="宋体"/>
          <w:sz w:val="24"/>
        </w:rPr>
      </w:pPr>
    </w:p>
    <w:p>
      <w:pPr>
        <w:autoSpaceDE w:val="0"/>
        <w:autoSpaceDN w:val="0"/>
        <w:spacing w:line="360" w:lineRule="auto"/>
        <w:ind w:firstLine="120"/>
        <w:rPr>
          <w:rFonts w:ascii="宋体" w:hAnsi="宋体" w:cs="宋体"/>
          <w:sz w:val="24"/>
        </w:rPr>
      </w:pPr>
      <w:r>
        <w:rPr>
          <w:rFonts w:hint="eastAsia" w:ascii="宋体" w:hAnsi="宋体" w:cs="宋体"/>
          <w:b/>
          <w:sz w:val="24"/>
        </w:rPr>
        <w:t>附表 ：相关项目业绩一览表</w:t>
      </w:r>
    </w:p>
    <w:tbl>
      <w:tblPr>
        <w:tblStyle w:val="25"/>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628"/>
        <w:gridCol w:w="3420"/>
        <w:gridCol w:w="1715"/>
        <w:gridCol w:w="226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262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采购人名称</w:t>
            </w:r>
          </w:p>
        </w:tc>
        <w:tc>
          <w:tcPr>
            <w:tcW w:w="3420"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项目名称</w:t>
            </w:r>
          </w:p>
        </w:tc>
        <w:tc>
          <w:tcPr>
            <w:tcW w:w="1715"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合同</w:t>
            </w:r>
          </w:p>
          <w:p>
            <w:pPr>
              <w:snapToGrid w:val="0"/>
              <w:spacing w:line="360" w:lineRule="auto"/>
              <w:jc w:val="center"/>
              <w:rPr>
                <w:rFonts w:ascii="宋体" w:hAnsi="宋体" w:cs="宋体"/>
                <w:sz w:val="24"/>
              </w:rPr>
            </w:pPr>
            <w:r>
              <w:rPr>
                <w:rFonts w:hint="eastAsia" w:ascii="宋体" w:hAnsi="宋体" w:cs="宋体"/>
                <w:sz w:val="24"/>
              </w:rPr>
              <w:t>金额</w:t>
            </w:r>
          </w:p>
          <w:p>
            <w:pPr>
              <w:snapToGrid w:val="0"/>
              <w:spacing w:line="360" w:lineRule="auto"/>
              <w:jc w:val="center"/>
              <w:rPr>
                <w:rFonts w:ascii="宋体" w:hAnsi="宋体" w:cs="宋体"/>
                <w:sz w:val="24"/>
              </w:rPr>
            </w:pPr>
            <w:r>
              <w:rPr>
                <w:rFonts w:hint="eastAsia" w:ascii="宋体" w:hAnsi="宋体" w:cs="宋体"/>
                <w:sz w:val="24"/>
              </w:rPr>
              <w:t>（万元）</w:t>
            </w:r>
          </w:p>
        </w:tc>
        <w:tc>
          <w:tcPr>
            <w:tcW w:w="2268" w:type="dxa"/>
            <w:vMerge w:val="restar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宋体" w:hAnsi="宋体" w:cs="宋体"/>
                <w:sz w:val="24"/>
              </w:rPr>
            </w:pPr>
            <w:r>
              <w:rPr>
                <w:rFonts w:hint="eastAsia" w:ascii="宋体" w:hAnsi="宋体" w:cs="宋体"/>
                <w:sz w:val="24"/>
              </w:rPr>
              <w:t>采购人联系人及</w:t>
            </w:r>
          </w:p>
          <w:p>
            <w:pPr>
              <w:snapToGrid w:val="0"/>
              <w:spacing w:line="360" w:lineRule="auto"/>
              <w:jc w:val="center"/>
              <w:rPr>
                <w:rFonts w:ascii="宋体" w:hAnsi="宋体" w:cs="宋体"/>
                <w:sz w:val="24"/>
              </w:rPr>
            </w:pPr>
            <w:r>
              <w:rPr>
                <w:rFonts w:hint="eastAsia" w:ascii="宋体" w:hAnsi="宋体" w:cs="宋体"/>
                <w:sz w:val="24"/>
              </w:rPr>
              <w:t>联系电话</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262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3420"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1715"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c>
          <w:tcPr>
            <w:tcW w:w="2268" w:type="dxa"/>
            <w:vMerge w:val="continue"/>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262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3420"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1715"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c>
          <w:tcPr>
            <w:tcW w:w="2268" w:type="dxa"/>
            <w:tcBorders>
              <w:top w:val="single" w:color="auto" w:sz="4" w:space="0"/>
              <w:left w:val="single" w:color="auto" w:sz="4" w:space="0"/>
              <w:bottom w:val="single" w:color="auto" w:sz="4" w:space="0"/>
              <w:right w:val="single" w:color="auto" w:sz="4" w:space="0"/>
            </w:tcBorders>
          </w:tcPr>
          <w:p>
            <w:pPr>
              <w:snapToGrid w:val="0"/>
              <w:spacing w:before="50" w:after="165" w:afterLines="50" w:line="360" w:lineRule="auto"/>
              <w:jc w:val="left"/>
              <w:rPr>
                <w:rFonts w:ascii="宋体" w:hAnsi="宋体" w:cs="宋体"/>
                <w:sz w:val="24"/>
              </w:rPr>
            </w:pPr>
          </w:p>
        </w:tc>
      </w:tr>
    </w:tbl>
    <w:p>
      <w:pPr>
        <w:pStyle w:val="12"/>
        <w:spacing w:line="360" w:lineRule="auto"/>
        <w:ind w:left="72"/>
        <w:rPr>
          <w:rFonts w:hAnsi="宋体" w:cs="宋体"/>
        </w:rPr>
      </w:pPr>
      <w:r>
        <w:rPr>
          <w:rFonts w:hint="eastAsia" w:hAnsi="宋体" w:cs="宋体"/>
        </w:rPr>
        <w:t>注：投标人可参考上述的格式自行编制，须随表提交相应的合同复印件等材料并注明所在投标人商务技术文件页码。</w:t>
      </w:r>
    </w:p>
    <w:p>
      <w:pPr>
        <w:snapToGrid w:val="0"/>
        <w:spacing w:line="360" w:lineRule="auto"/>
        <w:ind w:firstLine="4935" w:firstLineChars="2350"/>
        <w:rPr>
          <w:rFonts w:ascii="宋体" w:hAnsi="宋体" w:cs="宋体"/>
          <w:szCs w:val="21"/>
        </w:rPr>
      </w:pPr>
      <w:r>
        <w:rPr>
          <w:rFonts w:hint="eastAsia" w:ascii="宋体" w:hAnsi="宋体" w:cs="宋体"/>
          <w:szCs w:val="21"/>
        </w:rPr>
        <w:t xml:space="preserve"> </w:t>
      </w:r>
    </w:p>
    <w:p>
      <w:pPr>
        <w:snapToGrid w:val="0"/>
        <w:spacing w:line="360" w:lineRule="auto"/>
        <w:ind w:firstLine="4935" w:firstLineChars="2350"/>
        <w:rPr>
          <w:rFonts w:ascii="宋体" w:hAnsi="宋体" w:cs="宋体"/>
          <w:szCs w:val="21"/>
        </w:rPr>
      </w:pPr>
    </w:p>
    <w:p>
      <w:pPr>
        <w:snapToGrid w:val="0"/>
        <w:spacing w:line="360" w:lineRule="auto"/>
        <w:ind w:firstLine="10080" w:firstLineChars="4800"/>
        <w:rPr>
          <w:rFonts w:ascii="宋体" w:hAnsi="宋体" w:cs="宋体"/>
          <w:kern w:val="0"/>
          <w:sz w:val="24"/>
        </w:rPr>
      </w:pPr>
      <w:r>
        <w:rPr>
          <w:rFonts w:hint="eastAsia" w:ascii="宋体" w:hAnsi="宋体" w:cs="宋体"/>
          <w:szCs w:val="21"/>
        </w:rPr>
        <w:t xml:space="preserve"> </w:t>
      </w:r>
      <w:r>
        <w:rPr>
          <w:rFonts w:hint="eastAsia" w:ascii="宋体" w:hAnsi="宋体" w:cs="宋体"/>
          <w:kern w:val="0"/>
          <w:sz w:val="24"/>
          <w:lang w:val="zh-CN"/>
        </w:rPr>
        <w:t>投标人名称（电子签章）：</w:t>
      </w:r>
    </w:p>
    <w:p>
      <w:pPr>
        <w:snapToGrid w:val="0"/>
        <w:spacing w:line="360" w:lineRule="auto"/>
        <w:ind w:firstLine="10080" w:firstLineChars="4200"/>
        <w:rPr>
          <w:rFonts w:ascii="宋体" w:hAnsi="宋体" w:cs="宋体"/>
          <w:kern w:val="0"/>
          <w:sz w:val="24"/>
          <w:lang w:val="zh-CN"/>
        </w:rPr>
        <w:sectPr>
          <w:pgSz w:w="11906" w:h="16838"/>
          <w:pgMar w:top="1080" w:right="1440" w:bottom="1080" w:left="1440" w:header="720" w:footer="720" w:gutter="0"/>
          <w:cols w:space="720" w:num="1"/>
          <w:docGrid w:type="lines" w:linePitch="331" w:charSpace="0"/>
        </w:sect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jc w:val="center"/>
        <w:outlineLvl w:val="1"/>
        <w:rPr>
          <w:rFonts w:hAnsi="宋体" w:cs="宋体"/>
          <w:b/>
          <w:bCs/>
          <w:sz w:val="28"/>
          <w:szCs w:val="28"/>
        </w:rPr>
      </w:pPr>
      <w:bookmarkStart w:id="309" w:name="_Toc21416"/>
      <w:bookmarkStart w:id="310" w:name="_Toc19686839"/>
      <w:r>
        <w:rPr>
          <w:rFonts w:hint="eastAsia" w:hAnsi="宋体" w:cs="宋体"/>
          <w:b/>
          <w:bCs/>
          <w:sz w:val="28"/>
          <w:szCs w:val="28"/>
        </w:rPr>
        <w:t>第四节 技术文件格式</w:t>
      </w:r>
      <w:bookmarkEnd w:id="309"/>
      <w:bookmarkEnd w:id="310"/>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rPr>
          <w:rFonts w:ascii="宋体" w:hAnsi="宋体" w:cs="宋体"/>
          <w:sz w:val="24"/>
          <w:szCs w:val="20"/>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技术文件（封面）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szCs w:val="20"/>
        </w:rPr>
      </w:pPr>
      <w:r>
        <w:rPr>
          <w:rFonts w:hint="eastAsia" w:ascii="宋体" w:hAnsi="宋体" w:cs="宋体"/>
          <w:bCs/>
          <w:sz w:val="24"/>
        </w:rPr>
        <w:t xml:space="preserve">项目名称：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snapToGrid w:val="0"/>
        <w:spacing w:before="165" w:beforeLines="50" w:after="50" w:line="360" w:lineRule="auto"/>
        <w:ind w:firstLine="645"/>
        <w:jc w:val="center"/>
        <w:rPr>
          <w:rFonts w:ascii="宋体" w:hAnsi="宋体" w:cs="宋体"/>
          <w:sz w:val="24"/>
        </w:rPr>
      </w:pPr>
      <w:r>
        <w:rPr>
          <w:rFonts w:hint="eastAsia" w:ascii="宋体" w:hAnsi="宋体" w:cs="宋体"/>
          <w:sz w:val="24"/>
        </w:rPr>
        <w:t xml:space="preserve">                        年    月    日</w:t>
      </w:r>
    </w:p>
    <w:p>
      <w:pPr>
        <w:snapToGrid w:val="0"/>
        <w:spacing w:before="165" w:beforeLines="50" w:after="50" w:line="360" w:lineRule="auto"/>
        <w:ind w:firstLine="645"/>
        <w:jc w:val="center"/>
        <w:rPr>
          <w:rFonts w:ascii="宋体" w:hAnsi="宋体" w:cs="宋体"/>
          <w:sz w:val="24"/>
          <w:szCs w:val="20"/>
        </w:rPr>
      </w:pPr>
    </w:p>
    <w:p>
      <w:pPr>
        <w:spacing w:line="360" w:lineRule="auto"/>
        <w:jc w:val="center"/>
        <w:rPr>
          <w:rFonts w:ascii="宋体" w:hAnsi="宋体" w:cs="宋体"/>
          <w:b/>
          <w:kern w:val="0"/>
          <w:sz w:val="28"/>
          <w:szCs w:val="28"/>
        </w:rPr>
        <w:sectPr>
          <w:footerReference r:id="rId16" w:type="first"/>
          <w:footerReference r:id="rId14" w:type="default"/>
          <w:footerReference r:id="rId15" w:type="even"/>
          <w:pgSz w:w="11906" w:h="16838"/>
          <w:pgMar w:top="1440" w:right="1080" w:bottom="1440" w:left="1080" w:header="720" w:footer="720" w:gutter="0"/>
          <w:cols w:space="720" w:num="1"/>
          <w:docGrid w:type="lines" w:linePitch="331" w:charSpace="0"/>
        </w:sectPr>
      </w:pPr>
    </w:p>
    <w:p>
      <w:pPr>
        <w:spacing w:line="360" w:lineRule="auto"/>
        <w:jc w:val="center"/>
        <w:rPr>
          <w:rFonts w:ascii="宋体" w:hAnsi="宋体" w:cs="宋体"/>
          <w:b/>
          <w:kern w:val="0"/>
          <w:sz w:val="28"/>
          <w:szCs w:val="28"/>
        </w:rPr>
      </w:pPr>
      <w:r>
        <w:rPr>
          <w:rFonts w:hint="eastAsia" w:ascii="宋体" w:hAnsi="宋体" w:cs="宋体"/>
          <w:b/>
          <w:kern w:val="0"/>
          <w:sz w:val="28"/>
          <w:szCs w:val="28"/>
        </w:rPr>
        <w:t>技术文件目录</w:t>
      </w:r>
    </w:p>
    <w:p>
      <w:pPr>
        <w:pStyle w:val="35"/>
        <w:spacing w:line="360" w:lineRule="auto"/>
        <w:rPr>
          <w:rFonts w:ascii="宋体" w:hAnsi="宋体" w:eastAsia="宋体" w:cs="宋体"/>
        </w:rPr>
      </w:pPr>
      <w:r>
        <w:rPr>
          <w:rFonts w:hint="eastAsia" w:ascii="宋体" w:hAnsi="宋体" w:eastAsia="宋体" w:cs="宋体"/>
        </w:rPr>
        <w:t>一、技术需求偏离表………………</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二、项目实施方案…………………………………………………………………（页码）</w:t>
      </w:r>
    </w:p>
    <w:p>
      <w:pPr>
        <w:pStyle w:val="35"/>
        <w:spacing w:line="360" w:lineRule="auto"/>
        <w:rPr>
          <w:rFonts w:ascii="宋体" w:hAnsi="宋体" w:eastAsia="宋体" w:cs="宋体"/>
        </w:rPr>
      </w:pPr>
      <w:r>
        <w:rPr>
          <w:rFonts w:hint="eastAsia" w:ascii="宋体" w:hAnsi="宋体" w:eastAsia="宋体" w:cs="宋体"/>
        </w:rPr>
        <w:t>三、售后服务方案 ………………………………</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四、</w:t>
      </w:r>
      <w:r>
        <w:rPr>
          <w:rFonts w:hint="eastAsia" w:ascii="宋体" w:hAnsi="宋体" w:eastAsia="宋体" w:cs="宋体"/>
          <w:lang w:val="zh-CN"/>
        </w:rPr>
        <w:t>项目实施人员一览表 ………………………………</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五、对本项目总体要求的理解</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六、产品出厂标准、质量检测报告</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七、优惠条件（如有）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八、投标人对本项目的合理化建议和改进措施（如有）</w:t>
      </w:r>
      <w:r>
        <w:rPr>
          <w:rFonts w:hint="eastAsia" w:ascii="宋体" w:hAnsi="宋体" w:eastAsia="宋体" w:cs="宋体"/>
          <w:lang w:val="zh-CN"/>
        </w:rPr>
        <w:t>…………………</w:t>
      </w:r>
      <w:r>
        <w:rPr>
          <w:rFonts w:hint="eastAsia" w:ascii="宋体" w:hAnsi="宋体" w:eastAsia="宋体" w:cs="宋体"/>
        </w:rPr>
        <w:t>……</w:t>
      </w:r>
      <w:r>
        <w:rPr>
          <w:rFonts w:hint="eastAsia" w:ascii="宋体" w:hAnsi="宋体" w:eastAsia="宋体" w:cs="宋体"/>
          <w:lang w:val="zh-CN"/>
        </w:rPr>
        <w:t>…</w:t>
      </w:r>
      <w:r>
        <w:rPr>
          <w:rFonts w:hint="eastAsia" w:ascii="宋体" w:hAnsi="宋体" w:eastAsia="宋体" w:cs="宋体"/>
        </w:rPr>
        <w:t>（页码）</w:t>
      </w:r>
    </w:p>
    <w:p>
      <w:pPr>
        <w:pStyle w:val="35"/>
        <w:spacing w:line="360" w:lineRule="auto"/>
        <w:rPr>
          <w:rFonts w:ascii="宋体" w:hAnsi="宋体" w:eastAsia="宋体" w:cs="宋体"/>
        </w:rPr>
      </w:pPr>
      <w:r>
        <w:rPr>
          <w:rFonts w:hint="eastAsia" w:ascii="宋体" w:hAnsi="宋体" w:eastAsia="宋体" w:cs="宋体"/>
        </w:rPr>
        <w:t>九、除招标文件规定必须提供以外，投标人需要说明的其他文件和说明（如有）</w:t>
      </w:r>
      <w:r>
        <w:rPr>
          <w:rFonts w:hint="eastAsia" w:ascii="宋体" w:hAnsi="宋体" w:eastAsia="宋体" w:cs="宋体"/>
          <w:lang w:val="zh-CN"/>
        </w:rPr>
        <w:t>……………………………………</w:t>
      </w:r>
      <w:r>
        <w:rPr>
          <w:rFonts w:hint="eastAsia" w:ascii="宋体" w:hAnsi="宋体" w:eastAsia="宋体" w:cs="宋体"/>
        </w:rPr>
        <w:t>（页码）</w:t>
      </w:r>
    </w:p>
    <w:p>
      <w:pPr>
        <w:pStyle w:val="35"/>
        <w:spacing w:line="360" w:lineRule="auto"/>
        <w:ind w:firstLine="482"/>
        <w:rPr>
          <w:rFonts w:ascii="宋体" w:hAnsi="宋体" w:eastAsia="宋体" w:cs="宋体"/>
          <w:b/>
          <w:bCs/>
        </w:rPr>
      </w:pPr>
      <w:r>
        <w:rPr>
          <w:rFonts w:hint="eastAsia" w:ascii="宋体" w:hAnsi="宋体" w:eastAsia="宋体" w:cs="宋体"/>
          <w:b/>
          <w:bCs/>
        </w:rPr>
        <w:t>注：以上目录是基本格式要求，各投标人可根据自身情况进一步向下增加内容或细化。</w:t>
      </w:r>
    </w:p>
    <w:p>
      <w:pPr>
        <w:snapToGrid w:val="0"/>
        <w:spacing w:before="165" w:beforeLines="50" w:after="50" w:line="360" w:lineRule="auto"/>
        <w:ind w:left="143" w:leftChars="68" w:firstLine="472" w:firstLineChars="196"/>
        <w:jc w:val="left"/>
        <w:rPr>
          <w:rFonts w:ascii="宋体" w:hAnsi="宋体" w:cs="宋体"/>
          <w:b/>
          <w:sz w:val="24"/>
        </w:rPr>
      </w:pPr>
    </w:p>
    <w:p>
      <w:pPr>
        <w:pStyle w:val="12"/>
        <w:spacing w:line="360" w:lineRule="auto"/>
        <w:jc w:val="center"/>
        <w:rPr>
          <w:rFonts w:hAnsi="宋体" w:cs="宋体"/>
          <w:b/>
          <w:bCs/>
          <w:sz w:val="30"/>
          <w:szCs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bCs/>
          <w:sz w:val="30"/>
          <w:szCs w:val="30"/>
        </w:rPr>
      </w:pPr>
      <w:r>
        <w:rPr>
          <w:rFonts w:hint="eastAsia" w:hAnsi="宋体" w:cs="宋体"/>
          <w:b/>
          <w:bCs/>
          <w:sz w:val="30"/>
          <w:szCs w:val="30"/>
        </w:rPr>
        <w:t>一、技术需求偏离表</w:t>
      </w:r>
    </w:p>
    <w:p>
      <w:pPr>
        <w:pStyle w:val="12"/>
        <w:spacing w:line="360" w:lineRule="auto"/>
        <w:ind w:firstLine="420" w:firstLineChars="200"/>
        <w:rPr>
          <w:rFonts w:hAnsi="宋体" w:cs="宋体"/>
        </w:rPr>
      </w:pPr>
    </w:p>
    <w:p>
      <w:pPr>
        <w:pStyle w:val="12"/>
        <w:spacing w:line="360" w:lineRule="auto"/>
        <w:ind w:firstLine="480" w:firstLineChars="200"/>
        <w:rPr>
          <w:rFonts w:hAnsi="宋体" w:cs="宋体"/>
          <w:sz w:val="24"/>
          <w:szCs w:val="24"/>
        </w:rPr>
      </w:pPr>
      <w:r>
        <w:rPr>
          <w:rFonts w:hint="eastAsia" w:hAnsi="宋体" w:cs="宋体"/>
          <w:sz w:val="24"/>
          <w:szCs w:val="24"/>
        </w:rPr>
        <w:t>请根据所投货物的实际技术参数，本项目招标文件第二章“货物需求一览表”中的“偏离说明”一栏应当选择“正偏离”、“负偏离”或“无偏离”进行填写。</w:t>
      </w:r>
    </w:p>
    <w:tbl>
      <w:tblPr>
        <w:tblStyle w:val="25"/>
        <w:tblW w:w="101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4"/>
        <w:gridCol w:w="1260"/>
        <w:gridCol w:w="2310"/>
        <w:gridCol w:w="1137"/>
        <w:gridCol w:w="3676"/>
        <w:gridCol w:w="1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7" w:hRule="atLeast"/>
          <w:jc w:val="center"/>
        </w:trPr>
        <w:tc>
          <w:tcPr>
            <w:tcW w:w="634"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项号</w:t>
            </w:r>
          </w:p>
        </w:tc>
        <w:tc>
          <w:tcPr>
            <w:tcW w:w="3570"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招标文件需求</w:t>
            </w:r>
          </w:p>
        </w:tc>
        <w:tc>
          <w:tcPr>
            <w:tcW w:w="4813"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投标文件承诺</w:t>
            </w:r>
          </w:p>
        </w:tc>
        <w:tc>
          <w:tcPr>
            <w:tcW w:w="1168" w:type="dxa"/>
            <w:vMerge w:val="restart"/>
            <w:tcBorders>
              <w:top w:val="single" w:color="auto" w:sz="4" w:space="0"/>
              <w:left w:val="single" w:color="auto" w:sz="4" w:space="0"/>
              <w:bottom w:val="single" w:color="auto" w:sz="4" w:space="0"/>
              <w:right w:val="single" w:color="auto" w:sz="4" w:space="0"/>
            </w:tcBorders>
            <w:vAlign w:val="center"/>
          </w:tcPr>
          <w:p>
            <w:pPr>
              <w:spacing w:line="360" w:lineRule="auto"/>
              <w:rPr>
                <w:rFonts w:ascii="宋体" w:hAnsi="宋体" w:cs="宋体"/>
                <w:szCs w:val="21"/>
              </w:rPr>
            </w:pPr>
            <w:r>
              <w:rPr>
                <w:rFonts w:hint="eastAsia" w:ascii="宋体" w:hAnsi="宋体" w:cs="宋体"/>
                <w:szCs w:val="21"/>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jc w:val="center"/>
        </w:trPr>
        <w:tc>
          <w:tcPr>
            <w:tcW w:w="634"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货物参数</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货物名称</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所提供货物的内容</w:t>
            </w:r>
          </w:p>
        </w:tc>
        <w:tc>
          <w:tcPr>
            <w:tcW w:w="116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360" w:lineRule="auto"/>
              <w:jc w:val="left"/>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1</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正偏离（负偏离或无偏离）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2</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3</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4"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231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367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c>
          <w:tcPr>
            <w:tcW w:w="116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1"/>
              </w:rPr>
            </w:pPr>
            <w:r>
              <w:rPr>
                <w:rFonts w:hint="eastAsia" w:ascii="宋体" w:hAnsi="宋体" w:cs="宋体"/>
                <w:szCs w:val="21"/>
              </w:rPr>
              <w:t>……</w:t>
            </w:r>
          </w:p>
        </w:tc>
      </w:tr>
    </w:tbl>
    <w:p>
      <w:pPr>
        <w:pStyle w:val="12"/>
        <w:spacing w:line="360" w:lineRule="auto"/>
        <w:rPr>
          <w:rFonts w:hAnsi="宋体" w:cs="宋体"/>
          <w:szCs w:val="21"/>
        </w:rPr>
      </w:pPr>
      <w:r>
        <w:rPr>
          <w:rFonts w:hint="eastAsia" w:hAnsi="宋体" w:cs="宋体"/>
          <w:szCs w:val="21"/>
        </w:rPr>
        <w:t>注：</w:t>
      </w:r>
    </w:p>
    <w:p>
      <w:pPr>
        <w:pStyle w:val="12"/>
        <w:spacing w:line="360" w:lineRule="auto"/>
        <w:ind w:firstLine="420" w:firstLineChars="200"/>
        <w:rPr>
          <w:rFonts w:hAnsi="宋体" w:cs="宋体"/>
          <w:szCs w:val="21"/>
        </w:rPr>
      </w:pPr>
      <w:r>
        <w:rPr>
          <w:rFonts w:hint="eastAsia" w:hAnsi="宋体" w:cs="宋体"/>
          <w:szCs w:val="21"/>
        </w:rPr>
        <w:t>1.表格内容均需按要求填写并盖章，不得留空，</w:t>
      </w:r>
      <w:r>
        <w:rPr>
          <w:rFonts w:hint="eastAsia" w:hAnsi="宋体" w:cs="宋体"/>
          <w:bCs/>
          <w:szCs w:val="21"/>
        </w:rPr>
        <w:t>否则按投标无效处理</w:t>
      </w:r>
      <w:r>
        <w:rPr>
          <w:rFonts w:hint="eastAsia" w:hAnsi="宋体" w:cs="宋体"/>
          <w:szCs w:val="21"/>
        </w:rPr>
        <w:t>。</w:t>
      </w:r>
    </w:p>
    <w:p>
      <w:pPr>
        <w:pStyle w:val="12"/>
        <w:spacing w:line="360" w:lineRule="auto"/>
        <w:ind w:firstLine="420" w:firstLineChars="200"/>
        <w:rPr>
          <w:rFonts w:hAnsi="宋体" w:cs="宋体"/>
          <w:szCs w:val="21"/>
        </w:rPr>
      </w:pPr>
      <w:r>
        <w:rPr>
          <w:rFonts w:hint="eastAsia" w:hAnsi="宋体" w:cs="宋体"/>
          <w:bCs/>
          <w:szCs w:val="21"/>
        </w:rPr>
        <w:t>2.当投标文件的货物内容低于招标文件要求时，投标人应当如实写明“负偏离”，否则视为虚假应标。</w:t>
      </w:r>
    </w:p>
    <w:p>
      <w:pPr>
        <w:pStyle w:val="12"/>
        <w:spacing w:line="360" w:lineRule="auto"/>
        <w:ind w:firstLine="420" w:firstLineChars="200"/>
        <w:rPr>
          <w:rFonts w:hAnsi="宋体" w:cs="宋体"/>
        </w:rPr>
      </w:pPr>
      <w:r>
        <w:rPr>
          <w:rFonts w:hint="eastAsia" w:hAnsi="宋体" w:cs="宋体"/>
        </w:rPr>
        <w:t>3.</w:t>
      </w:r>
      <w:r>
        <w:rPr>
          <w:rFonts w:hint="eastAsia" w:hAnsi="宋体" w:cs="宋体"/>
          <w:szCs w:val="21"/>
        </w:rPr>
        <w:t>采购需求中带“▲”及“★”的条款，也要分别在本表“货物参数”、“所提供货物的内容”中标记。</w:t>
      </w:r>
    </w:p>
    <w:p>
      <w:pPr>
        <w:snapToGrid w:val="0"/>
        <w:spacing w:line="360" w:lineRule="auto"/>
        <w:ind w:firstLine="5640" w:firstLineChars="2350"/>
        <w:rPr>
          <w:rFonts w:ascii="宋体" w:hAnsi="宋体" w:cs="宋体"/>
          <w:kern w:val="0"/>
          <w:sz w:val="24"/>
          <w:lang w:val="zh-CN"/>
        </w:rPr>
      </w:pPr>
    </w:p>
    <w:p>
      <w:pPr>
        <w:snapToGrid w:val="0"/>
        <w:spacing w:line="360" w:lineRule="auto"/>
        <w:ind w:firstLine="5640" w:firstLineChars="235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880" w:firstLineChars="24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before="165" w:beforeLines="50" w:after="50" w:line="360" w:lineRule="auto"/>
        <w:ind w:left="143" w:leftChars="68" w:firstLine="600" w:firstLineChars="200"/>
        <w:jc w:val="left"/>
        <w:rPr>
          <w:rFonts w:ascii="宋体" w:hAnsi="宋体" w:cs="宋体"/>
          <w:sz w:val="30"/>
          <w:szCs w:val="20"/>
        </w:rPr>
        <w:sectPr>
          <w:pgSz w:w="11906" w:h="16838"/>
          <w:pgMar w:top="1440" w:right="1080" w:bottom="1440" w:left="1080" w:header="720" w:footer="720" w:gutter="0"/>
          <w:cols w:space="720" w:num="1"/>
          <w:docGrid w:type="lines" w:linePitch="331" w:charSpace="0"/>
        </w:sectPr>
      </w:pP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二、项目实施方案</w:t>
      </w:r>
    </w:p>
    <w:p>
      <w:pPr>
        <w:autoSpaceDE w:val="0"/>
        <w:autoSpaceDN w:val="0"/>
        <w:spacing w:line="360" w:lineRule="auto"/>
        <w:jc w:val="center"/>
        <w:rPr>
          <w:rFonts w:ascii="宋体" w:hAnsi="宋体" w:cs="宋体"/>
          <w:b/>
          <w:bCs/>
          <w:sz w:val="30"/>
          <w:szCs w:val="30"/>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（格式仅供参考，由投标人根据采购需求及招标文件要求编制）</w:t>
      </w:r>
    </w:p>
    <w:p>
      <w:pPr>
        <w:snapToGrid w:val="0"/>
        <w:spacing w:before="165" w:beforeLines="50" w:after="50" w:line="360" w:lineRule="auto"/>
        <w:jc w:val="center"/>
        <w:rPr>
          <w:rFonts w:ascii="宋体" w:hAnsi="宋体" w:cs="宋体"/>
          <w:b/>
          <w:bCs/>
          <w:sz w:val="30"/>
          <w:szCs w:val="30"/>
        </w:rPr>
      </w:pPr>
      <w:r>
        <w:rPr>
          <w:rFonts w:hint="eastAsia" w:ascii="宋体" w:hAnsi="宋体" w:cs="宋体"/>
          <w:b/>
          <w:bCs/>
          <w:sz w:val="30"/>
          <w:szCs w:val="30"/>
        </w:rPr>
        <w:t>三、售后服务方案</w:t>
      </w:r>
    </w:p>
    <w:p>
      <w:pPr>
        <w:autoSpaceDE w:val="0"/>
        <w:autoSpaceDN w:val="0"/>
        <w:spacing w:line="360" w:lineRule="auto"/>
        <w:jc w:val="center"/>
        <w:rPr>
          <w:rFonts w:ascii="宋体" w:hAnsi="宋体" w:cs="宋体"/>
          <w:sz w:val="24"/>
        </w:rPr>
      </w:pPr>
      <w:r>
        <w:rPr>
          <w:rFonts w:hint="eastAsia" w:ascii="宋体" w:hAnsi="宋体" w:cs="宋体"/>
          <w:sz w:val="24"/>
        </w:rPr>
        <w:t>（格式仅供参考，由投标人根据采购需求及招标文件要求编制）</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四、项目实施人员一览表</w:t>
      </w:r>
    </w:p>
    <w:p>
      <w:pPr>
        <w:snapToGrid w:val="0"/>
        <w:spacing w:before="165" w:beforeLines="50" w:after="50" w:line="360" w:lineRule="auto"/>
        <w:jc w:val="left"/>
        <w:rPr>
          <w:rFonts w:ascii="宋体" w:hAnsi="宋体" w:cs="宋体"/>
          <w:sz w:val="24"/>
        </w:rPr>
      </w:pPr>
      <w:r>
        <w:rPr>
          <w:rFonts w:hint="eastAsia" w:ascii="宋体" w:hAnsi="宋体" w:cs="宋体"/>
          <w:sz w:val="24"/>
        </w:rPr>
        <w:t xml:space="preserve"> </w:t>
      </w:r>
    </w:p>
    <w:p>
      <w:pPr>
        <w:snapToGrid w:val="0"/>
        <w:spacing w:before="165" w:beforeLines="50" w:after="50" w:line="360" w:lineRule="auto"/>
        <w:ind w:left="142"/>
        <w:jc w:val="center"/>
        <w:rPr>
          <w:rFonts w:ascii="宋体" w:hAnsi="宋体" w:cs="宋体"/>
          <w:b/>
          <w:sz w:val="32"/>
          <w:szCs w:val="32"/>
        </w:rPr>
      </w:pPr>
    </w:p>
    <w:p>
      <w:pPr>
        <w:snapToGrid w:val="0"/>
        <w:spacing w:before="165" w:beforeLines="50" w:after="50" w:line="360" w:lineRule="auto"/>
        <w:ind w:left="142"/>
        <w:jc w:val="center"/>
        <w:rPr>
          <w:rFonts w:ascii="宋体" w:hAnsi="宋体" w:cs="宋体"/>
          <w:b/>
          <w:sz w:val="32"/>
          <w:szCs w:val="32"/>
        </w:rPr>
      </w:pPr>
      <w:r>
        <w:rPr>
          <w:rFonts w:hint="eastAsia" w:ascii="宋体" w:hAnsi="宋体" w:cs="宋体"/>
          <w:b/>
          <w:sz w:val="32"/>
          <w:szCs w:val="32"/>
        </w:rPr>
        <w:t>五、对本项目总体要求的理解</w:t>
      </w: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六、产品出厂标准、质量检测报告</w:t>
      </w:r>
    </w:p>
    <w:p>
      <w:pPr>
        <w:spacing w:line="360" w:lineRule="auto"/>
        <w:jc w:val="center"/>
        <w:rPr>
          <w:rFonts w:ascii="宋体" w:hAnsi="宋体" w:cs="宋体"/>
          <w:b/>
          <w:sz w:val="32"/>
          <w:szCs w:val="32"/>
        </w:rPr>
      </w:pPr>
    </w:p>
    <w:p>
      <w:pPr>
        <w:numPr>
          <w:ilvl w:val="0"/>
          <w:numId w:val="7"/>
        </w:numPr>
        <w:spacing w:line="360" w:lineRule="auto"/>
        <w:jc w:val="center"/>
        <w:rPr>
          <w:rFonts w:ascii="宋体" w:hAnsi="宋体" w:cs="宋体"/>
          <w:b/>
          <w:sz w:val="32"/>
          <w:szCs w:val="32"/>
        </w:rPr>
      </w:pPr>
      <w:r>
        <w:rPr>
          <w:rFonts w:hint="eastAsia" w:ascii="宋体" w:hAnsi="宋体" w:cs="宋体"/>
          <w:b/>
          <w:sz w:val="32"/>
          <w:szCs w:val="32"/>
        </w:rPr>
        <w:t>优惠条件</w:t>
      </w:r>
    </w:p>
    <w:p>
      <w:pPr>
        <w:pStyle w:val="24"/>
        <w:numPr>
          <w:ilvl w:val="0"/>
          <w:numId w:val="7"/>
        </w:numPr>
        <w:ind w:firstLine="210"/>
      </w:pPr>
    </w:p>
    <w:p>
      <w:pPr>
        <w:spacing w:line="360" w:lineRule="auto"/>
        <w:jc w:val="center"/>
        <w:rPr>
          <w:rFonts w:ascii="宋体" w:hAnsi="宋体" w:cs="宋体"/>
          <w:b/>
          <w:sz w:val="32"/>
          <w:szCs w:val="32"/>
        </w:rPr>
      </w:pPr>
      <w:r>
        <w:rPr>
          <w:rFonts w:hint="eastAsia" w:ascii="宋体" w:hAnsi="宋体" w:cs="宋体"/>
          <w:b/>
          <w:sz w:val="32"/>
          <w:szCs w:val="32"/>
        </w:rPr>
        <w:t>八、投标人对本项目的合理化建议和改进措施</w:t>
      </w:r>
    </w:p>
    <w:p>
      <w:pPr>
        <w:autoSpaceDE w:val="0"/>
        <w:autoSpaceDN w:val="0"/>
        <w:spacing w:line="360" w:lineRule="auto"/>
        <w:ind w:firstLine="120"/>
        <w:rPr>
          <w:rFonts w:ascii="宋体" w:hAnsi="宋体" w:cs="宋体"/>
          <w:sz w:val="24"/>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p>
    <w:p>
      <w:pPr>
        <w:spacing w:line="360" w:lineRule="auto"/>
        <w:jc w:val="center"/>
        <w:rPr>
          <w:rFonts w:ascii="宋体" w:hAnsi="宋体" w:cs="宋体"/>
          <w:b/>
          <w:sz w:val="32"/>
          <w:szCs w:val="32"/>
        </w:rPr>
      </w:pPr>
      <w:r>
        <w:rPr>
          <w:rFonts w:hint="eastAsia" w:ascii="宋体" w:hAnsi="宋体" w:cs="宋体"/>
          <w:b/>
          <w:sz w:val="32"/>
          <w:szCs w:val="32"/>
        </w:rPr>
        <w:t>九、认为需要的其他技术文件或说明</w:t>
      </w:r>
    </w:p>
    <w:p>
      <w:pPr>
        <w:autoSpaceDE w:val="0"/>
        <w:autoSpaceDN w:val="0"/>
        <w:spacing w:line="360" w:lineRule="auto"/>
        <w:rPr>
          <w:rFonts w:ascii="宋体" w:hAnsi="宋体" w:cs="宋体"/>
          <w:b/>
          <w:bCs/>
          <w:sz w:val="30"/>
          <w:szCs w:val="30"/>
        </w:rPr>
      </w:pPr>
    </w:p>
    <w:p>
      <w:pPr>
        <w:snapToGrid w:val="0"/>
        <w:spacing w:before="165" w:beforeLines="50" w:after="50" w:line="360" w:lineRule="auto"/>
        <w:jc w:val="center"/>
        <w:outlineLvl w:val="1"/>
        <w:rPr>
          <w:rFonts w:ascii="宋体" w:hAnsi="宋体" w:cs="宋体"/>
          <w:b/>
          <w:bCs/>
          <w:sz w:val="24"/>
        </w:rPr>
        <w:sectPr>
          <w:pgSz w:w="11906" w:h="16838"/>
          <w:pgMar w:top="1440" w:right="1080" w:bottom="1440" w:left="1080" w:header="720" w:footer="720" w:gutter="0"/>
          <w:cols w:space="720" w:num="1"/>
          <w:docGrid w:type="lines" w:linePitch="331" w:charSpace="0"/>
        </w:sectPr>
      </w:pPr>
    </w:p>
    <w:p>
      <w:pPr>
        <w:pStyle w:val="12"/>
        <w:spacing w:line="360" w:lineRule="auto"/>
        <w:jc w:val="center"/>
        <w:outlineLvl w:val="1"/>
        <w:rPr>
          <w:rFonts w:hAnsi="宋体" w:cs="宋体"/>
          <w:b/>
          <w:bCs/>
          <w:sz w:val="28"/>
          <w:szCs w:val="28"/>
        </w:rPr>
      </w:pPr>
      <w:bookmarkStart w:id="311" w:name="_Toc22229"/>
      <w:r>
        <w:rPr>
          <w:rFonts w:hint="eastAsia" w:hAnsi="宋体" w:cs="宋体"/>
          <w:b/>
          <w:bCs/>
          <w:sz w:val="28"/>
          <w:szCs w:val="28"/>
        </w:rPr>
        <w:t>第五节 报价文件格式</w:t>
      </w:r>
      <w:bookmarkEnd w:id="311"/>
    </w:p>
    <w:p>
      <w:pPr>
        <w:snapToGrid w:val="0"/>
        <w:spacing w:before="165" w:beforeLines="50" w:after="50" w:line="360" w:lineRule="auto"/>
        <w:rPr>
          <w:rFonts w:ascii="宋体" w:hAnsi="宋体" w:cs="宋体"/>
          <w:bCs/>
          <w:sz w:val="32"/>
          <w:szCs w:val="20"/>
        </w:rPr>
      </w:pPr>
      <w:r>
        <w:rPr>
          <w:rFonts w:hint="eastAsia" w:ascii="宋体" w:hAnsi="宋体" w:cs="宋体"/>
          <w:sz w:val="24"/>
        </w:rPr>
        <w:t xml:space="preserve">                                                            </w:t>
      </w:r>
      <w:r>
        <w:rPr>
          <w:rFonts w:hint="eastAsia" w:ascii="宋体" w:hAnsi="宋体" w:cs="宋体"/>
          <w:bCs/>
        </w:rPr>
        <w:t>电子投标文件</w:t>
      </w:r>
    </w:p>
    <w:p>
      <w:pPr>
        <w:snapToGrid w:val="0"/>
        <w:spacing w:before="165" w:beforeLines="50" w:after="50" w:line="360" w:lineRule="auto"/>
        <w:jc w:val="center"/>
        <w:rPr>
          <w:rFonts w:ascii="宋体" w:hAnsi="宋体" w:cs="宋体"/>
          <w:bCs/>
          <w:sz w:val="24"/>
          <w:szCs w:val="20"/>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报价文件（封面）</w:t>
      </w: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rPr>
          <w:rFonts w:ascii="宋体" w:hAnsi="宋体" w:cs="宋体"/>
          <w:bCs/>
          <w:sz w:val="24"/>
          <w:szCs w:val="20"/>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项目名称：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 xml:space="preserve">项目编号： </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所投分标：（此处有分标时填写具体分标号，无分标时填写“无”）</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投标人名称：</w:t>
      </w:r>
    </w:p>
    <w:p>
      <w:pPr>
        <w:snapToGrid w:val="0"/>
        <w:spacing w:before="165" w:beforeLines="50" w:after="50" w:line="360" w:lineRule="auto"/>
        <w:ind w:firstLine="360" w:firstLineChars="150"/>
        <w:rPr>
          <w:rFonts w:ascii="宋体" w:hAnsi="宋体" w:cs="宋体"/>
          <w:bCs/>
          <w:sz w:val="24"/>
        </w:rPr>
      </w:pPr>
    </w:p>
    <w:p>
      <w:pPr>
        <w:snapToGrid w:val="0"/>
        <w:spacing w:before="165" w:beforeLines="50" w:after="50" w:line="360" w:lineRule="auto"/>
        <w:ind w:firstLine="360" w:firstLineChars="150"/>
        <w:rPr>
          <w:rFonts w:ascii="宋体" w:hAnsi="宋体" w:cs="宋体"/>
          <w:bCs/>
          <w:sz w:val="24"/>
        </w:rPr>
      </w:pPr>
      <w:r>
        <w:rPr>
          <w:rFonts w:hint="eastAsia" w:ascii="宋体" w:hAnsi="宋体" w:cs="宋体"/>
          <w:bCs/>
          <w:sz w:val="24"/>
        </w:rPr>
        <w:t>投标人地址：</w:t>
      </w:r>
    </w:p>
    <w:p>
      <w:pPr>
        <w:pStyle w:val="7"/>
        <w:snapToGrid w:val="0"/>
        <w:spacing w:before="50" w:after="50" w:line="360" w:lineRule="auto"/>
        <w:ind w:firstLine="960" w:firstLineChars="400"/>
        <w:rPr>
          <w:rFonts w:ascii="宋体" w:hAnsi="宋体" w:cs="宋体"/>
          <w:bCs/>
          <w:sz w:val="24"/>
          <w:szCs w:val="24"/>
        </w:rPr>
      </w:pPr>
    </w:p>
    <w:p>
      <w:pPr>
        <w:snapToGrid w:val="0"/>
        <w:spacing w:before="165" w:beforeLines="50" w:after="50" w:line="360" w:lineRule="auto"/>
        <w:rPr>
          <w:rFonts w:ascii="宋体" w:hAnsi="宋体" w:cs="宋体"/>
          <w:sz w:val="24"/>
        </w:rPr>
        <w:sectPr>
          <w:pgSz w:w="11906" w:h="16838"/>
          <w:pgMar w:top="1440" w:right="1080" w:bottom="1440" w:left="1080" w:header="720" w:footer="720" w:gutter="0"/>
          <w:cols w:space="720" w:num="1"/>
          <w:docGrid w:type="lines" w:linePitch="331" w:charSpace="0"/>
        </w:sectPr>
      </w:pPr>
      <w:r>
        <w:rPr>
          <w:rFonts w:hint="eastAsia" w:ascii="宋体" w:hAnsi="宋体" w:cs="宋体"/>
          <w:sz w:val="24"/>
        </w:rPr>
        <w:t xml:space="preserve">                                                       年  月  日</w:t>
      </w:r>
    </w:p>
    <w:p>
      <w:pPr>
        <w:spacing w:line="360" w:lineRule="auto"/>
        <w:rPr>
          <w:rFonts w:ascii="宋体" w:hAnsi="宋体" w:cs="宋体"/>
        </w:rPr>
      </w:pPr>
    </w:p>
    <w:p>
      <w:pPr>
        <w:snapToGrid w:val="0"/>
        <w:spacing w:before="165" w:beforeLines="50" w:after="50" w:line="360" w:lineRule="auto"/>
        <w:jc w:val="center"/>
        <w:rPr>
          <w:rFonts w:ascii="宋体" w:hAnsi="宋体" w:cs="宋体"/>
          <w:b/>
          <w:bCs/>
          <w:sz w:val="32"/>
          <w:szCs w:val="32"/>
        </w:rPr>
      </w:pPr>
      <w:r>
        <w:rPr>
          <w:rFonts w:hint="eastAsia" w:ascii="宋体" w:hAnsi="宋体" w:cs="宋体"/>
          <w:b/>
          <w:bCs/>
          <w:sz w:val="32"/>
          <w:szCs w:val="32"/>
        </w:rPr>
        <w:t>报价文件目录</w:t>
      </w:r>
    </w:p>
    <w:p>
      <w:pPr>
        <w:spacing w:line="360" w:lineRule="auto"/>
        <w:rPr>
          <w:rFonts w:ascii="宋体" w:hAnsi="宋体" w:cs="宋体"/>
        </w:rPr>
      </w:pPr>
    </w:p>
    <w:p>
      <w:pPr>
        <w:pStyle w:val="35"/>
        <w:spacing w:line="360" w:lineRule="auto"/>
        <w:rPr>
          <w:rFonts w:ascii="宋体" w:hAnsi="宋体" w:eastAsia="宋体" w:cs="宋体"/>
          <w:lang w:val="zh-CN"/>
        </w:rPr>
      </w:pPr>
      <w:r>
        <w:rPr>
          <w:rFonts w:hint="eastAsia" w:ascii="宋体" w:hAnsi="宋体" w:eastAsia="宋体" w:cs="宋体"/>
          <w:lang w:val="zh-CN"/>
        </w:rPr>
        <w:t>一、投标函………………………………………………………（页码）</w:t>
      </w:r>
    </w:p>
    <w:p>
      <w:pPr>
        <w:pStyle w:val="35"/>
        <w:spacing w:line="360" w:lineRule="auto"/>
        <w:rPr>
          <w:rFonts w:ascii="宋体" w:hAnsi="宋体" w:eastAsia="宋体" w:cs="宋体"/>
          <w:lang w:val="zh-CN"/>
        </w:rPr>
      </w:pPr>
      <w:r>
        <w:rPr>
          <w:rFonts w:hint="eastAsia" w:ascii="宋体" w:hAnsi="宋体" w:eastAsia="宋体" w:cs="宋体"/>
          <w:lang w:val="zh-CN"/>
        </w:rPr>
        <w:t>二、开标一览表…………………………………………………（页码）</w:t>
      </w:r>
    </w:p>
    <w:p>
      <w:pPr>
        <w:pStyle w:val="35"/>
        <w:spacing w:line="360" w:lineRule="auto"/>
        <w:rPr>
          <w:rFonts w:ascii="宋体" w:hAnsi="宋体" w:eastAsia="宋体" w:cs="宋体"/>
          <w:lang w:val="zh-CN"/>
        </w:rPr>
      </w:pPr>
      <w:r>
        <w:rPr>
          <w:rFonts w:hint="eastAsia" w:ascii="宋体" w:hAnsi="宋体" w:eastAsia="宋体" w:cs="宋体"/>
          <w:lang w:val="zh-CN"/>
        </w:rPr>
        <w:t>三、中小企业声明函或残疾人福利性单位声明函或投标人属于监狱企业的证明材料……………………………………………（页码）</w:t>
      </w:r>
    </w:p>
    <w:p>
      <w:pPr>
        <w:pStyle w:val="35"/>
        <w:spacing w:line="360" w:lineRule="auto"/>
        <w:rPr>
          <w:rFonts w:ascii="宋体" w:hAnsi="宋体" w:eastAsia="宋体" w:cs="宋体"/>
          <w:lang w:val="zh-CN"/>
        </w:rPr>
        <w:sectPr>
          <w:pgSz w:w="11906" w:h="16838"/>
          <w:pgMar w:top="1440" w:right="1080" w:bottom="1440" w:left="1080" w:header="720" w:footer="720" w:gutter="0"/>
          <w:cols w:space="720" w:num="1"/>
          <w:docGrid w:type="lines" w:linePitch="331" w:charSpace="0"/>
        </w:sectPr>
      </w:pPr>
      <w:r>
        <w:rPr>
          <w:rFonts w:hint="eastAsia" w:ascii="宋体" w:hAnsi="宋体" w:eastAsia="宋体" w:cs="宋体"/>
          <w:lang w:val="zh-CN"/>
        </w:rPr>
        <w:t>四、投标人针对报价需要说明的其他文件和说明…………………………（页码）</w:t>
      </w:r>
    </w:p>
    <w:p>
      <w:pPr>
        <w:pStyle w:val="12"/>
        <w:spacing w:line="360" w:lineRule="auto"/>
        <w:jc w:val="center"/>
        <w:rPr>
          <w:rFonts w:hAnsi="宋体" w:cs="宋体"/>
          <w:b/>
          <w:bCs/>
          <w:sz w:val="30"/>
          <w:szCs w:val="30"/>
        </w:rPr>
      </w:pPr>
      <w:r>
        <w:rPr>
          <w:rFonts w:hint="eastAsia" w:hAnsi="宋体" w:cs="宋体"/>
          <w:b/>
          <w:bCs/>
          <w:sz w:val="30"/>
          <w:szCs w:val="30"/>
        </w:rPr>
        <w:t>一、投标函</w:t>
      </w:r>
    </w:p>
    <w:p>
      <w:pPr>
        <w:pStyle w:val="12"/>
        <w:spacing w:line="360" w:lineRule="auto"/>
        <w:ind w:firstLine="420" w:firstLineChars="200"/>
        <w:rPr>
          <w:rFonts w:hAnsi="宋体" w:cs="宋体"/>
          <w:u w:val="single"/>
        </w:rPr>
      </w:pPr>
      <w:r>
        <w:rPr>
          <w:rFonts w:hint="eastAsia" w:hAnsi="宋体" w:cs="宋体"/>
        </w:rPr>
        <w:t>致：</w:t>
      </w:r>
      <w:r>
        <w:rPr>
          <w:rFonts w:hint="eastAsia" w:hAnsi="宋体" w:cs="宋体"/>
          <w:u w:val="single"/>
        </w:rPr>
        <w:t xml:space="preserve">                     </w:t>
      </w:r>
    </w:p>
    <w:p>
      <w:pPr>
        <w:pStyle w:val="12"/>
        <w:spacing w:line="360" w:lineRule="auto"/>
        <w:ind w:firstLine="420" w:firstLineChars="200"/>
        <w:rPr>
          <w:rFonts w:hAnsi="宋体" w:cs="宋体"/>
        </w:rPr>
      </w:pPr>
      <w:r>
        <w:rPr>
          <w:rFonts w:hint="eastAsia" w:hAnsi="宋体" w:cs="宋体"/>
        </w:rPr>
        <w:t>我方已仔细阅读了贵方组织的</w:t>
      </w:r>
      <w:r>
        <w:rPr>
          <w:rFonts w:hint="eastAsia" w:hAnsi="宋体" w:cs="宋体"/>
          <w:u w:val="single"/>
        </w:rPr>
        <w:t xml:space="preserve">             </w:t>
      </w:r>
      <w:r>
        <w:rPr>
          <w:rFonts w:hint="eastAsia" w:hAnsi="宋体" w:cs="宋体"/>
        </w:rPr>
        <w:t>项目（项目编号：</w:t>
      </w:r>
      <w:r>
        <w:rPr>
          <w:rFonts w:hint="eastAsia" w:hAnsi="宋体" w:cs="宋体"/>
          <w:u w:val="single"/>
        </w:rPr>
        <w:t xml:space="preserve">             </w:t>
      </w:r>
      <w:r>
        <w:rPr>
          <w:rFonts w:hint="eastAsia" w:hAnsi="宋体" w:cs="宋体"/>
        </w:rPr>
        <w:t>）的招标文件的全部内容，授权</w:t>
      </w:r>
      <w:r>
        <w:rPr>
          <w:rFonts w:hint="eastAsia" w:hAnsi="宋体" w:cs="宋体"/>
          <w:u w:val="single"/>
        </w:rPr>
        <w:t xml:space="preserve">                      （</w:t>
      </w:r>
      <w:r>
        <w:rPr>
          <w:rFonts w:hint="eastAsia" w:hAnsi="宋体" w:cs="宋体"/>
        </w:rPr>
        <w:t>全权代表姓名）</w:t>
      </w:r>
      <w:r>
        <w:rPr>
          <w:rFonts w:hint="eastAsia" w:hAnsi="宋体" w:cs="宋体"/>
          <w:u w:val="single"/>
        </w:rPr>
        <w:t xml:space="preserve">          </w:t>
      </w:r>
      <w:r>
        <w:rPr>
          <w:rFonts w:hint="eastAsia" w:hAnsi="宋体" w:cs="宋体"/>
        </w:rPr>
        <w:t xml:space="preserve"> （职务、职称）为全权代表，现正式递交下述文件参加贵方组织的本次政府采购活动： </w:t>
      </w:r>
    </w:p>
    <w:p>
      <w:pPr>
        <w:pStyle w:val="12"/>
        <w:spacing w:line="360" w:lineRule="auto"/>
        <w:ind w:firstLine="420" w:firstLineChars="200"/>
        <w:rPr>
          <w:rFonts w:hAnsi="宋体" w:cs="宋体"/>
        </w:rPr>
      </w:pPr>
      <w:r>
        <w:rPr>
          <w:rFonts w:hint="eastAsia" w:hAnsi="宋体" w:cs="宋体"/>
        </w:rPr>
        <w:t>一、报价文件电子版一份（包含按投标人须知前附表要求提交的全部文件）；</w:t>
      </w:r>
    </w:p>
    <w:p>
      <w:pPr>
        <w:pStyle w:val="12"/>
        <w:spacing w:line="360" w:lineRule="auto"/>
        <w:ind w:firstLine="482"/>
        <w:rPr>
          <w:rFonts w:hAnsi="宋体" w:cs="宋体"/>
        </w:rPr>
      </w:pPr>
      <w:r>
        <w:rPr>
          <w:rFonts w:hint="eastAsia" w:hAnsi="宋体" w:cs="宋体"/>
        </w:rPr>
        <w:t>二、资格文件电子版一份（包含按投标人须知前附表要求提交的全部文件）；</w:t>
      </w:r>
    </w:p>
    <w:p>
      <w:pPr>
        <w:pStyle w:val="12"/>
        <w:spacing w:line="360" w:lineRule="auto"/>
        <w:ind w:firstLine="482"/>
        <w:rPr>
          <w:rFonts w:hAnsi="宋体" w:cs="宋体"/>
        </w:rPr>
      </w:pPr>
      <w:r>
        <w:rPr>
          <w:rFonts w:hint="eastAsia" w:hAnsi="宋体" w:cs="宋体"/>
        </w:rPr>
        <w:t>三、技术文件电子版一份（包含按投标人须知前附表要求提交的全部文件）；</w:t>
      </w:r>
    </w:p>
    <w:p>
      <w:pPr>
        <w:pStyle w:val="12"/>
        <w:spacing w:line="360" w:lineRule="auto"/>
        <w:ind w:firstLine="482"/>
        <w:rPr>
          <w:rFonts w:hAnsi="宋体" w:cs="宋体"/>
        </w:rPr>
      </w:pPr>
      <w:r>
        <w:rPr>
          <w:rFonts w:hint="eastAsia" w:hAnsi="宋体" w:cs="宋体"/>
        </w:rPr>
        <w:t>四、商务文件电子版一份（包含按投标人须知前附表要求提交的全部文件）；</w:t>
      </w:r>
    </w:p>
    <w:p>
      <w:pPr>
        <w:pStyle w:val="12"/>
        <w:spacing w:line="360" w:lineRule="auto"/>
        <w:ind w:firstLine="482"/>
        <w:rPr>
          <w:rFonts w:hAnsi="宋体" w:cs="宋体"/>
        </w:rPr>
      </w:pPr>
      <w:r>
        <w:rPr>
          <w:rFonts w:hint="eastAsia" w:hAnsi="宋体" w:cs="宋体"/>
        </w:rPr>
        <w:t>据此函，签字人兹宣布：</w:t>
      </w:r>
    </w:p>
    <w:p>
      <w:pPr>
        <w:pStyle w:val="12"/>
        <w:spacing w:line="360" w:lineRule="auto"/>
        <w:ind w:firstLine="420" w:firstLineChars="200"/>
        <w:rPr>
          <w:rFonts w:hAnsi="宋体" w:cs="宋体"/>
        </w:rPr>
      </w:pPr>
      <w:r>
        <w:rPr>
          <w:rFonts w:hint="eastAsia" w:hAnsi="宋体" w:cs="宋体"/>
        </w:rPr>
        <w:t>1、我方愿意以（大写）人民币</w:t>
      </w:r>
      <w:r>
        <w:rPr>
          <w:rFonts w:hint="eastAsia" w:hAnsi="宋体" w:cs="宋体"/>
          <w:u w:val="single"/>
        </w:rPr>
        <w:t xml:space="preserve">              </w:t>
      </w:r>
      <w:r>
        <w:rPr>
          <w:rFonts w:hint="eastAsia" w:hAnsi="宋体" w:cs="宋体"/>
        </w:rPr>
        <w:t>元 (￥</w:t>
      </w:r>
      <w:r>
        <w:rPr>
          <w:rFonts w:hint="eastAsia" w:hAnsi="宋体" w:cs="宋体"/>
          <w:u w:val="single"/>
        </w:rPr>
        <w:t xml:space="preserve">          </w:t>
      </w:r>
      <w:r>
        <w:rPr>
          <w:rFonts w:hint="eastAsia" w:hAnsi="宋体" w:cs="宋体"/>
        </w:rPr>
        <w:t>元）的投标总报价，提交货物时间（无分标时填写）</w:t>
      </w:r>
      <w:r>
        <w:rPr>
          <w:rFonts w:hint="eastAsia" w:hAnsi="宋体" w:cs="宋体"/>
          <w:u w:val="single"/>
        </w:rPr>
        <w:t xml:space="preserve">              </w:t>
      </w:r>
      <w:r>
        <w:rPr>
          <w:rFonts w:hint="eastAsia" w:hAnsi="宋体" w:cs="宋体"/>
        </w:rPr>
        <w:t>，提供本项目招标文件第二章“货物需求一览表”中的相应的采购内容。</w:t>
      </w:r>
    </w:p>
    <w:p>
      <w:pPr>
        <w:pStyle w:val="12"/>
        <w:spacing w:line="360" w:lineRule="auto"/>
        <w:ind w:firstLine="420" w:firstLineChars="200"/>
        <w:rPr>
          <w:rFonts w:hAnsi="宋体" w:cs="宋体"/>
          <w:u w:val="single"/>
        </w:rPr>
      </w:pPr>
      <w:r>
        <w:rPr>
          <w:rFonts w:hint="eastAsia" w:hAnsi="宋体" w:cs="宋体"/>
        </w:rPr>
        <w:t>2、我方同意自本项目招标文件“第三章 投标人须知”第一节 投标人须知前附表 第21.2项规定的投标截止时间（开标时间）起遵循本投标函，并承诺在“投标人须知前附表”第17.2项规定的投标有效期内不修改、撤销投标文件。</w:t>
      </w:r>
    </w:p>
    <w:p>
      <w:pPr>
        <w:pStyle w:val="12"/>
        <w:spacing w:line="360" w:lineRule="auto"/>
        <w:ind w:firstLine="420" w:firstLineChars="200"/>
        <w:rPr>
          <w:rFonts w:hAnsi="宋体" w:cs="宋体"/>
          <w:u w:val="single"/>
        </w:rPr>
      </w:pPr>
      <w:r>
        <w:rPr>
          <w:rFonts w:hint="eastAsia" w:hAnsi="宋体" w:cs="宋体"/>
        </w:rPr>
        <w:t>3、我方所递交的投标文件及有关资料都是内容完整、真实和准确的。</w:t>
      </w:r>
    </w:p>
    <w:p>
      <w:pPr>
        <w:pStyle w:val="12"/>
        <w:spacing w:line="360" w:lineRule="auto"/>
        <w:ind w:firstLine="482"/>
        <w:rPr>
          <w:rFonts w:hAnsi="宋体" w:cs="宋体"/>
        </w:rPr>
      </w:pPr>
      <w:r>
        <w:rPr>
          <w:rFonts w:hint="eastAsia" w:hAnsi="宋体" w:cs="宋体"/>
        </w:rPr>
        <w:t>4、</w:t>
      </w:r>
      <w:r>
        <w:rPr>
          <w:rFonts w:hint="eastAsia" w:hAnsi="宋体" w:cs="宋体"/>
          <w:szCs w:val="21"/>
        </w:rPr>
        <w:t>如本项目采购内容涉及须符合国家强制规定的，我方承诺我方本次投标（包括资格条件和所投产品）均符合国家有关强制规定。</w:t>
      </w:r>
    </w:p>
    <w:p>
      <w:pPr>
        <w:pStyle w:val="12"/>
        <w:spacing w:line="360" w:lineRule="auto"/>
        <w:ind w:firstLine="420" w:firstLineChars="200"/>
        <w:rPr>
          <w:rFonts w:hAnsi="宋体" w:cs="宋体"/>
        </w:rPr>
      </w:pPr>
      <w:r>
        <w:rPr>
          <w:rFonts w:hint="eastAsia" w:hAnsi="宋体" w:cs="宋体"/>
        </w:rPr>
        <w:t>5、如我方中标，我方承诺在收到中标通知书后，在中标通知书规定的期限内，根据招标文件、我方的投标文件及有关澄清承诺书的要求按第五章“拟签订的合同文本”与采购人订立书面合同，并按照合同约定承担完成合同的责任和义务。</w:t>
      </w:r>
    </w:p>
    <w:p>
      <w:pPr>
        <w:pStyle w:val="12"/>
        <w:spacing w:line="360" w:lineRule="auto"/>
        <w:ind w:firstLine="420" w:firstLineChars="200"/>
        <w:rPr>
          <w:rFonts w:hAnsi="宋体" w:cs="宋体"/>
        </w:rPr>
      </w:pPr>
      <w:r>
        <w:rPr>
          <w:rFonts w:hint="eastAsia" w:hAnsi="宋体" w:cs="宋体"/>
        </w:rPr>
        <w:t>6、我方已详细审核招标文件，我方知道必须放弃提出含糊不清或误解问题的权利。</w:t>
      </w:r>
    </w:p>
    <w:p>
      <w:pPr>
        <w:pStyle w:val="12"/>
        <w:spacing w:line="360" w:lineRule="auto"/>
        <w:ind w:firstLine="420" w:firstLineChars="200"/>
        <w:rPr>
          <w:rFonts w:hAnsi="宋体" w:cs="宋体"/>
        </w:rPr>
      </w:pPr>
      <w:r>
        <w:rPr>
          <w:rFonts w:hint="eastAsia" w:hAnsi="宋体" w:cs="宋体"/>
        </w:rPr>
        <w:t>7、我方同意应贵方要求提供与本投标有关的任何数据或资料。若贵方需要，我方愿意提供我方作出的一切承诺的证明材料。</w:t>
      </w:r>
    </w:p>
    <w:p>
      <w:pPr>
        <w:pStyle w:val="12"/>
        <w:spacing w:line="360" w:lineRule="auto"/>
        <w:ind w:firstLine="420" w:firstLineChars="200"/>
        <w:rPr>
          <w:rFonts w:hAnsi="宋体" w:cs="宋体"/>
        </w:rPr>
      </w:pPr>
      <w:r>
        <w:rPr>
          <w:rFonts w:hint="eastAsia" w:hAnsi="宋体" w:cs="宋体"/>
        </w:rPr>
        <w:t>8、我方完全理解贵方不一定接受投标报价最低的投标人为中标人的行为。</w:t>
      </w:r>
    </w:p>
    <w:p>
      <w:pPr>
        <w:pStyle w:val="12"/>
        <w:spacing w:line="360" w:lineRule="auto"/>
        <w:ind w:firstLine="420" w:firstLineChars="200"/>
        <w:rPr>
          <w:rFonts w:hAnsi="宋体" w:cs="宋体"/>
        </w:rPr>
      </w:pPr>
      <w:r>
        <w:rPr>
          <w:rFonts w:hint="eastAsia" w:hAnsi="宋体" w:cs="宋体"/>
        </w:rPr>
        <w:t>9、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pPr>
        <w:pStyle w:val="12"/>
        <w:numPr>
          <w:ilvl w:val="0"/>
          <w:numId w:val="8"/>
        </w:numPr>
        <w:spacing w:line="360" w:lineRule="auto"/>
        <w:rPr>
          <w:rFonts w:hAnsi="宋体" w:cs="宋体"/>
        </w:rPr>
      </w:pPr>
      <w:r>
        <w:rPr>
          <w:rFonts w:hint="eastAsia" w:hAnsi="宋体" w:cs="宋体"/>
        </w:rPr>
        <w:t>提供虚假材料谋取中标、成交的；</w:t>
      </w:r>
    </w:p>
    <w:p>
      <w:pPr>
        <w:pStyle w:val="12"/>
        <w:numPr>
          <w:ilvl w:val="0"/>
          <w:numId w:val="8"/>
        </w:numPr>
        <w:spacing w:line="360" w:lineRule="auto"/>
        <w:rPr>
          <w:rFonts w:hAnsi="宋体" w:cs="宋体"/>
        </w:rPr>
      </w:pPr>
      <w:r>
        <w:rPr>
          <w:rFonts w:hint="eastAsia" w:hAnsi="宋体" w:cs="宋体"/>
        </w:rPr>
        <w:t>采取不正当手段诋毁、排挤其他供应商的；</w:t>
      </w:r>
    </w:p>
    <w:p>
      <w:pPr>
        <w:pStyle w:val="12"/>
        <w:numPr>
          <w:ilvl w:val="0"/>
          <w:numId w:val="8"/>
        </w:numPr>
        <w:spacing w:line="360" w:lineRule="auto"/>
        <w:rPr>
          <w:rFonts w:hAnsi="宋体" w:cs="宋体"/>
        </w:rPr>
      </w:pPr>
      <w:r>
        <w:rPr>
          <w:rFonts w:hint="eastAsia" w:hAnsi="宋体" w:cs="宋体"/>
        </w:rPr>
        <w:t>与采购人、其他供应商或者采购代理机构恶意串通的；</w:t>
      </w:r>
    </w:p>
    <w:p>
      <w:pPr>
        <w:pStyle w:val="12"/>
        <w:numPr>
          <w:ilvl w:val="0"/>
          <w:numId w:val="8"/>
        </w:numPr>
        <w:spacing w:line="360" w:lineRule="auto"/>
        <w:rPr>
          <w:rFonts w:hAnsi="宋体" w:cs="宋体"/>
        </w:rPr>
      </w:pPr>
      <w:r>
        <w:rPr>
          <w:rFonts w:hint="eastAsia" w:hAnsi="宋体" w:cs="宋体"/>
        </w:rPr>
        <w:t>向采购人、采购代理机构行贿或者提供其他不正当利益的；</w:t>
      </w:r>
    </w:p>
    <w:p>
      <w:pPr>
        <w:pStyle w:val="12"/>
        <w:numPr>
          <w:ilvl w:val="0"/>
          <w:numId w:val="8"/>
        </w:numPr>
        <w:spacing w:line="360" w:lineRule="auto"/>
        <w:rPr>
          <w:rFonts w:hAnsi="宋体" w:cs="宋体"/>
        </w:rPr>
      </w:pPr>
      <w:r>
        <w:rPr>
          <w:rFonts w:hint="eastAsia" w:hAnsi="宋体" w:cs="宋体"/>
        </w:rPr>
        <w:t>在招标采购过程中与采购人进行协商谈判的；</w:t>
      </w:r>
    </w:p>
    <w:p>
      <w:pPr>
        <w:pStyle w:val="12"/>
        <w:numPr>
          <w:ilvl w:val="0"/>
          <w:numId w:val="8"/>
        </w:numPr>
        <w:spacing w:line="360" w:lineRule="auto"/>
        <w:rPr>
          <w:rFonts w:hAnsi="宋体" w:cs="宋体"/>
        </w:rPr>
      </w:pPr>
      <w:r>
        <w:rPr>
          <w:rFonts w:hint="eastAsia" w:hAnsi="宋体" w:cs="宋体"/>
        </w:rPr>
        <w:t>拒绝有关部门监督检查或提供虚假情况的。</w:t>
      </w:r>
    </w:p>
    <w:p>
      <w:pPr>
        <w:pStyle w:val="12"/>
        <w:spacing w:line="360" w:lineRule="auto"/>
        <w:ind w:left="420"/>
        <w:rPr>
          <w:rFonts w:hAnsi="宋体" w:cs="宋体"/>
        </w:rPr>
      </w:pPr>
      <w:r>
        <w:rPr>
          <w:rFonts w:hint="eastAsia" w:hAnsi="宋体" w:cs="宋体"/>
        </w:rPr>
        <w:t>10、我方及由本人担任法定代表人的其他机构最近三年内被处罚的违法行为有：</w:t>
      </w:r>
      <w:r>
        <w:rPr>
          <w:rFonts w:hint="eastAsia" w:hAnsi="宋体" w:cs="宋体"/>
          <w:u w:val="single"/>
        </w:rPr>
        <w:t xml:space="preserve">                                        </w:t>
      </w:r>
    </w:p>
    <w:p>
      <w:pPr>
        <w:pStyle w:val="12"/>
        <w:spacing w:line="360" w:lineRule="auto"/>
        <w:ind w:left="420"/>
        <w:rPr>
          <w:rFonts w:hAnsi="宋体" w:cs="宋体"/>
        </w:rPr>
      </w:pP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11、以上事项如有虚假或隐瞒，我方愿意承担一切后果，并不再寻求任何旨在减轻或免除法律责任的辩解。</w:t>
      </w:r>
    </w:p>
    <w:p>
      <w:pPr>
        <w:pStyle w:val="12"/>
        <w:spacing w:line="360" w:lineRule="auto"/>
        <w:ind w:firstLine="420"/>
        <w:rPr>
          <w:rFonts w:hAnsi="宋体" w:cs="宋体"/>
        </w:rPr>
      </w:pPr>
      <w:r>
        <w:rPr>
          <w:rFonts w:hint="eastAsia" w:hAnsi="宋体" w:cs="宋体"/>
        </w:rPr>
        <w:t>12、与本投标有关的一切正式往来信函请寄：</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地址：</w:t>
      </w:r>
      <w:r>
        <w:rPr>
          <w:rFonts w:hint="eastAsia" w:hAnsi="宋体" w:cs="宋体"/>
          <w:u w:val="single"/>
        </w:rPr>
        <w:t xml:space="preserve">                                                        </w:t>
      </w:r>
      <w:r>
        <w:rPr>
          <w:rFonts w:hint="eastAsia" w:hAnsi="宋体" w:cs="宋体"/>
        </w:rPr>
        <w:t xml:space="preserve"> </w:t>
      </w:r>
    </w:p>
    <w:p>
      <w:pPr>
        <w:pStyle w:val="12"/>
        <w:spacing w:line="360" w:lineRule="auto"/>
        <w:ind w:firstLine="420"/>
        <w:rPr>
          <w:rFonts w:hAnsi="宋体" w:cs="宋体"/>
          <w:u w:val="single"/>
        </w:rPr>
      </w:pPr>
      <w:r>
        <w:rPr>
          <w:rFonts w:hint="eastAsia" w:hAnsi="宋体" w:cs="宋体"/>
        </w:rPr>
        <w:t>电话：</w:t>
      </w:r>
      <w:r>
        <w:rPr>
          <w:rFonts w:hint="eastAsia" w:hAnsi="宋体" w:cs="宋体"/>
          <w:u w:val="single"/>
        </w:rPr>
        <w:t xml:space="preserve">                                      　　　　　　　　　</w:t>
      </w:r>
    </w:p>
    <w:p>
      <w:pPr>
        <w:pStyle w:val="12"/>
        <w:spacing w:line="360" w:lineRule="auto"/>
        <w:ind w:firstLine="420"/>
        <w:rPr>
          <w:rFonts w:hAnsi="宋体" w:cs="宋体"/>
        </w:rPr>
      </w:pPr>
      <w:r>
        <w:rPr>
          <w:rFonts w:hint="eastAsia" w:hAnsi="宋体" w:cs="宋体"/>
        </w:rPr>
        <w:t>传真：</w:t>
      </w:r>
      <w:r>
        <w:rPr>
          <w:rFonts w:hint="eastAsia" w:hAnsi="宋体" w:cs="宋体"/>
          <w:u w:val="single"/>
        </w:rPr>
        <w:t>　　　　　　　　　　　　　　　　　　　　　　　　　　　　</w:t>
      </w:r>
    </w:p>
    <w:p>
      <w:pPr>
        <w:pStyle w:val="12"/>
        <w:spacing w:line="360" w:lineRule="auto"/>
        <w:ind w:firstLine="420"/>
        <w:rPr>
          <w:rFonts w:hAnsi="宋体" w:cs="宋体"/>
          <w:u w:val="single"/>
        </w:rPr>
      </w:pPr>
      <w:r>
        <w:rPr>
          <w:rFonts w:hint="eastAsia" w:hAnsi="宋体" w:cs="宋体"/>
        </w:rPr>
        <w:t>邮政编码：</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开户名称：</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开户银行：</w:t>
      </w:r>
      <w:r>
        <w:rPr>
          <w:rFonts w:hint="eastAsia" w:hAnsi="宋体" w:cs="宋体"/>
          <w:u w:val="single"/>
        </w:rPr>
        <w:t xml:space="preserve">                                                    </w:t>
      </w:r>
    </w:p>
    <w:p>
      <w:pPr>
        <w:pStyle w:val="12"/>
        <w:spacing w:line="360" w:lineRule="auto"/>
        <w:ind w:firstLine="420"/>
        <w:rPr>
          <w:rFonts w:hAnsi="宋体" w:cs="宋体"/>
          <w:u w:val="single"/>
        </w:rPr>
      </w:pPr>
      <w:r>
        <w:rPr>
          <w:rFonts w:hint="eastAsia" w:hAnsi="宋体" w:cs="宋体"/>
        </w:rPr>
        <w:t>银行账号：</w:t>
      </w:r>
      <w:r>
        <w:rPr>
          <w:rFonts w:hint="eastAsia" w:hAnsi="宋体" w:cs="宋体"/>
          <w:u w:val="single"/>
        </w:rPr>
        <w:t xml:space="preserve">                                                    </w:t>
      </w: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snapToGrid w:val="0"/>
        <w:spacing w:line="360" w:lineRule="auto"/>
        <w:ind w:firstLine="5160" w:firstLineChars="2150"/>
        <w:rPr>
          <w:rFonts w:ascii="宋体" w:hAnsi="宋体" w:cs="宋体"/>
          <w:kern w:val="0"/>
          <w:sz w:val="24"/>
          <w:lang w:val="zh-CN"/>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sz w:val="30"/>
        </w:rPr>
        <w:t>二、</w:t>
      </w:r>
      <w:r>
        <w:rPr>
          <w:rFonts w:hint="eastAsia" w:hAnsi="宋体" w:cs="宋体"/>
          <w:b/>
          <w:sz w:val="30"/>
          <w:szCs w:val="30"/>
        </w:rPr>
        <w:t>开标一览表（</w:t>
      </w:r>
      <w:r>
        <w:rPr>
          <w:rFonts w:hint="eastAsia" w:hAnsi="宋体" w:cs="宋体"/>
          <w:b/>
          <w:kern w:val="0"/>
          <w:sz w:val="24"/>
          <w:lang w:val="zh-CN"/>
        </w:rPr>
        <w:t>单位均为人民币元）</w:t>
      </w:r>
    </w:p>
    <w:p>
      <w:pPr>
        <w:snapToGrid w:val="0"/>
        <w:spacing w:before="50" w:after="50"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r>
        <w:rPr>
          <w:rFonts w:hint="eastAsia" w:ascii="宋体" w:hAnsi="宋体" w:cs="宋体"/>
          <w:sz w:val="24"/>
        </w:rPr>
        <w:t xml:space="preserve">  </w:t>
      </w:r>
    </w:p>
    <w:p>
      <w:pPr>
        <w:snapToGrid w:val="0"/>
        <w:spacing w:before="50" w:after="50" w:line="360" w:lineRule="auto"/>
        <w:rPr>
          <w:rFonts w:ascii="宋体" w:hAnsi="宋体" w:cs="宋体"/>
          <w:sz w:val="24"/>
        </w:rPr>
      </w:pPr>
      <w:r>
        <w:rPr>
          <w:rFonts w:hint="eastAsia" w:ascii="宋体" w:hAnsi="宋体" w:cs="宋体"/>
          <w:sz w:val="24"/>
        </w:rPr>
        <w:t>项目编号：</w:t>
      </w:r>
      <w:r>
        <w:rPr>
          <w:rFonts w:hint="eastAsia" w:ascii="宋体" w:hAnsi="宋体" w:cs="宋体"/>
          <w:sz w:val="24"/>
          <w:u w:val="single"/>
        </w:rPr>
        <w:t xml:space="preserve">                        </w:t>
      </w:r>
      <w:r>
        <w:rPr>
          <w:rFonts w:hint="eastAsia" w:ascii="宋体" w:hAnsi="宋体" w:cs="宋体"/>
          <w:sz w:val="24"/>
        </w:rPr>
        <w:t xml:space="preserve"> </w:t>
      </w:r>
    </w:p>
    <w:p>
      <w:pPr>
        <w:pStyle w:val="12"/>
        <w:spacing w:line="360" w:lineRule="auto"/>
        <w:rPr>
          <w:rFonts w:hAnsi="宋体" w:cs="宋体"/>
          <w:b/>
          <w:sz w:val="32"/>
        </w:rPr>
      </w:pPr>
      <w:r>
        <w:rPr>
          <w:rFonts w:hint="eastAsia" w:hAnsi="宋体" w:cs="宋体"/>
          <w:sz w:val="24"/>
        </w:rPr>
        <w:t>投标人名称：</w:t>
      </w:r>
      <w:r>
        <w:rPr>
          <w:rFonts w:hint="eastAsia" w:hAnsi="宋体" w:cs="宋体"/>
          <w:sz w:val="24"/>
          <w:u w:val="single"/>
        </w:rPr>
        <w:t xml:space="preserve">                     </w:t>
      </w:r>
      <w:r>
        <w:rPr>
          <w:rFonts w:hint="eastAsia" w:hAnsi="宋体" w:cs="宋体"/>
          <w:sz w:val="24"/>
        </w:rPr>
        <w:t xml:space="preserve">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118"/>
        <w:gridCol w:w="1281"/>
        <w:gridCol w:w="1725"/>
        <w:gridCol w:w="728"/>
        <w:gridCol w:w="1535"/>
        <w:gridCol w:w="1702"/>
        <w:gridCol w:w="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序号</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货物名称</w:t>
            </w: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规格型号</w:t>
            </w: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品牌（如有）</w:t>
            </w: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数量①</w:t>
            </w: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单价（元）②</w:t>
            </w: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1"/>
              </w:rPr>
              <w:t>分项报价</w:t>
            </w:r>
            <w:r>
              <w:rPr>
                <w:rFonts w:hint="eastAsia" w:ascii="宋体" w:hAnsi="宋体" w:cs="宋体"/>
                <w:szCs w:val="22"/>
              </w:rPr>
              <w:t>（元）</w:t>
            </w:r>
          </w:p>
          <w:p>
            <w:pPr>
              <w:spacing w:line="360" w:lineRule="auto"/>
              <w:jc w:val="center"/>
              <w:rPr>
                <w:rFonts w:ascii="宋体" w:hAnsi="宋体" w:cs="宋体"/>
                <w:szCs w:val="22"/>
              </w:rPr>
            </w:pPr>
            <w:r>
              <w:rPr>
                <w:rFonts w:hint="eastAsia" w:ascii="宋体" w:hAnsi="宋体" w:cs="宋体"/>
                <w:szCs w:val="22"/>
              </w:rPr>
              <w:t>③＝①×②</w:t>
            </w:r>
          </w:p>
        </w:tc>
        <w:tc>
          <w:tcPr>
            <w:tcW w:w="8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1</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2</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3</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65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r>
              <w:rPr>
                <w:rFonts w:hint="eastAsia" w:ascii="宋体" w:hAnsi="宋体" w:cs="宋体"/>
                <w:szCs w:val="22"/>
              </w:rPr>
              <w:t>……</w:t>
            </w:r>
          </w:p>
        </w:tc>
        <w:tc>
          <w:tcPr>
            <w:tcW w:w="111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28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2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72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53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170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szCs w:val="22"/>
              </w:rPr>
            </w:pPr>
          </w:p>
        </w:tc>
        <w:tc>
          <w:tcPr>
            <w:tcW w:w="899" w:type="dxa"/>
            <w:tcBorders>
              <w:top w:val="single" w:color="auto" w:sz="4" w:space="0"/>
              <w:left w:val="single" w:color="auto" w:sz="4" w:space="0"/>
              <w:bottom w:val="single" w:color="auto" w:sz="4" w:space="0"/>
              <w:right w:val="single" w:color="auto" w:sz="4" w:space="0"/>
            </w:tcBorders>
          </w:tcPr>
          <w:p>
            <w:pPr>
              <w:spacing w:line="360" w:lineRule="auto"/>
              <w:jc w:val="center"/>
              <w:rPr>
                <w:rFonts w:ascii="宋体" w:hAnsi="宋体" w:cs="宋体"/>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638" w:type="dxa"/>
            <w:gridSpan w:val="8"/>
            <w:tcBorders>
              <w:top w:val="single" w:color="auto" w:sz="4" w:space="0"/>
              <w:left w:val="single" w:color="auto" w:sz="4" w:space="0"/>
              <w:bottom w:val="single" w:color="auto" w:sz="4" w:space="0"/>
              <w:right w:val="single" w:color="auto" w:sz="4" w:space="0"/>
            </w:tcBorders>
          </w:tcPr>
          <w:p>
            <w:pPr>
              <w:spacing w:line="360" w:lineRule="auto"/>
              <w:jc w:val="left"/>
              <w:rPr>
                <w:rFonts w:ascii="宋体" w:hAnsi="宋体" w:cs="宋体"/>
                <w:szCs w:val="22"/>
              </w:rPr>
            </w:pPr>
            <w:r>
              <w:rPr>
                <w:rFonts w:hint="eastAsia" w:ascii="宋体" w:hAnsi="宋体" w:cs="宋体"/>
                <w:szCs w:val="22"/>
              </w:rPr>
              <w:t>报价合计（包含税费等所有费用）：</w:t>
            </w:r>
            <w:r>
              <w:rPr>
                <w:rFonts w:hint="eastAsia" w:ascii="宋体" w:hAnsi="宋体" w:cs="宋体"/>
                <w:szCs w:val="22"/>
                <w:u w:val="single"/>
              </w:rPr>
              <w:t>（大写）人民币               （￥             元）</w:t>
            </w:r>
          </w:p>
        </w:tc>
      </w:tr>
    </w:tbl>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 xml:space="preserve">注： </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1、 投标人需按本表格式填写，不得自行更改，也不得留空， 如有多分标，按分标分别提供开标一览表，必须加盖投标人有效电子公章，</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2、本表内容均不能涂改，</w:t>
      </w:r>
      <w:r>
        <w:rPr>
          <w:rFonts w:hint="eastAsia" w:ascii="宋体" w:hAnsi="宋体" w:cs="宋体"/>
          <w:b/>
          <w:kern w:val="0"/>
          <w:sz w:val="24"/>
          <w:lang w:val="zh-CN"/>
        </w:rPr>
        <w:t>否则其投标作无效投标处理。</w:t>
      </w:r>
    </w:p>
    <w:p>
      <w:pPr>
        <w:snapToGrid w:val="0"/>
        <w:spacing w:before="50" w:after="50" w:line="360" w:lineRule="auto"/>
        <w:ind w:firstLine="480" w:firstLineChars="200"/>
        <w:jc w:val="left"/>
        <w:rPr>
          <w:rFonts w:ascii="宋体" w:hAnsi="宋体" w:cs="宋体"/>
          <w:b/>
          <w:kern w:val="0"/>
          <w:sz w:val="24"/>
          <w:lang w:val="zh-CN"/>
        </w:rPr>
      </w:pPr>
      <w:r>
        <w:rPr>
          <w:rFonts w:hint="eastAsia" w:ascii="宋体" w:hAnsi="宋体" w:cs="宋体"/>
          <w:kern w:val="0"/>
          <w:sz w:val="24"/>
          <w:lang w:val="zh-CN"/>
        </w:rPr>
        <w:t>3、如为联合体投标，“投标人名称”处必须列明联合体各方名称，并标注联合体牵头人名称，且盖章处须加盖联合体各方公章，</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4、以上表格要求细分项目及报价，在“规格型号”一栏中，填写具体货物规格和型号，</w:t>
      </w:r>
      <w:r>
        <w:rPr>
          <w:rFonts w:hint="eastAsia" w:ascii="宋体" w:hAnsi="宋体" w:cs="宋体"/>
          <w:b/>
          <w:kern w:val="0"/>
          <w:sz w:val="24"/>
          <w:lang w:val="zh-CN"/>
        </w:rPr>
        <w:t>否则其投标作无效投标处理。</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lang w:val="zh-CN"/>
        </w:rPr>
        <w:t>5、特别提示：采购机构将对项目名称和项目编号，中标人名称、地址和中标金额，主要中标标的的名称、规格型号、数量、单价等予以公示。</w:t>
      </w:r>
    </w:p>
    <w:p>
      <w:pPr>
        <w:snapToGrid w:val="0"/>
        <w:spacing w:line="360" w:lineRule="auto"/>
        <w:ind w:firstLine="480" w:firstLineChars="200"/>
        <w:jc w:val="left"/>
        <w:rPr>
          <w:rFonts w:ascii="宋体" w:hAnsi="宋体" w:cs="宋体"/>
          <w:kern w:val="0"/>
          <w:sz w:val="24"/>
          <w:lang w:val="zh-CN"/>
        </w:rPr>
      </w:pPr>
      <w:r>
        <w:rPr>
          <w:rFonts w:hint="eastAsia" w:ascii="宋体" w:hAnsi="宋体" w:cs="宋体"/>
          <w:kern w:val="0"/>
          <w:sz w:val="24"/>
          <w:szCs w:val="22"/>
          <w:lang w:val="zh-CN"/>
        </w:rPr>
        <w:t>6、</w:t>
      </w:r>
      <w:r>
        <w:rPr>
          <w:rFonts w:hint="eastAsia" w:ascii="宋体" w:hAnsi="宋体" w:cs="宋体"/>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5040" w:firstLineChars="2100"/>
        <w:rPr>
          <w:rFonts w:ascii="宋体" w:hAnsi="宋体" w:cs="宋体"/>
          <w:kern w:val="0"/>
          <w:sz w:val="24"/>
          <w:lang w:val="zh-CN"/>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50" w:firstLineChars="150"/>
        <w:rPr>
          <w:rFonts w:hAnsi="宋体" w:cs="宋体"/>
          <w:sz w:val="30"/>
        </w:rPr>
        <w:sectPr>
          <w:pgSz w:w="11906" w:h="16838"/>
          <w:pgMar w:top="1440" w:right="1080" w:bottom="1440" w:left="1080" w:header="720" w:footer="720" w:gutter="0"/>
          <w:cols w:space="720" w:num="1"/>
          <w:docGrid w:type="lines" w:linePitch="331" w:charSpace="0"/>
        </w:sectPr>
      </w:pPr>
    </w:p>
    <w:p>
      <w:pPr>
        <w:pStyle w:val="12"/>
        <w:spacing w:line="360" w:lineRule="auto"/>
        <w:jc w:val="center"/>
        <w:rPr>
          <w:rFonts w:hAnsi="宋体" w:cs="宋体"/>
          <w:b/>
          <w:sz w:val="30"/>
          <w:szCs w:val="30"/>
        </w:rPr>
      </w:pPr>
      <w:r>
        <w:rPr>
          <w:rFonts w:hint="eastAsia" w:hAnsi="宋体" w:cs="宋体"/>
          <w:b/>
          <w:sz w:val="30"/>
          <w:szCs w:val="30"/>
        </w:rPr>
        <w:t>三、中小企业声明函</w:t>
      </w:r>
    </w:p>
    <w:p>
      <w:pPr>
        <w:pStyle w:val="10"/>
        <w:spacing w:line="360" w:lineRule="auto"/>
        <w:ind w:firstLine="0"/>
        <w:rPr>
          <w:rFonts w:hAnsi="宋体" w:cs="宋体"/>
          <w:sz w:val="24"/>
          <w:szCs w:val="24"/>
        </w:rPr>
      </w:pPr>
      <w:r>
        <w:rPr>
          <w:rFonts w:hint="eastAsia" w:hAnsi="宋体" w:cs="宋体"/>
          <w:sz w:val="24"/>
          <w:szCs w:val="24"/>
        </w:rPr>
        <w:t>说明：</w:t>
      </w:r>
    </w:p>
    <w:p>
      <w:pPr>
        <w:pStyle w:val="10"/>
        <w:spacing w:line="360" w:lineRule="auto"/>
        <w:ind w:firstLine="464" w:firstLineChars="200"/>
        <w:rPr>
          <w:rFonts w:hAnsi="宋体" w:cs="宋体"/>
          <w:sz w:val="24"/>
          <w:szCs w:val="24"/>
        </w:rPr>
      </w:pPr>
      <w:r>
        <w:rPr>
          <w:rFonts w:hint="eastAsia" w:hAnsi="宋体" w:cs="宋体"/>
          <w:sz w:val="24"/>
          <w:szCs w:val="24"/>
        </w:rPr>
        <w:t>1、本声明函主要供参加政府采购活动的中小企业填写，非中小企业无需填写。</w:t>
      </w:r>
    </w:p>
    <w:p>
      <w:pPr>
        <w:pStyle w:val="10"/>
        <w:spacing w:line="360" w:lineRule="auto"/>
        <w:ind w:firstLine="464" w:firstLineChars="200"/>
        <w:rPr>
          <w:rFonts w:hAnsi="宋体" w:cs="宋体"/>
          <w:sz w:val="24"/>
          <w:szCs w:val="24"/>
        </w:rPr>
      </w:pPr>
      <w:r>
        <w:rPr>
          <w:rFonts w:hint="eastAsia" w:hAnsi="宋体" w:cs="宋体"/>
          <w:sz w:val="24"/>
          <w:szCs w:val="24"/>
        </w:rPr>
        <w:t>2、小型、微型企业提供中型企业提供的货物的，视同为中型企业。</w:t>
      </w:r>
    </w:p>
    <w:p>
      <w:pPr>
        <w:pStyle w:val="10"/>
        <w:spacing w:line="360" w:lineRule="auto"/>
        <w:ind w:firstLine="464" w:firstLineChars="200"/>
        <w:rPr>
          <w:rFonts w:hAnsi="宋体" w:cs="宋体"/>
          <w:sz w:val="24"/>
          <w:szCs w:val="24"/>
        </w:rPr>
      </w:pPr>
    </w:p>
    <w:p>
      <w:pPr>
        <w:pStyle w:val="9"/>
        <w:spacing w:line="360" w:lineRule="auto"/>
        <w:ind w:left="-2" w:leftChars="-1" w:right="142"/>
        <w:contextualSpacing/>
        <w:rPr>
          <w:rFonts w:ascii="宋体" w:hAnsi="宋体" w:cs="宋体"/>
          <w:kern w:val="24"/>
          <w:sz w:val="24"/>
        </w:rPr>
      </w:pPr>
      <w:r>
        <w:rPr>
          <w:rFonts w:hint="eastAsia" w:ascii="宋体" w:hAnsi="宋体" w:cs="宋体"/>
          <w:kern w:val="24"/>
          <w:sz w:val="24"/>
        </w:rPr>
        <w:t>本公司郑重声明，根据《政府采购促进中小企业发展暂行办法》（财库[2011]181号）的规定，本公司为_</w:t>
      </w:r>
      <w:r>
        <w:rPr>
          <w:rFonts w:hint="eastAsia" w:ascii="宋体" w:hAnsi="宋体" w:cs="宋体"/>
          <w:kern w:val="24"/>
          <w:sz w:val="24"/>
          <w:u w:val="single"/>
        </w:rPr>
        <w:t xml:space="preserve">        </w:t>
      </w:r>
      <w:r>
        <w:rPr>
          <w:rFonts w:hint="eastAsia" w:ascii="宋体" w:hAnsi="宋体" w:cs="宋体"/>
          <w:kern w:val="24"/>
          <w:sz w:val="24"/>
        </w:rPr>
        <w:t>_（请填写：中型、小型、微型）企业。即，本公司同时满足以下条件：</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1.根据《工业和信息化部、国家统计局、国家发展和改革委员会、财政部关于印发中小企业划型标准规定的通知》（工信部联企业[2011]300号）规定的划分标准，本公司为_微型_（请填写：中型、小型、微型）企业。</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　　2.本公司参加_</w:t>
      </w:r>
      <w:r>
        <w:rPr>
          <w:rFonts w:hint="eastAsia" w:ascii="宋体" w:hAnsi="宋体" w:cs="宋体"/>
          <w:kern w:val="24"/>
          <w:sz w:val="24"/>
          <w:u w:val="single"/>
        </w:rPr>
        <w:t xml:space="preserve">            </w:t>
      </w:r>
      <w:r>
        <w:rPr>
          <w:rFonts w:hint="eastAsia" w:ascii="宋体" w:hAnsi="宋体" w:cs="宋体"/>
          <w:kern w:val="24"/>
          <w:sz w:val="24"/>
        </w:rPr>
        <w:t xml:space="preserve"> 单位的__</w:t>
      </w:r>
      <w:r>
        <w:rPr>
          <w:rFonts w:hint="eastAsia" w:ascii="宋体" w:hAnsi="宋体" w:cs="宋体"/>
          <w:kern w:val="24"/>
          <w:sz w:val="24"/>
          <w:u w:val="single"/>
        </w:rPr>
        <w:t xml:space="preserve">                </w:t>
      </w:r>
      <w:r>
        <w:rPr>
          <w:rFonts w:hint="eastAsia" w:ascii="宋体" w:hAnsi="宋体" w:cs="宋体"/>
          <w:kern w:val="24"/>
          <w:sz w:val="24"/>
        </w:rPr>
        <w:t>_项目采购活动提供本企业制造的货物，由本企业承担工程、提供服务，或者提供其他_微型 （请填写：中型、小型、微型）企业制造的货物。本条所称货物不包括使用大型企业注册商标的货物。</w:t>
      </w:r>
    </w:p>
    <w:p>
      <w:pPr>
        <w:pStyle w:val="9"/>
        <w:spacing w:line="360" w:lineRule="auto"/>
        <w:ind w:left="-426" w:leftChars="-203" w:right="142" w:firstLine="480" w:firstLineChars="200"/>
        <w:contextualSpacing/>
        <w:rPr>
          <w:rFonts w:ascii="宋体" w:hAnsi="宋体" w:cs="宋体"/>
          <w:kern w:val="24"/>
          <w:sz w:val="24"/>
        </w:rPr>
      </w:pPr>
      <w:r>
        <w:rPr>
          <w:rFonts w:hint="eastAsia" w:ascii="宋体" w:hAnsi="宋体" w:cs="宋体"/>
          <w:kern w:val="24"/>
          <w:sz w:val="24"/>
        </w:rPr>
        <w:t>本公司对上述声明的真实性负责。如有虚假，将依法承担相应责任。</w:t>
      </w:r>
    </w:p>
    <w:p>
      <w:pPr>
        <w:pStyle w:val="12"/>
        <w:spacing w:line="360" w:lineRule="auto"/>
        <w:ind w:firstLine="480" w:firstLineChars="200"/>
        <w:rPr>
          <w:rFonts w:hAnsi="宋体" w:cs="宋体"/>
          <w:sz w:val="24"/>
          <w:szCs w:val="24"/>
        </w:rPr>
      </w:pPr>
    </w:p>
    <w:p>
      <w:pPr>
        <w:snapToGrid w:val="0"/>
        <w:spacing w:line="360" w:lineRule="auto"/>
        <w:ind w:firstLine="5040" w:firstLineChars="2100"/>
        <w:rPr>
          <w:rFonts w:ascii="宋体" w:hAnsi="宋体" w:cs="宋体"/>
          <w:kern w:val="0"/>
          <w:sz w:val="24"/>
        </w:rPr>
      </w:pP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firstLine="420" w:firstLineChars="200"/>
        <w:rPr>
          <w:rFonts w:hAnsi="宋体" w:cs="宋体"/>
          <w:szCs w:val="21"/>
        </w:rPr>
      </w:pPr>
    </w:p>
    <w:p>
      <w:pPr>
        <w:snapToGrid w:val="0"/>
        <w:spacing w:before="50" w:after="165" w:afterLines="50" w:line="360" w:lineRule="auto"/>
        <w:jc w:val="left"/>
        <w:rPr>
          <w:rFonts w:ascii="宋体" w:hAnsi="宋体" w:cs="宋体"/>
          <w:sz w:val="20"/>
        </w:rPr>
      </w:pPr>
      <w:r>
        <w:rPr>
          <w:rFonts w:hint="eastAsia" w:ascii="宋体" w:hAnsi="宋体" w:cs="宋体"/>
          <w:sz w:val="20"/>
        </w:rPr>
        <w:t>注：</w:t>
      </w:r>
    </w:p>
    <w:p>
      <w:pPr>
        <w:numPr>
          <w:ilvl w:val="0"/>
          <w:numId w:val="9"/>
        </w:numPr>
        <w:snapToGrid w:val="0"/>
        <w:spacing w:before="50" w:after="165" w:afterLines="50" w:line="360" w:lineRule="auto"/>
        <w:jc w:val="left"/>
        <w:rPr>
          <w:rFonts w:ascii="宋体" w:hAnsi="宋体" w:cs="宋体"/>
          <w:sz w:val="20"/>
        </w:rPr>
      </w:pPr>
      <w:r>
        <w:rPr>
          <w:rFonts w:hint="eastAsia" w:ascii="宋体" w:hAnsi="宋体" w:cs="宋体"/>
          <w:sz w:val="20"/>
        </w:rPr>
        <w:t>从业人员、营业收入、资产总额填报上一年度数据，无上一年度数据的新成立企业可不填报。</w:t>
      </w:r>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r>
        <w:rPr>
          <w:rFonts w:hint="eastAsia" w:ascii="宋体" w:hAnsi="宋体" w:cs="宋体"/>
          <w:sz w:val="20"/>
        </w:rPr>
        <w:t>2、请根据自己的真实情况出具《中小企业声明函》。依法享受中小企业优惠政策的，采购人或者采购代理机构在公告中标结果时，同时公告其《中小企业声明函》，接受社会监督。</w:t>
      </w:r>
    </w:p>
    <w:p>
      <w:pPr>
        <w:pStyle w:val="12"/>
        <w:spacing w:line="360" w:lineRule="auto"/>
        <w:jc w:val="center"/>
        <w:rPr>
          <w:rFonts w:hAnsi="宋体" w:cs="宋体"/>
          <w:b/>
          <w:sz w:val="30"/>
          <w:szCs w:val="30"/>
        </w:rPr>
      </w:pPr>
      <w:r>
        <w:rPr>
          <w:rFonts w:hint="eastAsia" w:hAnsi="宋体" w:cs="宋体"/>
          <w:b/>
          <w:sz w:val="30"/>
          <w:szCs w:val="30"/>
        </w:rPr>
        <w:t>残疾人福利性单位声明函（如有）</w:t>
      </w:r>
    </w:p>
    <w:p>
      <w:pPr>
        <w:pStyle w:val="12"/>
        <w:spacing w:line="360" w:lineRule="auto"/>
        <w:jc w:val="center"/>
        <w:rPr>
          <w:rFonts w:hAnsi="宋体" w:cs="宋体"/>
          <w:b/>
          <w:sz w:val="30"/>
          <w:szCs w:val="30"/>
        </w:rPr>
      </w:pPr>
    </w:p>
    <w:p>
      <w:pPr>
        <w:pStyle w:val="12"/>
        <w:spacing w:line="360" w:lineRule="auto"/>
        <w:jc w:val="left"/>
        <w:rPr>
          <w:rFonts w:hAnsi="宋体" w:cs="宋体"/>
          <w:sz w:val="24"/>
          <w:szCs w:val="24"/>
        </w:rPr>
      </w:pPr>
      <w:r>
        <w:rPr>
          <w:rFonts w:hint="eastAsia" w:hAnsi="宋体" w:cs="宋体"/>
          <w:sz w:val="30"/>
          <w:szCs w:val="30"/>
        </w:rPr>
        <w:t xml:space="preserve">   </w:t>
      </w:r>
      <w:r>
        <w:rPr>
          <w:rFonts w:hint="eastAsia" w:hAnsi="宋体" w:cs="宋体"/>
          <w:sz w:val="24"/>
          <w:szCs w:val="24"/>
        </w:rPr>
        <w:t>本公司郑重声明，根据《财政部 民政部 中国残疾人联合会关于促进残疾人就业政府采购政策的通知》（财库〔2017〕 141号）的规定，本公司为符合条件的残疾人福利性单位，且本公司参加</w:t>
      </w:r>
      <w:r>
        <w:rPr>
          <w:rFonts w:hint="eastAsia" w:hAnsi="宋体" w:cs="宋体"/>
          <w:sz w:val="24"/>
          <w:szCs w:val="24"/>
          <w:u w:val="single"/>
        </w:rPr>
        <w:t xml:space="preserve"> 隆安县教育局 </w:t>
      </w:r>
      <w:r>
        <w:rPr>
          <w:rFonts w:hint="eastAsia" w:hAnsi="宋体" w:cs="宋体"/>
          <w:sz w:val="24"/>
          <w:szCs w:val="24"/>
        </w:rPr>
        <w:t>单位的</w:t>
      </w:r>
      <w:r>
        <w:rPr>
          <w:rFonts w:hint="eastAsia" w:hAnsi="宋体" w:cs="宋体"/>
          <w:sz w:val="24"/>
          <w:szCs w:val="24"/>
          <w:u w:val="single"/>
        </w:rPr>
        <w:t xml:space="preserve">                </w:t>
      </w:r>
      <w:r>
        <w:rPr>
          <w:rFonts w:hint="eastAsia" w:hAnsi="宋体" w:cs="宋体"/>
          <w:sz w:val="24"/>
          <w:szCs w:val="24"/>
        </w:rPr>
        <w:t>项目采购活动提供本公司制造的货物（由本公司承担工程/提供服务），或者提供其他残疾人福利性单位制造的货物（不包括使用非残疾人福利性单位注册商标的货物）。</w:t>
      </w:r>
    </w:p>
    <w:p>
      <w:pPr>
        <w:pStyle w:val="12"/>
        <w:spacing w:line="360" w:lineRule="auto"/>
        <w:ind w:firstLine="480" w:firstLineChars="200"/>
        <w:jc w:val="left"/>
        <w:rPr>
          <w:rFonts w:hAnsi="宋体" w:cs="宋体"/>
          <w:sz w:val="24"/>
          <w:szCs w:val="24"/>
        </w:rPr>
      </w:pPr>
      <w:r>
        <w:rPr>
          <w:rFonts w:hint="eastAsia" w:hAnsi="宋体" w:cs="宋体"/>
          <w:sz w:val="24"/>
          <w:szCs w:val="24"/>
        </w:rPr>
        <w:t>本公司对上述声明的真实性负责。如有虚假，将依法承担相应责任。</w:t>
      </w:r>
    </w:p>
    <w:p>
      <w:pPr>
        <w:pStyle w:val="12"/>
        <w:spacing w:line="360" w:lineRule="auto"/>
        <w:jc w:val="left"/>
        <w:rPr>
          <w:rFonts w:hAnsi="宋体" w:cs="宋体"/>
          <w:b/>
          <w:szCs w:val="21"/>
        </w:rPr>
      </w:pPr>
    </w:p>
    <w:p>
      <w:pPr>
        <w:pStyle w:val="12"/>
        <w:spacing w:line="360" w:lineRule="auto"/>
        <w:jc w:val="left"/>
        <w:rPr>
          <w:rFonts w:hAnsi="宋体" w:cs="宋体"/>
          <w:b/>
          <w:szCs w:val="21"/>
        </w:rPr>
      </w:pPr>
    </w:p>
    <w:p>
      <w:pPr>
        <w:snapToGrid w:val="0"/>
        <w:spacing w:line="360" w:lineRule="auto"/>
        <w:ind w:left="5137" w:leftChars="1736" w:hanging="1491" w:hangingChars="825"/>
        <w:rPr>
          <w:rFonts w:ascii="宋体" w:hAnsi="宋体" w:cs="宋体"/>
          <w:kern w:val="0"/>
          <w:sz w:val="24"/>
        </w:rPr>
      </w:pPr>
      <w:r>
        <w:rPr>
          <w:rFonts w:hint="eastAsia" w:ascii="宋体" w:hAnsi="宋体" w:cs="宋体"/>
          <w:b/>
          <w:sz w:val="18"/>
          <w:szCs w:val="18"/>
        </w:rPr>
        <w:t xml:space="preserve">                                                                    </w:t>
      </w:r>
      <w:r>
        <w:rPr>
          <w:rFonts w:hint="eastAsia" w:ascii="宋体" w:hAnsi="宋体" w:cs="宋体"/>
          <w:kern w:val="0"/>
          <w:sz w:val="24"/>
          <w:lang w:val="zh-CN"/>
        </w:rPr>
        <w:t>投标人名称（电子签章）：</w:t>
      </w:r>
    </w:p>
    <w:p>
      <w:pPr>
        <w:snapToGrid w:val="0"/>
        <w:spacing w:line="360" w:lineRule="auto"/>
        <w:ind w:firstLine="5160" w:firstLineChars="2150"/>
        <w:rPr>
          <w:rFonts w:ascii="宋体" w:hAnsi="宋体" w:cs="宋体"/>
          <w:kern w:val="0"/>
          <w:sz w:val="24"/>
          <w:lang w:val="zh-CN"/>
        </w:rPr>
      </w:pPr>
      <w:r>
        <w:rPr>
          <w:rFonts w:hint="eastAsia" w:ascii="宋体" w:hAnsi="宋体" w:cs="宋体"/>
          <w:kern w:val="0"/>
          <w:sz w:val="24"/>
          <w:lang w:val="zh-CN"/>
        </w:rPr>
        <w:t>日期</w:t>
      </w:r>
      <w:r>
        <w:rPr>
          <w:rFonts w:hint="eastAsia" w:ascii="宋体" w:hAnsi="宋体" w:cs="宋体"/>
          <w:kern w:val="0"/>
          <w:sz w:val="24"/>
        </w:rPr>
        <w:t xml:space="preserve">：  年  </w:t>
      </w:r>
      <w:r>
        <w:rPr>
          <w:rFonts w:hint="eastAsia" w:ascii="宋体" w:hAnsi="宋体" w:cs="宋体"/>
          <w:kern w:val="0"/>
          <w:sz w:val="24"/>
          <w:lang w:val="zh-CN"/>
        </w:rPr>
        <w:t>月</w:t>
      </w:r>
      <w:r>
        <w:rPr>
          <w:rFonts w:hint="eastAsia" w:ascii="宋体" w:hAnsi="宋体" w:cs="宋体"/>
          <w:kern w:val="0"/>
          <w:sz w:val="24"/>
        </w:rPr>
        <w:t xml:space="preserve">   </w:t>
      </w:r>
      <w:r>
        <w:rPr>
          <w:rFonts w:hint="eastAsia" w:ascii="宋体" w:hAnsi="宋体" w:cs="宋体"/>
          <w:kern w:val="0"/>
          <w:sz w:val="24"/>
          <w:lang w:val="zh-CN"/>
        </w:rPr>
        <w:t>日</w:t>
      </w:r>
    </w:p>
    <w:p>
      <w:pPr>
        <w:pStyle w:val="12"/>
        <w:spacing w:line="360" w:lineRule="auto"/>
        <w:ind w:left="5132" w:leftChars="1979" w:hanging="976" w:hangingChars="488"/>
        <w:rPr>
          <w:rFonts w:hAnsi="宋体" w:cs="宋体"/>
          <w:sz w:val="20"/>
        </w:rPr>
      </w:pPr>
    </w:p>
    <w:p>
      <w:pPr>
        <w:spacing w:line="360" w:lineRule="auto"/>
        <w:ind w:right="420" w:firstLine="480" w:firstLineChars="200"/>
        <w:rPr>
          <w:rFonts w:ascii="宋体" w:hAnsi="宋体" w:cs="宋体"/>
          <w:sz w:val="24"/>
        </w:rPr>
      </w:pPr>
      <w:r>
        <w:rPr>
          <w:rFonts w:hint="eastAsia" w:ascii="宋体" w:hAnsi="宋体" w:cs="宋体"/>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pPr>
        <w:snapToGrid w:val="0"/>
        <w:spacing w:before="50" w:after="165" w:afterLines="50" w:line="360" w:lineRule="auto"/>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snapToGrid w:val="0"/>
        <w:spacing w:before="50" w:after="165" w:afterLines="50" w:line="360" w:lineRule="auto"/>
        <w:jc w:val="left"/>
        <w:rPr>
          <w:rFonts w:ascii="宋体" w:hAnsi="宋体" w:cs="宋体"/>
          <w:sz w:val="20"/>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rPr>
          <w:rFonts w:hAnsi="宋体" w:cs="宋体"/>
          <w:b/>
          <w:sz w:val="36"/>
        </w:rPr>
      </w:pPr>
    </w:p>
    <w:p>
      <w:pPr>
        <w:pStyle w:val="12"/>
        <w:tabs>
          <w:tab w:val="left" w:pos="2472"/>
        </w:tabs>
        <w:spacing w:line="360" w:lineRule="auto"/>
        <w:jc w:val="center"/>
        <w:outlineLvl w:val="0"/>
        <w:rPr>
          <w:rFonts w:hAnsi="宋体" w:cs="宋体"/>
          <w:b/>
          <w:sz w:val="36"/>
        </w:rPr>
      </w:pPr>
      <w:bookmarkStart w:id="312" w:name="_Toc6325"/>
      <w:r>
        <w:rPr>
          <w:rFonts w:hint="eastAsia" w:hAnsi="宋体" w:cs="宋体"/>
          <w:b/>
          <w:sz w:val="36"/>
        </w:rPr>
        <w:t>第七章 质疑、投诉，证明材料格式</w:t>
      </w:r>
      <w:bookmarkEnd w:id="312"/>
    </w:p>
    <w:p>
      <w:pPr>
        <w:snapToGrid w:val="0"/>
        <w:spacing w:before="50" w:after="165" w:afterLines="50" w:line="360" w:lineRule="auto"/>
        <w:ind w:firstLine="300" w:firstLineChars="150"/>
        <w:jc w:val="left"/>
        <w:rPr>
          <w:rFonts w:ascii="宋体" w:hAnsi="宋体" w:cs="宋体"/>
          <w:sz w:val="20"/>
        </w:rPr>
        <w:sectPr>
          <w:pgSz w:w="11906" w:h="16838"/>
          <w:pgMar w:top="1440" w:right="1080" w:bottom="1440" w:left="1080" w:header="720" w:footer="720" w:gutter="0"/>
          <w:cols w:space="720" w:num="1"/>
          <w:docGrid w:type="lines" w:linePitch="331" w:charSpace="0"/>
        </w:sectPr>
      </w:pPr>
    </w:p>
    <w:p>
      <w:pPr>
        <w:adjustRightInd w:val="0"/>
        <w:snapToGrid w:val="0"/>
        <w:spacing w:line="360" w:lineRule="auto"/>
        <w:rPr>
          <w:rFonts w:ascii="宋体" w:hAnsi="宋体" w:cs="宋体"/>
          <w:b/>
          <w:bCs/>
          <w:sz w:val="28"/>
          <w:szCs w:val="28"/>
        </w:rPr>
      </w:pPr>
    </w:p>
    <w:p>
      <w:pPr>
        <w:pStyle w:val="3"/>
        <w:spacing w:line="360" w:lineRule="auto"/>
        <w:jc w:val="center"/>
        <w:rPr>
          <w:rFonts w:ascii="宋体" w:hAnsi="宋体" w:cs="宋体"/>
          <w:b w:val="0"/>
        </w:rPr>
      </w:pPr>
      <w:bookmarkStart w:id="313" w:name="_Toc19666"/>
      <w:r>
        <w:rPr>
          <w:rFonts w:hint="eastAsia" w:ascii="宋体" w:hAnsi="宋体" w:cs="宋体"/>
          <w:b w:val="0"/>
        </w:rPr>
        <w:t>第一节 质疑函（格式）</w:t>
      </w:r>
      <w:bookmarkEnd w:id="313"/>
    </w:p>
    <w:p>
      <w:pPr>
        <w:spacing w:line="360" w:lineRule="auto"/>
        <w:jc w:val="center"/>
        <w:rPr>
          <w:rFonts w:ascii="宋体" w:hAnsi="宋体" w:cs="宋体"/>
          <w:b/>
          <w:bCs/>
          <w:sz w:val="44"/>
          <w:szCs w:val="44"/>
        </w:rPr>
      </w:pPr>
      <w:r>
        <w:rPr>
          <w:rFonts w:hint="eastAsia" w:ascii="宋体" w:hAnsi="宋体" w:cs="宋体"/>
          <w:b/>
          <w:bCs/>
          <w:sz w:val="44"/>
          <w:szCs w:val="44"/>
        </w:rPr>
        <w:t>质疑函范本</w:t>
      </w:r>
    </w:p>
    <w:p>
      <w:pPr>
        <w:adjustRightInd w:val="0"/>
        <w:snapToGrid w:val="0"/>
        <w:spacing w:before="331" w:beforeLines="100" w:line="360" w:lineRule="auto"/>
        <w:rPr>
          <w:rFonts w:ascii="宋体" w:hAnsi="宋体" w:cs="宋体"/>
          <w:bCs/>
          <w:sz w:val="32"/>
          <w:szCs w:val="32"/>
        </w:rPr>
      </w:pPr>
      <w:r>
        <w:rPr>
          <w:rFonts w:hint="eastAsia" w:ascii="宋体" w:hAnsi="宋体" w:cs="宋体"/>
          <w:bCs/>
          <w:sz w:val="32"/>
          <w:szCs w:val="32"/>
        </w:rPr>
        <w:t>一、质疑供应商基本信息</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质疑供应商：</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地址：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rPr>
        <w:t xml:space="preserve">地址： </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二、质疑项目基本情况</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质疑项目的名称：</w:t>
      </w:r>
      <w:r>
        <w:rPr>
          <w:rFonts w:hint="eastAsia" w:ascii="宋体" w:hAnsi="宋体" w:cs="宋体"/>
          <w:sz w:val="32"/>
          <w:szCs w:val="32"/>
          <w:u w:val="dotted"/>
        </w:rPr>
        <w:t xml:space="preserve">   隆安县都结乡中心小学等19所学校“三个课堂”设备采购     </w:t>
      </w:r>
    </w:p>
    <w:p>
      <w:pPr>
        <w:adjustRightInd w:val="0"/>
        <w:snapToGrid w:val="0"/>
        <w:spacing w:line="360" w:lineRule="auto"/>
        <w:rPr>
          <w:rFonts w:ascii="宋体" w:hAnsi="宋体" w:cs="宋体"/>
          <w:sz w:val="32"/>
          <w:szCs w:val="32"/>
        </w:rPr>
      </w:pPr>
      <w:r>
        <w:rPr>
          <w:rFonts w:hint="eastAsia" w:ascii="宋体" w:hAnsi="宋体" w:cs="宋体"/>
          <w:sz w:val="32"/>
          <w:szCs w:val="32"/>
        </w:rPr>
        <w:t>质疑项目的编号：</w:t>
      </w:r>
      <w:r>
        <w:rPr>
          <w:rFonts w:hint="eastAsia" w:ascii="宋体" w:hAnsi="宋体" w:cs="宋体"/>
          <w:sz w:val="32"/>
          <w:szCs w:val="32"/>
          <w:u w:val="dotted"/>
        </w:rPr>
        <w:t xml:space="preserve">NNZC2022-G1-*****-XYGC </w:t>
      </w:r>
      <w:r>
        <w:rPr>
          <w:rFonts w:hint="eastAsia" w:ascii="宋体" w:hAnsi="宋体" w:cs="宋体"/>
          <w:sz w:val="32"/>
          <w:szCs w:val="32"/>
        </w:rPr>
        <w:t>包号：</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采购人名称：</w:t>
      </w:r>
      <w:r>
        <w:rPr>
          <w:rFonts w:hint="eastAsia" w:ascii="宋体" w:hAnsi="宋体" w:cs="宋体"/>
          <w:sz w:val="32"/>
          <w:szCs w:val="32"/>
          <w:u w:val="dotted"/>
        </w:rPr>
        <w:t xml:space="preserve">     隆安县教育局  </w:t>
      </w:r>
    </w:p>
    <w:p>
      <w:pPr>
        <w:adjustRightInd w:val="0"/>
        <w:snapToGrid w:val="0"/>
        <w:spacing w:line="360" w:lineRule="auto"/>
        <w:rPr>
          <w:rFonts w:ascii="宋体" w:hAnsi="宋体" w:cs="宋体"/>
          <w:sz w:val="32"/>
          <w:szCs w:val="32"/>
        </w:rPr>
      </w:pPr>
      <w:r>
        <w:rPr>
          <w:rFonts w:hint="eastAsia" w:ascii="宋体" w:hAnsi="宋体" w:cs="宋体"/>
          <w:sz w:val="32"/>
          <w:szCs w:val="32"/>
        </w:rPr>
        <w:t>采购文件获取日期：</w:t>
      </w:r>
      <w:r>
        <w:rPr>
          <w:rFonts w:hint="eastAsia" w:ascii="宋体" w:hAnsi="宋体" w:cs="宋体"/>
          <w:sz w:val="32"/>
          <w:szCs w:val="32"/>
          <w:u w:val="dotted"/>
        </w:rPr>
        <w:t xml:space="preserve">                                           </w:t>
      </w:r>
    </w:p>
    <w:p>
      <w:pPr>
        <w:adjustRightInd w:val="0"/>
        <w:snapToGrid w:val="0"/>
        <w:spacing w:line="360" w:lineRule="auto"/>
        <w:rPr>
          <w:rFonts w:ascii="宋体" w:hAnsi="宋体" w:cs="宋体"/>
          <w:bCs/>
          <w:sz w:val="32"/>
          <w:szCs w:val="32"/>
        </w:rPr>
      </w:pPr>
      <w:r>
        <w:rPr>
          <w:rFonts w:hint="eastAsia" w:ascii="宋体" w:hAnsi="宋体" w:cs="宋体"/>
          <w:bCs/>
          <w:sz w:val="32"/>
          <w:szCs w:val="32"/>
        </w:rPr>
        <w:t>三、质疑事项具体内容</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质疑事项1：</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事实依据：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法律依据：</w:t>
      </w: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u w:val="dotted"/>
        </w:rPr>
        <w:t xml:space="preserve">                                                     </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质疑事项2</w:t>
      </w:r>
    </w:p>
    <w:p>
      <w:pPr>
        <w:adjustRightInd w:val="0"/>
        <w:snapToGrid w:val="0"/>
        <w:spacing w:line="360" w:lineRule="auto"/>
        <w:rPr>
          <w:rFonts w:ascii="宋体" w:hAnsi="宋体" w:cs="宋体"/>
          <w:sz w:val="32"/>
          <w:szCs w:val="32"/>
        </w:rPr>
      </w:pPr>
      <w:r>
        <w:rPr>
          <w:rFonts w:hint="eastAsia" w:ascii="宋体" w:hAnsi="宋体" w:cs="宋体"/>
          <w:sz w:val="32"/>
          <w:szCs w:val="32"/>
        </w:rPr>
        <w:t>……</w:t>
      </w:r>
    </w:p>
    <w:p>
      <w:pPr>
        <w:adjustRightInd w:val="0"/>
        <w:snapToGrid w:val="0"/>
        <w:spacing w:line="360" w:lineRule="auto"/>
        <w:rPr>
          <w:rFonts w:ascii="宋体" w:hAnsi="宋体" w:cs="宋体"/>
          <w:bCs/>
          <w:sz w:val="32"/>
          <w:szCs w:val="32"/>
        </w:rPr>
      </w:pPr>
      <w:r>
        <w:rPr>
          <w:rFonts w:hint="eastAsia" w:ascii="宋体" w:hAnsi="宋体" w:cs="宋体"/>
          <w:bCs/>
          <w:sz w:val="32"/>
          <w:szCs w:val="32"/>
        </w:rPr>
        <w:t>四、与质疑事项相关的质疑请求</w:t>
      </w:r>
    </w:p>
    <w:p>
      <w:pPr>
        <w:adjustRightInd w:val="0"/>
        <w:snapToGrid w:val="0"/>
        <w:spacing w:line="360" w:lineRule="auto"/>
        <w:rPr>
          <w:rFonts w:ascii="宋体" w:hAnsi="宋体" w:cs="宋体"/>
          <w:sz w:val="32"/>
          <w:szCs w:val="32"/>
          <w:u w:val="dotted"/>
        </w:rPr>
      </w:pPr>
      <w:r>
        <w:rPr>
          <w:rFonts w:hint="eastAsia" w:ascii="宋体" w:hAnsi="宋体" w:cs="宋体"/>
          <w:sz w:val="32"/>
          <w:szCs w:val="32"/>
        </w:rPr>
        <w:t>请求：</w:t>
      </w:r>
      <w:r>
        <w:rPr>
          <w:rFonts w:hint="eastAsia" w:ascii="宋体" w:hAnsi="宋体" w:cs="宋体"/>
          <w:sz w:val="32"/>
          <w:szCs w:val="32"/>
          <w:u w:val="dotted"/>
        </w:rPr>
        <w:t xml:space="preserve">                                               </w:t>
      </w:r>
    </w:p>
    <w:p>
      <w:pPr>
        <w:spacing w:line="360" w:lineRule="auto"/>
        <w:rPr>
          <w:rFonts w:ascii="宋体" w:hAnsi="宋体" w:cs="宋体"/>
          <w:sz w:val="30"/>
          <w:szCs w:val="30"/>
        </w:rPr>
      </w:pPr>
      <w:r>
        <w:rPr>
          <w:rFonts w:hint="eastAsia" w:ascii="宋体" w:hAnsi="宋体" w:cs="宋体"/>
          <w:sz w:val="30"/>
          <w:szCs w:val="30"/>
        </w:rPr>
        <w:t xml:space="preserve">签字（签章）：                   公章：                      </w:t>
      </w:r>
    </w:p>
    <w:p>
      <w:pPr>
        <w:spacing w:line="360" w:lineRule="auto"/>
        <w:rPr>
          <w:rFonts w:ascii="宋体" w:hAnsi="宋体" w:cs="宋体"/>
          <w:sz w:val="30"/>
          <w:szCs w:val="30"/>
        </w:rPr>
      </w:pPr>
      <w:r>
        <w:rPr>
          <w:rFonts w:hint="eastAsia" w:ascii="宋体" w:hAnsi="宋体" w:cs="宋体"/>
          <w:sz w:val="30"/>
          <w:szCs w:val="30"/>
        </w:rPr>
        <w:t xml:space="preserve">日期：    </w:t>
      </w:r>
    </w:p>
    <w:p>
      <w:pPr>
        <w:adjustRightInd w:val="0"/>
        <w:snapToGrid w:val="0"/>
        <w:spacing w:line="360" w:lineRule="auto"/>
        <w:rPr>
          <w:rFonts w:ascii="宋体" w:hAnsi="宋体" w:cs="宋体"/>
          <w:sz w:val="32"/>
          <w:szCs w:val="32"/>
        </w:rPr>
      </w:pP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质疑函制作说明：</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1.供应商提出质疑时，应提交质疑函和必要的证明材料。</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2.质疑供应商若委托代理人进行质疑的，质疑函应按要求列明“授权代表”的有关内容，并在附件中提交由质疑</w:t>
      </w:r>
      <w:r>
        <w:rPr>
          <w:rFonts w:hint="eastAsia" w:ascii="宋体" w:hAnsi="宋体" w:cs="宋体"/>
          <w:kern w:val="0"/>
          <w:sz w:val="32"/>
          <w:szCs w:val="32"/>
        </w:rPr>
        <w:t>供应商签署的授权委托书。授权委托书应载明代理人的姓名或者名称、代理事项、具体权限、期限和相关事项。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3.质疑供应商若对项目的某一分包进行质疑，质疑函中应列明具体分包号。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4.质疑函的质疑事项应具体、明确，并有必要的事实依据和法律依据。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5.质疑函的质疑请求应与质疑事项相关。</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宋体" w:hAnsi="宋体" w:cs="宋体"/>
          <w:sz w:val="30"/>
          <w:szCs w:val="30"/>
        </w:rPr>
      </w:pPr>
    </w:p>
    <w:p>
      <w:pPr>
        <w:snapToGrid w:val="0"/>
        <w:spacing w:before="50" w:after="165" w:afterLines="50" w:line="360" w:lineRule="auto"/>
        <w:ind w:firstLine="480" w:firstLineChars="200"/>
        <w:jc w:val="left"/>
        <w:rPr>
          <w:rFonts w:ascii="宋体" w:hAnsi="宋体" w:cs="宋体"/>
          <w:kern w:val="0"/>
          <w:sz w:val="24"/>
        </w:rPr>
        <w:sectPr>
          <w:pgSz w:w="11906" w:h="16838"/>
          <w:pgMar w:top="1440" w:right="1080" w:bottom="1440" w:left="1080" w:header="720" w:footer="720" w:gutter="0"/>
          <w:cols w:space="720" w:num="1"/>
          <w:docGrid w:type="lines" w:linePitch="331" w:charSpace="0"/>
        </w:sectPr>
      </w:pPr>
    </w:p>
    <w:p>
      <w:pPr>
        <w:pStyle w:val="3"/>
        <w:spacing w:line="360" w:lineRule="auto"/>
        <w:jc w:val="center"/>
        <w:rPr>
          <w:rFonts w:ascii="宋体" w:hAnsi="宋体" w:cs="宋体"/>
          <w:b w:val="0"/>
        </w:rPr>
      </w:pPr>
      <w:bookmarkStart w:id="314" w:name="_Toc28529"/>
      <w:r>
        <w:rPr>
          <w:rFonts w:hint="eastAsia" w:ascii="宋体" w:hAnsi="宋体" w:cs="宋体"/>
          <w:b w:val="0"/>
        </w:rPr>
        <w:t>第二节 投诉书（格式）</w:t>
      </w:r>
      <w:bookmarkEnd w:id="314"/>
    </w:p>
    <w:p>
      <w:pPr>
        <w:spacing w:line="360" w:lineRule="auto"/>
        <w:jc w:val="center"/>
        <w:rPr>
          <w:rFonts w:ascii="宋体" w:hAnsi="宋体" w:cs="宋体"/>
          <w:b/>
          <w:sz w:val="44"/>
          <w:szCs w:val="44"/>
        </w:rPr>
      </w:pPr>
      <w:r>
        <w:rPr>
          <w:rFonts w:hint="eastAsia" w:ascii="宋体" w:hAnsi="宋体" w:cs="宋体"/>
          <w:b/>
          <w:sz w:val="44"/>
          <w:szCs w:val="44"/>
        </w:rPr>
        <w:t>投诉书范本</w:t>
      </w:r>
    </w:p>
    <w:p>
      <w:pPr>
        <w:spacing w:line="360" w:lineRule="auto"/>
        <w:rPr>
          <w:rFonts w:ascii="宋体" w:hAnsi="宋体" w:cs="宋体"/>
          <w:sz w:val="32"/>
          <w:szCs w:val="32"/>
        </w:rPr>
      </w:pPr>
      <w:r>
        <w:rPr>
          <w:rFonts w:hint="eastAsia" w:ascii="宋体" w:hAnsi="宋体" w:cs="宋体"/>
          <w:sz w:val="32"/>
          <w:szCs w:val="32"/>
        </w:rPr>
        <w:t>一、投诉相关主体基本情况</w:t>
      </w:r>
    </w:p>
    <w:p>
      <w:pPr>
        <w:spacing w:line="360" w:lineRule="auto"/>
        <w:rPr>
          <w:rFonts w:ascii="宋体" w:hAnsi="宋体" w:cs="宋体"/>
          <w:sz w:val="32"/>
          <w:szCs w:val="32"/>
          <w:u w:val="dotted"/>
        </w:rPr>
      </w:pPr>
      <w:r>
        <w:rPr>
          <w:rFonts w:hint="eastAsia" w:ascii="宋体" w:hAnsi="宋体" w:cs="宋体"/>
          <w:sz w:val="32"/>
          <w:szCs w:val="32"/>
        </w:rPr>
        <w:t>投诉人：</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tabs>
          <w:tab w:val="left" w:pos="6510"/>
        </w:tabs>
        <w:spacing w:line="360" w:lineRule="auto"/>
        <w:jc w:val="left"/>
        <w:rPr>
          <w:rFonts w:ascii="宋体" w:hAnsi="宋体" w:cs="宋体"/>
          <w:sz w:val="32"/>
          <w:szCs w:val="32"/>
        </w:rPr>
      </w:pPr>
      <w:r>
        <w:rPr>
          <w:rFonts w:hint="eastAsia" w:ascii="宋体" w:hAnsi="宋体" w:cs="宋体"/>
          <w:sz w:val="32"/>
          <w:szCs w:val="32"/>
        </w:rPr>
        <w:t>法定代表人/主要负责人：</w:t>
      </w:r>
      <w:r>
        <w:rPr>
          <w:rFonts w:hint="eastAsia" w:ascii="宋体" w:hAnsi="宋体" w:cs="宋体"/>
          <w:sz w:val="32"/>
          <w:szCs w:val="32"/>
          <w:u w:val="dotted"/>
        </w:rPr>
        <w:t xml:space="preserve">                                   </w:t>
      </w:r>
      <w:r>
        <w:rPr>
          <w:rFonts w:hint="eastAsia" w:ascii="宋体" w:hAnsi="宋体" w:cs="宋体"/>
          <w:sz w:val="32"/>
          <w:szCs w:val="32"/>
        </w:rPr>
        <w:t xml:space="preserve">  </w:t>
      </w:r>
    </w:p>
    <w:p>
      <w:pPr>
        <w:tabs>
          <w:tab w:val="left" w:pos="6510"/>
        </w:tabs>
        <w:spacing w:line="360" w:lineRule="auto"/>
        <w:rPr>
          <w:rFonts w:ascii="宋体" w:hAnsi="宋体" w:cs="宋体"/>
          <w:sz w:val="32"/>
          <w:szCs w:val="32"/>
          <w:u w:val="dotted"/>
        </w:rPr>
      </w:pP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授权代表：</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被投诉人1：</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被投诉人2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u w:val="single"/>
        </w:rPr>
      </w:pPr>
      <w:r>
        <w:rPr>
          <w:rFonts w:hint="eastAsia" w:ascii="宋体" w:hAnsi="宋体" w:cs="宋体"/>
          <w:sz w:val="32"/>
          <w:szCs w:val="32"/>
        </w:rPr>
        <w:t>相关供应商：</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地     址：</w:t>
      </w:r>
      <w:r>
        <w:rPr>
          <w:rFonts w:hint="eastAsia" w:ascii="宋体" w:hAnsi="宋体" w:cs="宋体"/>
          <w:sz w:val="32"/>
          <w:szCs w:val="32"/>
          <w:u w:val="dotted"/>
        </w:rPr>
        <w:t xml:space="preserve">                             </w:t>
      </w:r>
      <w:r>
        <w:rPr>
          <w:rFonts w:hint="eastAsia" w:ascii="宋体" w:hAnsi="宋体" w:cs="宋体"/>
          <w:sz w:val="32"/>
          <w:szCs w:val="32"/>
        </w:rPr>
        <w:t>邮编：</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联系人：</w:t>
      </w:r>
      <w:r>
        <w:rPr>
          <w:rFonts w:hint="eastAsia" w:ascii="宋体" w:hAnsi="宋体" w:cs="宋体"/>
          <w:sz w:val="32"/>
          <w:szCs w:val="32"/>
          <w:u w:val="dotted"/>
        </w:rPr>
        <w:t xml:space="preserve">               </w:t>
      </w:r>
      <w:r>
        <w:rPr>
          <w:rFonts w:hint="eastAsia" w:ascii="宋体" w:hAnsi="宋体" w:cs="宋体"/>
          <w:sz w:val="32"/>
          <w:szCs w:val="32"/>
        </w:rPr>
        <w:t>联系电话：</w:t>
      </w:r>
      <w:r>
        <w:rPr>
          <w:rFonts w:hint="eastAsia" w:ascii="宋体" w:hAnsi="宋体" w:cs="宋体"/>
          <w:sz w:val="32"/>
          <w:szCs w:val="32"/>
          <w:u w:val="dotted"/>
        </w:rPr>
        <w:t xml:space="preserve">                      </w:t>
      </w:r>
      <w:r>
        <w:rPr>
          <w:rFonts w:hint="eastAsia" w:ascii="宋体" w:hAnsi="宋体" w:cs="宋体"/>
          <w:sz w:val="32"/>
          <w:szCs w:val="32"/>
          <w:u w:val="single"/>
        </w:rPr>
        <w:t xml:space="preserve">      </w:t>
      </w:r>
    </w:p>
    <w:p>
      <w:pPr>
        <w:spacing w:line="360" w:lineRule="auto"/>
        <w:rPr>
          <w:rFonts w:ascii="宋体" w:hAnsi="宋体" w:cs="宋体"/>
          <w:sz w:val="32"/>
          <w:szCs w:val="32"/>
        </w:rPr>
      </w:pPr>
      <w:r>
        <w:rPr>
          <w:rFonts w:hint="eastAsia" w:ascii="宋体" w:hAnsi="宋体" w:cs="宋体"/>
          <w:sz w:val="32"/>
          <w:szCs w:val="32"/>
        </w:rPr>
        <w:t>二、投诉项目基本情况</w:t>
      </w:r>
    </w:p>
    <w:p>
      <w:pPr>
        <w:spacing w:line="360" w:lineRule="auto"/>
        <w:rPr>
          <w:rFonts w:ascii="宋体" w:hAnsi="宋体" w:cs="宋体"/>
          <w:sz w:val="32"/>
          <w:szCs w:val="32"/>
          <w:u w:val="dotted"/>
        </w:rPr>
      </w:pPr>
      <w:r>
        <w:rPr>
          <w:rFonts w:hint="eastAsia" w:ascii="宋体" w:hAnsi="宋体" w:cs="宋体"/>
          <w:sz w:val="32"/>
          <w:szCs w:val="32"/>
        </w:rPr>
        <w:t>采购项目名称：</w:t>
      </w:r>
      <w:r>
        <w:rPr>
          <w:rFonts w:hint="eastAsia" w:ascii="宋体" w:hAnsi="宋体" w:cs="宋体"/>
          <w:sz w:val="32"/>
          <w:szCs w:val="32"/>
          <w:u w:val="dotted"/>
        </w:rPr>
        <w:t xml:space="preserve"> 隆安县都结乡中心小学等19所学校“三个课堂”设备采购   </w:t>
      </w:r>
    </w:p>
    <w:p>
      <w:pPr>
        <w:spacing w:line="360" w:lineRule="auto"/>
        <w:rPr>
          <w:rFonts w:ascii="宋体" w:hAnsi="宋体" w:cs="宋体"/>
          <w:sz w:val="32"/>
          <w:szCs w:val="32"/>
          <w:u w:val="single"/>
        </w:rPr>
      </w:pPr>
      <w:r>
        <w:rPr>
          <w:rFonts w:hint="eastAsia" w:ascii="宋体" w:hAnsi="宋体" w:cs="宋体"/>
          <w:sz w:val="32"/>
          <w:szCs w:val="32"/>
        </w:rPr>
        <w:t>采购项目编号：</w:t>
      </w:r>
      <w:r>
        <w:rPr>
          <w:rFonts w:hint="eastAsia" w:ascii="宋体" w:hAnsi="宋体" w:cs="宋体"/>
          <w:sz w:val="32"/>
          <w:szCs w:val="32"/>
          <w:u w:val="dotted"/>
        </w:rPr>
        <w:t xml:space="preserve"> NNZC2022-G1-*****-XYGC  </w:t>
      </w:r>
      <w:r>
        <w:rPr>
          <w:rFonts w:hint="eastAsia" w:ascii="宋体" w:hAnsi="宋体" w:cs="宋体"/>
          <w:sz w:val="32"/>
          <w:szCs w:val="32"/>
        </w:rPr>
        <w:t>包号：</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采购人名称：</w:t>
      </w:r>
      <w:r>
        <w:rPr>
          <w:rFonts w:hint="eastAsia" w:ascii="宋体" w:hAnsi="宋体" w:cs="宋体"/>
          <w:sz w:val="32"/>
          <w:szCs w:val="32"/>
          <w:u w:val="dotted"/>
        </w:rPr>
        <w:t xml:space="preserve">  隆安县教育局</w:t>
      </w:r>
      <w:r>
        <w:rPr>
          <w:rFonts w:hint="eastAsia" w:ascii="宋体" w:hAnsi="宋体" w:cs="宋体"/>
          <w:sz w:val="32"/>
          <w:szCs w:val="32"/>
          <w:u w:val="single"/>
        </w:rPr>
        <w:t xml:space="preserve">  </w:t>
      </w:r>
    </w:p>
    <w:p>
      <w:pPr>
        <w:spacing w:line="360" w:lineRule="auto"/>
        <w:rPr>
          <w:rFonts w:ascii="宋体" w:hAnsi="宋体" w:cs="宋体"/>
          <w:sz w:val="32"/>
          <w:szCs w:val="32"/>
          <w:u w:val="single"/>
        </w:rPr>
      </w:pPr>
      <w:r>
        <w:rPr>
          <w:rFonts w:hint="eastAsia" w:ascii="宋体" w:hAnsi="宋体" w:cs="宋体"/>
          <w:sz w:val="32"/>
          <w:szCs w:val="32"/>
        </w:rPr>
        <w:t>代理机构名称：</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rPr>
        <w:t>采购文件公告：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采购结果公告：</w:t>
      </w:r>
      <w:r>
        <w:rPr>
          <w:rFonts w:hint="eastAsia" w:ascii="宋体" w:hAnsi="宋体" w:cs="宋体"/>
          <w:sz w:val="32"/>
          <w:szCs w:val="32"/>
          <w:u w:val="dotted"/>
        </w:rPr>
        <w:t xml:space="preserve">是/否 </w:t>
      </w:r>
      <w:r>
        <w:rPr>
          <w:rFonts w:hint="eastAsia" w:ascii="宋体" w:hAnsi="宋体" w:cs="宋体"/>
          <w:sz w:val="32"/>
          <w:szCs w:val="32"/>
        </w:rPr>
        <w:t>公告期限：</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三、质疑基本情况</w:t>
      </w:r>
    </w:p>
    <w:p>
      <w:pPr>
        <w:spacing w:line="360" w:lineRule="auto"/>
        <w:ind w:firstLine="640" w:firstLineChars="200"/>
        <w:rPr>
          <w:rFonts w:ascii="宋体" w:hAnsi="宋体" w:cs="宋体"/>
          <w:sz w:val="32"/>
          <w:szCs w:val="32"/>
          <w:u w:val="dotted"/>
        </w:rPr>
      </w:pPr>
      <w:r>
        <w:rPr>
          <w:rFonts w:hint="eastAsia" w:ascii="宋体" w:hAnsi="宋体" w:cs="宋体"/>
          <w:sz w:val="32"/>
          <w:szCs w:val="32"/>
        </w:rPr>
        <w:t>投诉人于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日，向</w:t>
      </w:r>
      <w:r>
        <w:rPr>
          <w:rFonts w:hint="eastAsia" w:ascii="宋体" w:hAnsi="宋体" w:cs="宋体"/>
          <w:sz w:val="32"/>
          <w:szCs w:val="32"/>
          <w:u w:val="dotted"/>
        </w:rPr>
        <w:t xml:space="preserve">                   </w:t>
      </w:r>
      <w:r>
        <w:rPr>
          <w:rFonts w:hint="eastAsia" w:ascii="宋体" w:hAnsi="宋体" w:cs="宋体"/>
          <w:sz w:val="32"/>
          <w:szCs w:val="32"/>
        </w:rPr>
        <w:t>提出质疑，质疑事项为：</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ind w:firstLine="480" w:firstLineChars="150"/>
        <w:rPr>
          <w:rFonts w:ascii="宋体" w:hAnsi="宋体" w:cs="宋体"/>
          <w:sz w:val="32"/>
          <w:szCs w:val="32"/>
        </w:rPr>
      </w:pPr>
      <w:r>
        <w:rPr>
          <w:rFonts w:hint="eastAsia" w:ascii="宋体" w:hAnsi="宋体" w:cs="宋体"/>
          <w:sz w:val="32"/>
          <w:szCs w:val="32"/>
          <w:u w:val="dotted"/>
        </w:rPr>
        <w:t>采购人/代理机构</w:t>
      </w:r>
      <w:r>
        <w:rPr>
          <w:rFonts w:hint="eastAsia" w:ascii="宋体" w:hAnsi="宋体" w:cs="宋体"/>
          <w:sz w:val="32"/>
          <w:szCs w:val="32"/>
        </w:rPr>
        <w:t>于</w:t>
      </w:r>
      <w:r>
        <w:rPr>
          <w:rFonts w:hint="eastAsia" w:ascii="宋体" w:hAnsi="宋体" w:cs="宋体"/>
          <w:sz w:val="32"/>
          <w:szCs w:val="32"/>
          <w:u w:val="dotted"/>
        </w:rPr>
        <w:t xml:space="preserve">   </w:t>
      </w:r>
      <w:r>
        <w:rPr>
          <w:rFonts w:hint="eastAsia" w:ascii="宋体" w:hAnsi="宋体" w:cs="宋体"/>
          <w:sz w:val="32"/>
          <w:szCs w:val="32"/>
        </w:rPr>
        <w:t>年</w:t>
      </w:r>
      <w:r>
        <w:rPr>
          <w:rFonts w:hint="eastAsia" w:ascii="宋体" w:hAnsi="宋体" w:cs="宋体"/>
          <w:sz w:val="32"/>
          <w:szCs w:val="32"/>
          <w:u w:val="dotted"/>
        </w:rPr>
        <w:t xml:space="preserve">   </w:t>
      </w:r>
      <w:r>
        <w:rPr>
          <w:rFonts w:hint="eastAsia" w:ascii="宋体" w:hAnsi="宋体" w:cs="宋体"/>
          <w:sz w:val="32"/>
          <w:szCs w:val="32"/>
        </w:rPr>
        <w:t>月</w:t>
      </w:r>
      <w:r>
        <w:rPr>
          <w:rFonts w:hint="eastAsia" w:ascii="宋体" w:hAnsi="宋体" w:cs="宋体"/>
          <w:sz w:val="32"/>
          <w:szCs w:val="32"/>
          <w:u w:val="dotted"/>
        </w:rPr>
        <w:t xml:space="preserve">   </w:t>
      </w:r>
      <w:r>
        <w:rPr>
          <w:rFonts w:hint="eastAsia" w:ascii="宋体" w:hAnsi="宋体" w:cs="宋体"/>
          <w:sz w:val="32"/>
          <w:szCs w:val="32"/>
        </w:rPr>
        <w:t>日，就质疑事项作出了答复/没有在法定期限内作出答复。</w:t>
      </w:r>
    </w:p>
    <w:p>
      <w:pPr>
        <w:spacing w:line="360" w:lineRule="auto"/>
        <w:rPr>
          <w:rFonts w:ascii="宋体" w:hAnsi="宋体" w:cs="宋体"/>
          <w:sz w:val="32"/>
          <w:szCs w:val="32"/>
        </w:rPr>
      </w:pPr>
      <w:r>
        <w:rPr>
          <w:rFonts w:hint="eastAsia" w:ascii="宋体" w:hAnsi="宋体" w:cs="宋体"/>
          <w:sz w:val="32"/>
          <w:szCs w:val="32"/>
        </w:rPr>
        <w:t>四、投诉事项具体内容</w:t>
      </w:r>
    </w:p>
    <w:p>
      <w:pPr>
        <w:spacing w:line="360" w:lineRule="auto"/>
        <w:rPr>
          <w:rFonts w:ascii="宋体" w:hAnsi="宋体" w:cs="宋体"/>
          <w:sz w:val="32"/>
          <w:szCs w:val="32"/>
          <w:u w:val="single"/>
        </w:rPr>
      </w:pPr>
      <w:r>
        <w:rPr>
          <w:rFonts w:hint="eastAsia" w:ascii="宋体" w:hAnsi="宋体" w:cs="宋体"/>
          <w:sz w:val="32"/>
          <w:szCs w:val="32"/>
        </w:rPr>
        <w:t>投诉事项 1：</w:t>
      </w: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事实依据：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u w:val="single"/>
        </w:rPr>
      </w:pPr>
      <w:r>
        <w:rPr>
          <w:rFonts w:hint="eastAsia" w:ascii="宋体" w:hAnsi="宋体" w:cs="宋体"/>
          <w:sz w:val="32"/>
          <w:szCs w:val="32"/>
        </w:rPr>
        <w:t>法律依据：</w:t>
      </w:r>
      <w:r>
        <w:rPr>
          <w:rFonts w:hint="eastAsia" w:ascii="宋体" w:hAnsi="宋体" w:cs="宋体"/>
          <w:sz w:val="32"/>
          <w:szCs w:val="32"/>
          <w:u w:val="dotted"/>
        </w:rPr>
        <w:t xml:space="preserve">                                          </w:t>
      </w:r>
    </w:p>
    <w:p>
      <w:pPr>
        <w:spacing w:line="360" w:lineRule="auto"/>
        <w:rPr>
          <w:rFonts w:ascii="宋体" w:hAnsi="宋体" w:cs="宋体"/>
          <w:sz w:val="32"/>
          <w:szCs w:val="32"/>
          <w:u w:val="dotted"/>
        </w:rPr>
      </w:pPr>
      <w:r>
        <w:rPr>
          <w:rFonts w:hint="eastAsia" w:ascii="宋体" w:hAnsi="宋体" w:cs="宋体"/>
          <w:sz w:val="32"/>
          <w:szCs w:val="32"/>
          <w:u w:val="dotted"/>
        </w:rPr>
        <w:t xml:space="preserve">                                                      </w:t>
      </w:r>
    </w:p>
    <w:p>
      <w:pPr>
        <w:spacing w:line="360" w:lineRule="auto"/>
        <w:rPr>
          <w:rFonts w:ascii="宋体" w:hAnsi="宋体" w:cs="宋体"/>
          <w:sz w:val="32"/>
          <w:szCs w:val="32"/>
        </w:rPr>
      </w:pPr>
      <w:r>
        <w:rPr>
          <w:rFonts w:hint="eastAsia" w:ascii="宋体" w:hAnsi="宋体" w:cs="宋体"/>
          <w:sz w:val="32"/>
          <w:szCs w:val="32"/>
        </w:rPr>
        <w:t>投诉事项2</w:t>
      </w:r>
    </w:p>
    <w:p>
      <w:pPr>
        <w:spacing w:line="360" w:lineRule="auto"/>
        <w:rPr>
          <w:rFonts w:ascii="宋体" w:hAnsi="宋体" w:cs="宋体"/>
          <w:sz w:val="32"/>
          <w:szCs w:val="32"/>
          <w:u w:val="dotted"/>
        </w:rPr>
      </w:pPr>
      <w:r>
        <w:rPr>
          <w:rFonts w:hint="eastAsia" w:ascii="宋体" w:hAnsi="宋体" w:cs="宋体"/>
          <w:sz w:val="32"/>
          <w:szCs w:val="32"/>
        </w:rPr>
        <w:t>……</w:t>
      </w:r>
    </w:p>
    <w:p>
      <w:pPr>
        <w:spacing w:line="360" w:lineRule="auto"/>
        <w:rPr>
          <w:rFonts w:ascii="宋体" w:hAnsi="宋体" w:cs="宋体"/>
          <w:sz w:val="32"/>
          <w:szCs w:val="32"/>
        </w:rPr>
      </w:pPr>
      <w:r>
        <w:rPr>
          <w:rFonts w:hint="eastAsia" w:ascii="宋体" w:hAnsi="宋体" w:cs="宋体"/>
          <w:sz w:val="32"/>
          <w:szCs w:val="32"/>
        </w:rPr>
        <w:t>五、与投诉事项相关的投诉请求</w:t>
      </w:r>
    </w:p>
    <w:p>
      <w:pPr>
        <w:spacing w:line="360" w:lineRule="auto"/>
        <w:rPr>
          <w:rFonts w:ascii="宋体" w:hAnsi="宋体" w:cs="宋体"/>
          <w:sz w:val="32"/>
          <w:szCs w:val="32"/>
        </w:rPr>
      </w:pPr>
      <w:r>
        <w:rPr>
          <w:rFonts w:hint="eastAsia" w:ascii="宋体" w:hAnsi="宋体" w:cs="宋体"/>
          <w:sz w:val="32"/>
          <w:szCs w:val="32"/>
        </w:rPr>
        <w:t>请求：</w:t>
      </w:r>
      <w:r>
        <w:rPr>
          <w:rFonts w:hint="eastAsia" w:ascii="宋体" w:hAnsi="宋体" w:cs="宋体"/>
          <w:sz w:val="32"/>
          <w:szCs w:val="32"/>
          <w:u w:val="dotted"/>
        </w:rPr>
        <w:t xml:space="preserve">                                              </w:t>
      </w:r>
      <w:r>
        <w:rPr>
          <w:rFonts w:hint="eastAsia" w:ascii="宋体" w:hAnsi="宋体" w:cs="宋体"/>
          <w:sz w:val="32"/>
          <w:szCs w:val="32"/>
        </w:rPr>
        <w:t xml:space="preserve"> </w:t>
      </w:r>
    </w:p>
    <w:p>
      <w:pPr>
        <w:spacing w:line="360" w:lineRule="auto"/>
        <w:rPr>
          <w:rFonts w:ascii="宋体" w:hAnsi="宋体" w:cs="宋体"/>
          <w:sz w:val="32"/>
          <w:szCs w:val="32"/>
          <w:u w:val="single"/>
        </w:rPr>
      </w:pPr>
      <w:r>
        <w:rPr>
          <w:rFonts w:hint="eastAsia" w:ascii="宋体" w:hAnsi="宋体" w:cs="宋体"/>
          <w:sz w:val="32"/>
          <w:szCs w:val="32"/>
        </w:rPr>
        <w:t xml:space="preserve">                                                                                                    </w:t>
      </w:r>
    </w:p>
    <w:p>
      <w:pPr>
        <w:spacing w:line="360" w:lineRule="auto"/>
        <w:rPr>
          <w:rFonts w:ascii="宋体" w:hAnsi="宋体" w:cs="宋体"/>
          <w:sz w:val="32"/>
          <w:szCs w:val="32"/>
        </w:rPr>
      </w:pPr>
      <w:r>
        <w:rPr>
          <w:rFonts w:hint="eastAsia" w:ascii="宋体" w:hAnsi="宋体" w:cs="宋体"/>
          <w:sz w:val="32"/>
          <w:szCs w:val="32"/>
        </w:rPr>
        <w:t xml:space="preserve">签字（签章）：                   公章：                      </w:t>
      </w:r>
    </w:p>
    <w:p>
      <w:pPr>
        <w:spacing w:line="360" w:lineRule="auto"/>
        <w:rPr>
          <w:rFonts w:ascii="宋体" w:hAnsi="宋体" w:cs="宋体"/>
          <w:sz w:val="32"/>
          <w:szCs w:val="32"/>
        </w:rPr>
      </w:pPr>
      <w:r>
        <w:rPr>
          <w:rFonts w:hint="eastAsia" w:ascii="宋体" w:hAnsi="宋体" w:cs="宋体"/>
          <w:sz w:val="32"/>
          <w:szCs w:val="32"/>
        </w:rPr>
        <w:t xml:space="preserve">日期：    </w:t>
      </w:r>
    </w:p>
    <w:p>
      <w:pPr>
        <w:spacing w:line="360" w:lineRule="auto"/>
        <w:rPr>
          <w:rFonts w:ascii="宋体" w:hAnsi="宋体" w:cs="宋体"/>
          <w:b/>
          <w:sz w:val="32"/>
          <w:szCs w:val="32"/>
        </w:rPr>
      </w:pPr>
    </w:p>
    <w:p>
      <w:pPr>
        <w:spacing w:line="360" w:lineRule="auto"/>
        <w:rPr>
          <w:rFonts w:ascii="宋体" w:hAnsi="宋体" w:cs="宋体"/>
          <w:b/>
          <w:sz w:val="32"/>
          <w:szCs w:val="32"/>
        </w:rPr>
      </w:pPr>
      <w:r>
        <w:rPr>
          <w:rFonts w:hint="eastAsia" w:ascii="宋体" w:hAnsi="宋体" w:cs="宋体"/>
          <w:b/>
          <w:sz w:val="32"/>
          <w:szCs w:val="32"/>
        </w:rPr>
        <w:t>投诉书制作说明：</w:t>
      </w:r>
    </w:p>
    <w:p>
      <w:pPr>
        <w:widowControl/>
        <w:spacing w:line="360" w:lineRule="auto"/>
        <w:ind w:firstLine="640" w:firstLineChars="200"/>
        <w:rPr>
          <w:rFonts w:ascii="宋体" w:hAnsi="宋体" w:cs="宋体"/>
          <w:kern w:val="0"/>
          <w:sz w:val="32"/>
          <w:szCs w:val="32"/>
        </w:rPr>
      </w:pPr>
      <w:r>
        <w:rPr>
          <w:rFonts w:hint="eastAsia" w:ascii="宋体" w:hAnsi="宋体" w:cs="宋体"/>
          <w:sz w:val="32"/>
          <w:szCs w:val="32"/>
        </w:rPr>
        <w:t>1.投诉人提起投诉时，应当提交投诉书和必要的证明材料，并按照被投诉人和与投诉事项有关的供应商数量提供投诉书副本。</w:t>
      </w:r>
    </w:p>
    <w:p>
      <w:pPr>
        <w:widowControl/>
        <w:spacing w:line="360" w:lineRule="auto"/>
        <w:ind w:firstLine="640" w:firstLineChars="200"/>
        <w:jc w:val="left"/>
        <w:rPr>
          <w:rFonts w:ascii="宋体" w:hAnsi="宋体" w:cs="宋体"/>
          <w:kern w:val="0"/>
          <w:sz w:val="32"/>
          <w:szCs w:val="32"/>
        </w:rPr>
      </w:pPr>
      <w:r>
        <w:rPr>
          <w:rFonts w:hint="eastAsia" w:ascii="宋体" w:hAnsi="宋体" w:cs="宋体"/>
          <w:sz w:val="32"/>
          <w:szCs w:val="32"/>
        </w:rPr>
        <w:t>2.投诉人若委托代理人进行投诉的，投诉书应按照要求列明“授权代表”的有关内容，并在附件中提交由</w:t>
      </w:r>
      <w:r>
        <w:rPr>
          <w:rFonts w:hint="eastAsia" w:ascii="宋体" w:hAnsi="宋体" w:cs="宋体"/>
          <w:kern w:val="0"/>
          <w:sz w:val="32"/>
          <w:szCs w:val="32"/>
        </w:rPr>
        <w:t>投诉人签署的授权委托书。授权委托书应当载明代理人的姓名或者名称、代理事项、具体权限、期限和相关事项。</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3.投诉人若对项目的某一分包进行投诉，投诉书应列明具体分包号。</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4.投诉书应简要列明质疑事项，质疑函、质疑答复等作为附件材料提供。</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5.投诉书的投诉事项应具体、明确，并有必要的事实依据和法律依据。</w:t>
      </w:r>
    </w:p>
    <w:p>
      <w:pPr>
        <w:widowControl/>
        <w:spacing w:line="360" w:lineRule="auto"/>
        <w:ind w:firstLine="640" w:firstLineChars="200"/>
        <w:jc w:val="left"/>
        <w:rPr>
          <w:rFonts w:ascii="宋体" w:hAnsi="宋体" w:cs="宋体"/>
          <w:sz w:val="32"/>
          <w:szCs w:val="32"/>
        </w:rPr>
      </w:pPr>
      <w:r>
        <w:rPr>
          <w:rFonts w:hint="eastAsia" w:ascii="宋体" w:hAnsi="宋体" w:cs="宋体"/>
          <w:sz w:val="32"/>
          <w:szCs w:val="32"/>
        </w:rPr>
        <w:t>6.投诉书的投诉请求应与投诉事项相关。</w:t>
      </w:r>
    </w:p>
    <w:p>
      <w:pPr>
        <w:widowControl/>
        <w:spacing w:line="360" w:lineRule="auto"/>
        <w:ind w:firstLine="640" w:firstLineChars="200"/>
        <w:jc w:val="left"/>
        <w:rPr>
          <w:rFonts w:ascii="宋体" w:hAnsi="宋体" w:cs="宋体"/>
        </w:rPr>
      </w:pPr>
      <w:r>
        <w:rPr>
          <w:rFonts w:hint="eastAsia" w:ascii="宋体" w:hAnsi="宋体" w:cs="宋体"/>
          <w:sz w:val="32"/>
          <w:szCs w:val="32"/>
        </w:rPr>
        <w:t>7.投诉人为自然人的，投诉书应当由本人签字；投诉人为法人或者其他组织的，投诉书应当由法定代表人、主要负责人，或者其授权代表签字或者盖章，并加盖公章。</w:t>
      </w:r>
    </w:p>
    <w:p/>
    <w:sectPr>
      <w:footerReference r:id="rId19" w:type="first"/>
      <w:footerReference r:id="rId17" w:type="default"/>
      <w:footerReference r:id="rId18" w:type="even"/>
      <w:pgSz w:w="11906" w:h="16838"/>
      <w:pgMar w:top="1440" w:right="1080" w:bottom="1440" w:left="1080" w:header="720" w:footer="720" w:gutter="0"/>
      <w:cols w:space="720" w:num="1"/>
      <w:docGrid w:type="lines" w:linePitch="33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249</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249</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252</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QHJYcIBAACNAwAADgAAAGRycy9lMm9Eb2MueG1srVPNjtMwEL4j8Q6W&#10;79TZroS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OUByWH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252</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rPr>
    </w:pPr>
    <w:r>
      <w:fldChar w:fldCharType="begin"/>
    </w:r>
    <w:r>
      <w:rPr>
        <w:rStyle w:val="28"/>
      </w:rPr>
      <w:instrText xml:space="preserve">PAGE  </w:instrText>
    </w:r>
    <w:r>
      <w:fldChar w:fldCharType="end"/>
    </w:r>
  </w:p>
  <w:p>
    <w:pPr>
      <w:pStyle w:val="1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rPr>
        <w:rStyle w:val="28"/>
      </w:rPr>
    </w:pPr>
    <w:r>
      <w:fldChar w:fldCharType="begin"/>
    </w:r>
    <w:r>
      <w:rPr>
        <w:rStyle w:val="28"/>
      </w:rPr>
      <w:instrText xml:space="preserve">PAGE  </w:instrText>
    </w:r>
    <w:r>
      <w:fldChar w:fldCharType="separate"/>
    </w:r>
    <w:r>
      <w:rPr>
        <w:rStyle w:val="28"/>
      </w:rPr>
      <w:t>122</w:t>
    </w:r>
    <w:r>
      <w:fldChar w:fldCharType="end"/>
    </w:r>
  </w:p>
  <w:p>
    <w:pPr>
      <w:pStyle w:val="16"/>
      <w:ind w:right="360"/>
      <w:jc w:val="both"/>
    </w:pPr>
    <w:r>
      <w:rPr>
        <w:rFonts w:hint="eastAsia"/>
      </w:rPr>
      <w:t>121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rPr>
        <w:rStyle w:val="28"/>
        <w:sz w:val="21"/>
      </w:rPr>
    </w:pPr>
    <w:r>
      <w:rPr>
        <w:sz w:val="21"/>
      </w:rPr>
      <w:fldChar w:fldCharType="begin"/>
    </w:r>
    <w:r>
      <w:rPr>
        <w:rStyle w:val="28"/>
        <w:sz w:val="21"/>
      </w:rPr>
      <w:instrText xml:space="preserve">PAGE  </w:instrText>
    </w:r>
    <w:r>
      <w:rPr>
        <w:sz w:val="21"/>
      </w:rPr>
      <w:fldChar w:fldCharType="separate"/>
    </w:r>
    <w:r>
      <w:rPr>
        <w:rStyle w:val="28"/>
        <w:sz w:val="21"/>
      </w:rPr>
      <w:t>0</w:t>
    </w:r>
    <w:r>
      <w:rPr>
        <w:sz w:val="21"/>
      </w:rPr>
      <w:fldChar w:fldCharType="end"/>
    </w:r>
  </w:p>
  <w:p>
    <w:pPr>
      <w:pStyle w:val="16"/>
      <w:rPr>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8870342"/>
    </w:sdtPr>
    <w:sdtContent>
      <w:p>
        <w:pPr>
          <w:pStyle w:val="16"/>
          <w:jc w:val="center"/>
        </w:pPr>
        <w:r>
          <w:fldChar w:fldCharType="begin"/>
        </w:r>
        <w:r>
          <w:instrText xml:space="preserve">PAGE   \* MERGEFORMAT</w:instrText>
        </w:r>
        <w:r>
          <w:fldChar w:fldCharType="separate"/>
        </w:r>
        <w:r>
          <w:rPr>
            <w:lang w:val="zh-CN"/>
          </w:rPr>
          <w:t>213</w:t>
        </w:r>
        <w:r>
          <w:fldChar w:fldCharType="end"/>
        </w:r>
      </w:p>
    </w:sdtContent>
  </w:sdt>
  <w:p>
    <w:pPr>
      <w:pStyle w:val="1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223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ip7u8EBAACN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bkGhLtjwsKln4w6Qk3FcEqF0bRReQ3+vJesp79o+x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OqXm5zwAAAAUBAAAPAAAAAAAAAAEAIAAAACIAAABkcnMvZG93bnJldi54bWxQSwECFAAU&#10;AAAACACHTuJApip7u8EBAACNAwAADgAAAAAAAAABACAAAAAeAQAAZHJzL2Uyb0RvYy54bWxQSwUG&#10;AAAAAAYABgBZAQAAUQU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223</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2JFlysIBAACN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m5BoTbQ8LCpZ+MOkJNxXBKhdG0UXkNHt9L1sNftPkL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NiRZcr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center" w:y="1"/>
      <w:ind w:left="560" w:hanging="560"/>
      <w:rPr>
        <w:rStyle w:val="28"/>
      </w:rPr>
    </w:pPr>
    <w:r>
      <w:fldChar w:fldCharType="begin"/>
    </w:r>
    <w:r>
      <w:rPr>
        <w:rStyle w:val="28"/>
      </w:rPr>
      <w:instrText xml:space="preserve">PAGE  </w:instrText>
    </w:r>
    <w:r>
      <w:fldChar w:fldCharType="end"/>
    </w:r>
  </w:p>
  <w:p>
    <w:pPr>
      <w:pStyle w:val="16"/>
      <w:ind w:left="560" w:hanging="5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framePr w:wrap="around" w:vAnchor="text" w:hAnchor="margin" w:xAlign="right" w:y="1"/>
      <w:ind w:left="560" w:hanging="560"/>
      <w:rPr>
        <w:rStyle w:val="28"/>
      </w:rPr>
    </w:pPr>
    <w:r>
      <w:fldChar w:fldCharType="begin"/>
    </w:r>
    <w:r>
      <w:rPr>
        <w:rStyle w:val="28"/>
      </w:rPr>
      <w:instrText xml:space="preserve">PAGE  </w:instrText>
    </w:r>
    <w:r>
      <w:fldChar w:fldCharType="separate"/>
    </w:r>
    <w:r>
      <w:rPr>
        <w:rStyle w:val="28"/>
      </w:rPr>
      <w:t>122</w:t>
    </w:r>
    <w:r>
      <w:fldChar w:fldCharType="end"/>
    </w:r>
  </w:p>
  <w:p>
    <w:pPr>
      <w:pStyle w:val="16"/>
      <w:ind w:left="560" w:right="360" w:hanging="560"/>
      <w:jc w:val="both"/>
    </w:pPr>
    <w:r>
      <w:rPr>
        <w:rFonts w:hint="eastAsia"/>
      </w:rPr>
      <w:t>121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left="560" w:hanging="560"/>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6"/>
                          </w:pPr>
                          <w:r>
                            <w:fldChar w:fldCharType="begin"/>
                          </w:r>
                          <w:r>
                            <w:instrText xml:space="preserve"> PAGE  \* MERGEFORMAT </w:instrText>
                          </w:r>
                          <w:r>
                            <w:fldChar w:fldCharType="separate"/>
                          </w:r>
                          <w:r>
                            <w:t>233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Bl39IPCAQAAjQMAAA4AAAAAAAAAAQAgAAAAHgEAAGRycy9lMm9Eb2MueG1sUEsF&#10;BgAAAAAGAAYAWQEAAFIFAAAAAA==&#10;">
              <v:fill on="f" focussize="0,0"/>
              <v:stroke on="f"/>
              <v:imagedata o:title=""/>
              <o:lock v:ext="edit" aspectratio="f"/>
              <v:textbox inset="0mm,0mm,0mm,0mm" style="mso-fit-shape-to-text:t;">
                <w:txbxContent>
                  <w:p>
                    <w:pPr>
                      <w:pStyle w:val="16"/>
                    </w:pPr>
                    <w:r>
                      <w:fldChar w:fldCharType="begin"/>
                    </w:r>
                    <w:r>
                      <w:instrText xml:space="preserve"> PAGE  \* MERGEFORMAT </w:instrText>
                    </w:r>
                    <w:r>
                      <w:fldChar w:fldCharType="separate"/>
                    </w:r>
                    <w:r>
                      <w:t>233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5AE78F3"/>
    <w:multiLevelType w:val="singleLevel"/>
    <w:tmpl w:val="C5AE78F3"/>
    <w:lvl w:ilvl="0" w:tentative="0">
      <w:start w:val="7"/>
      <w:numFmt w:val="chineseCounting"/>
      <w:suff w:val="nothing"/>
      <w:lvlText w:val="%1、"/>
      <w:lvlJc w:val="left"/>
      <w:rPr>
        <w:rFonts w:hint="eastAsia"/>
      </w:rPr>
    </w:lvl>
  </w:abstractNum>
  <w:abstractNum w:abstractNumId="1">
    <w:nsid w:val="D6CD6F83"/>
    <w:multiLevelType w:val="singleLevel"/>
    <w:tmpl w:val="D6CD6F83"/>
    <w:lvl w:ilvl="0" w:tentative="0">
      <w:start w:val="1"/>
      <w:numFmt w:val="decimal"/>
      <w:suff w:val="nothing"/>
      <w:lvlText w:val="%1、"/>
      <w:lvlJc w:val="left"/>
    </w:lvl>
  </w:abstractNum>
  <w:abstractNum w:abstractNumId="2">
    <w:nsid w:val="00000007"/>
    <w:multiLevelType w:val="multilevel"/>
    <w:tmpl w:val="00000007"/>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
    <w:nsid w:val="15CDC0A4"/>
    <w:multiLevelType w:val="singleLevel"/>
    <w:tmpl w:val="15CDC0A4"/>
    <w:lvl w:ilvl="0" w:tentative="0">
      <w:start w:val="1"/>
      <w:numFmt w:val="decimal"/>
      <w:lvlText w:val="%1."/>
      <w:lvlJc w:val="left"/>
      <w:pPr>
        <w:tabs>
          <w:tab w:val="left" w:pos="312"/>
        </w:tabs>
      </w:pPr>
    </w:lvl>
  </w:abstractNum>
  <w:abstractNum w:abstractNumId="4">
    <w:nsid w:val="34444808"/>
    <w:multiLevelType w:val="multilevel"/>
    <w:tmpl w:val="34444808"/>
    <w:lvl w:ilvl="0" w:tentative="0">
      <w:start w:val="1"/>
      <w:numFmt w:val="decimal"/>
      <w:lvlText w:val="%1、"/>
      <w:lvlJc w:val="left"/>
      <w:pPr>
        <w:ind w:left="660" w:hanging="360"/>
      </w:pPr>
      <w:rPr>
        <w:rFonts w:hint="default"/>
      </w:rPr>
    </w:lvl>
    <w:lvl w:ilvl="1" w:tentative="0">
      <w:start w:val="1"/>
      <w:numFmt w:val="lowerLetter"/>
      <w:lvlText w:val="%2)"/>
      <w:lvlJc w:val="left"/>
      <w:pPr>
        <w:ind w:left="1140" w:hanging="420"/>
      </w:pPr>
    </w:lvl>
    <w:lvl w:ilvl="2" w:tentative="0">
      <w:start w:val="1"/>
      <w:numFmt w:val="lowerRoman"/>
      <w:lvlText w:val="%3."/>
      <w:lvlJc w:val="right"/>
      <w:pPr>
        <w:ind w:left="1560" w:hanging="420"/>
      </w:pPr>
    </w:lvl>
    <w:lvl w:ilvl="3" w:tentative="0">
      <w:start w:val="1"/>
      <w:numFmt w:val="decimal"/>
      <w:lvlText w:val="%4."/>
      <w:lvlJc w:val="left"/>
      <w:pPr>
        <w:ind w:left="1980" w:hanging="420"/>
      </w:pPr>
    </w:lvl>
    <w:lvl w:ilvl="4" w:tentative="0">
      <w:start w:val="1"/>
      <w:numFmt w:val="lowerLetter"/>
      <w:lvlText w:val="%5)"/>
      <w:lvlJc w:val="left"/>
      <w:pPr>
        <w:ind w:left="2400" w:hanging="420"/>
      </w:pPr>
    </w:lvl>
    <w:lvl w:ilvl="5" w:tentative="0">
      <w:start w:val="1"/>
      <w:numFmt w:val="lowerRoman"/>
      <w:lvlText w:val="%6."/>
      <w:lvlJc w:val="right"/>
      <w:pPr>
        <w:ind w:left="2820" w:hanging="420"/>
      </w:pPr>
    </w:lvl>
    <w:lvl w:ilvl="6" w:tentative="0">
      <w:start w:val="1"/>
      <w:numFmt w:val="decimal"/>
      <w:lvlText w:val="%7."/>
      <w:lvlJc w:val="left"/>
      <w:pPr>
        <w:ind w:left="3240" w:hanging="420"/>
      </w:pPr>
    </w:lvl>
    <w:lvl w:ilvl="7" w:tentative="0">
      <w:start w:val="1"/>
      <w:numFmt w:val="lowerLetter"/>
      <w:lvlText w:val="%8)"/>
      <w:lvlJc w:val="left"/>
      <w:pPr>
        <w:ind w:left="3660" w:hanging="420"/>
      </w:pPr>
    </w:lvl>
    <w:lvl w:ilvl="8" w:tentative="0">
      <w:start w:val="1"/>
      <w:numFmt w:val="lowerRoman"/>
      <w:lvlText w:val="%9."/>
      <w:lvlJc w:val="right"/>
      <w:pPr>
        <w:ind w:left="4080" w:hanging="420"/>
      </w:pPr>
    </w:lvl>
  </w:abstractNum>
  <w:abstractNum w:abstractNumId="5">
    <w:nsid w:val="41367BD3"/>
    <w:multiLevelType w:val="multilevel"/>
    <w:tmpl w:val="41367BD3"/>
    <w:lvl w:ilvl="0" w:tentative="0">
      <w:start w:val="6"/>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49F9218D"/>
    <w:multiLevelType w:val="multilevel"/>
    <w:tmpl w:val="49F9218D"/>
    <w:lvl w:ilvl="0" w:tentative="0">
      <w:start w:val="1"/>
      <w:numFmt w:val="decimal"/>
      <w:pStyle w:val="36"/>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704FD9C0"/>
    <w:multiLevelType w:val="singleLevel"/>
    <w:tmpl w:val="704FD9C0"/>
    <w:lvl w:ilvl="0" w:tentative="0">
      <w:start w:val="2"/>
      <w:numFmt w:val="decimal"/>
      <w:lvlText w:val="%1."/>
      <w:lvlJc w:val="left"/>
      <w:pPr>
        <w:tabs>
          <w:tab w:val="left" w:pos="312"/>
        </w:tabs>
      </w:pPr>
    </w:lvl>
  </w:abstractNum>
  <w:abstractNum w:abstractNumId="8">
    <w:nsid w:val="7A030FB4"/>
    <w:multiLevelType w:val="multilevel"/>
    <w:tmpl w:val="7A030FB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7"/>
  </w:num>
  <w:num w:numId="3">
    <w:abstractNumId w:val="8"/>
  </w:num>
  <w:num w:numId="4">
    <w:abstractNumId w:val="3"/>
  </w:num>
  <w:num w:numId="5">
    <w:abstractNumId w:val="5"/>
  </w:num>
  <w:num w:numId="6">
    <w:abstractNumId w:val="1"/>
  </w:num>
  <w:num w:numId="7">
    <w:abstractNumId w:val="0"/>
  </w:num>
  <w:num w:numId="8">
    <w:abstractNumId w:val="2"/>
    <w:lvlOverride w:ilvl="0">
      <w:startOverride w:val="1"/>
    </w:lvlOverride>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M2MGY4YzQ1YWQwNTcwNTQyZGVlNDk4NjE2Mjc0MjgifQ=="/>
  </w:docVars>
  <w:rsids>
    <w:rsidRoot w:val="096317E4"/>
    <w:rsid w:val="00075193"/>
    <w:rsid w:val="001A0283"/>
    <w:rsid w:val="001D52A6"/>
    <w:rsid w:val="00207D2C"/>
    <w:rsid w:val="0023510A"/>
    <w:rsid w:val="00255699"/>
    <w:rsid w:val="003064A1"/>
    <w:rsid w:val="0037616D"/>
    <w:rsid w:val="00434B06"/>
    <w:rsid w:val="004B6EB4"/>
    <w:rsid w:val="004D68F8"/>
    <w:rsid w:val="00501EE6"/>
    <w:rsid w:val="005102A3"/>
    <w:rsid w:val="005955E4"/>
    <w:rsid w:val="005A6299"/>
    <w:rsid w:val="005E2423"/>
    <w:rsid w:val="006F1FCD"/>
    <w:rsid w:val="007812CA"/>
    <w:rsid w:val="007E4003"/>
    <w:rsid w:val="008347D6"/>
    <w:rsid w:val="00854E44"/>
    <w:rsid w:val="00874558"/>
    <w:rsid w:val="008E1419"/>
    <w:rsid w:val="008F7939"/>
    <w:rsid w:val="0091453E"/>
    <w:rsid w:val="009235DF"/>
    <w:rsid w:val="00927160"/>
    <w:rsid w:val="00986D81"/>
    <w:rsid w:val="009A2FCF"/>
    <w:rsid w:val="00A04241"/>
    <w:rsid w:val="00A41511"/>
    <w:rsid w:val="00A92C67"/>
    <w:rsid w:val="00B73D10"/>
    <w:rsid w:val="00BB2DF9"/>
    <w:rsid w:val="00BD6A27"/>
    <w:rsid w:val="00BE30C1"/>
    <w:rsid w:val="00C4614B"/>
    <w:rsid w:val="00D92BF7"/>
    <w:rsid w:val="00E056E6"/>
    <w:rsid w:val="00E249DB"/>
    <w:rsid w:val="00F73348"/>
    <w:rsid w:val="00F820B1"/>
    <w:rsid w:val="00FC7777"/>
    <w:rsid w:val="00FE6ADC"/>
    <w:rsid w:val="01D75A14"/>
    <w:rsid w:val="025C340F"/>
    <w:rsid w:val="02B40E52"/>
    <w:rsid w:val="02E352E7"/>
    <w:rsid w:val="02F2620D"/>
    <w:rsid w:val="02F92D08"/>
    <w:rsid w:val="030626B8"/>
    <w:rsid w:val="03D63E32"/>
    <w:rsid w:val="03FB485E"/>
    <w:rsid w:val="04387860"/>
    <w:rsid w:val="04447FB3"/>
    <w:rsid w:val="04936C9B"/>
    <w:rsid w:val="049F343C"/>
    <w:rsid w:val="04B769D7"/>
    <w:rsid w:val="04D550AF"/>
    <w:rsid w:val="050D17B5"/>
    <w:rsid w:val="052E2B3A"/>
    <w:rsid w:val="065E4C1C"/>
    <w:rsid w:val="07905B50"/>
    <w:rsid w:val="085F360E"/>
    <w:rsid w:val="088A5A8D"/>
    <w:rsid w:val="08B1198F"/>
    <w:rsid w:val="08B4645C"/>
    <w:rsid w:val="08DD43F8"/>
    <w:rsid w:val="092764A8"/>
    <w:rsid w:val="096317E4"/>
    <w:rsid w:val="099178DE"/>
    <w:rsid w:val="09B4084C"/>
    <w:rsid w:val="09C164C2"/>
    <w:rsid w:val="09C22855"/>
    <w:rsid w:val="0A326B00"/>
    <w:rsid w:val="0A9A31BC"/>
    <w:rsid w:val="0AAA37AF"/>
    <w:rsid w:val="0AC27AB4"/>
    <w:rsid w:val="0B1D330C"/>
    <w:rsid w:val="0B1F443B"/>
    <w:rsid w:val="0B8C3FEE"/>
    <w:rsid w:val="0BB04560"/>
    <w:rsid w:val="0BB27FEF"/>
    <w:rsid w:val="0C6C62F9"/>
    <w:rsid w:val="0CE95111"/>
    <w:rsid w:val="0D2B0762"/>
    <w:rsid w:val="0D551328"/>
    <w:rsid w:val="0D7505C0"/>
    <w:rsid w:val="0DB56E7F"/>
    <w:rsid w:val="0DF2408F"/>
    <w:rsid w:val="0E084E96"/>
    <w:rsid w:val="0E1368C9"/>
    <w:rsid w:val="0E15476E"/>
    <w:rsid w:val="0E303356"/>
    <w:rsid w:val="0EA31D7A"/>
    <w:rsid w:val="0EF863A6"/>
    <w:rsid w:val="0F4C41C0"/>
    <w:rsid w:val="0F51041C"/>
    <w:rsid w:val="0F78784A"/>
    <w:rsid w:val="0F8808D4"/>
    <w:rsid w:val="0F9718DF"/>
    <w:rsid w:val="0FC1695C"/>
    <w:rsid w:val="0FE54B87"/>
    <w:rsid w:val="0FF02D9D"/>
    <w:rsid w:val="10C42038"/>
    <w:rsid w:val="1142587A"/>
    <w:rsid w:val="11D96AC3"/>
    <w:rsid w:val="122B3F13"/>
    <w:rsid w:val="123B3DF1"/>
    <w:rsid w:val="12DB60AD"/>
    <w:rsid w:val="12FE1E05"/>
    <w:rsid w:val="13024D3D"/>
    <w:rsid w:val="131E306A"/>
    <w:rsid w:val="13513447"/>
    <w:rsid w:val="13797498"/>
    <w:rsid w:val="13F66B18"/>
    <w:rsid w:val="141C6386"/>
    <w:rsid w:val="14254562"/>
    <w:rsid w:val="142B0848"/>
    <w:rsid w:val="149D60A8"/>
    <w:rsid w:val="14B60A59"/>
    <w:rsid w:val="14FC21E4"/>
    <w:rsid w:val="151237B6"/>
    <w:rsid w:val="15394E16"/>
    <w:rsid w:val="15ED120C"/>
    <w:rsid w:val="160E21CF"/>
    <w:rsid w:val="162B2D81"/>
    <w:rsid w:val="163523CD"/>
    <w:rsid w:val="16623A3D"/>
    <w:rsid w:val="16873A35"/>
    <w:rsid w:val="16892307"/>
    <w:rsid w:val="16F763AA"/>
    <w:rsid w:val="1706796F"/>
    <w:rsid w:val="170B577F"/>
    <w:rsid w:val="17522166"/>
    <w:rsid w:val="177644D0"/>
    <w:rsid w:val="17885FB1"/>
    <w:rsid w:val="17901F96"/>
    <w:rsid w:val="17D3547E"/>
    <w:rsid w:val="17EE4B9F"/>
    <w:rsid w:val="18697B91"/>
    <w:rsid w:val="18772805"/>
    <w:rsid w:val="18B45B17"/>
    <w:rsid w:val="19053372"/>
    <w:rsid w:val="19221A9A"/>
    <w:rsid w:val="193006AE"/>
    <w:rsid w:val="193E7535"/>
    <w:rsid w:val="19757876"/>
    <w:rsid w:val="1A420699"/>
    <w:rsid w:val="1A462224"/>
    <w:rsid w:val="1AD45E89"/>
    <w:rsid w:val="1B207D76"/>
    <w:rsid w:val="1B6C2D6A"/>
    <w:rsid w:val="1BB2184F"/>
    <w:rsid w:val="1C1B5646"/>
    <w:rsid w:val="1CA35EFD"/>
    <w:rsid w:val="1CC5747C"/>
    <w:rsid w:val="1D7A3E1C"/>
    <w:rsid w:val="1DD91270"/>
    <w:rsid w:val="1E392547"/>
    <w:rsid w:val="1EBD29E4"/>
    <w:rsid w:val="1EF04B68"/>
    <w:rsid w:val="1FD97FC7"/>
    <w:rsid w:val="2041033B"/>
    <w:rsid w:val="204213F3"/>
    <w:rsid w:val="20560998"/>
    <w:rsid w:val="20D86C82"/>
    <w:rsid w:val="213D1BBA"/>
    <w:rsid w:val="219F4623"/>
    <w:rsid w:val="22114593"/>
    <w:rsid w:val="227C171F"/>
    <w:rsid w:val="23983C4E"/>
    <w:rsid w:val="23A411CC"/>
    <w:rsid w:val="23B5021B"/>
    <w:rsid w:val="23BC14BC"/>
    <w:rsid w:val="23CD191B"/>
    <w:rsid w:val="23DA7B95"/>
    <w:rsid w:val="23E9240B"/>
    <w:rsid w:val="240C4027"/>
    <w:rsid w:val="24376D95"/>
    <w:rsid w:val="24AA6EC4"/>
    <w:rsid w:val="250B5AC7"/>
    <w:rsid w:val="253A32B3"/>
    <w:rsid w:val="254000EB"/>
    <w:rsid w:val="25405BF6"/>
    <w:rsid w:val="25566A31"/>
    <w:rsid w:val="25740E92"/>
    <w:rsid w:val="258778A8"/>
    <w:rsid w:val="25BF3437"/>
    <w:rsid w:val="260A23B5"/>
    <w:rsid w:val="26351451"/>
    <w:rsid w:val="26871A1E"/>
    <w:rsid w:val="26C07516"/>
    <w:rsid w:val="26D0702D"/>
    <w:rsid w:val="271866BD"/>
    <w:rsid w:val="274912B9"/>
    <w:rsid w:val="277D576B"/>
    <w:rsid w:val="27E16518"/>
    <w:rsid w:val="2821352A"/>
    <w:rsid w:val="2864136E"/>
    <w:rsid w:val="287B407A"/>
    <w:rsid w:val="28806905"/>
    <w:rsid w:val="28866BF1"/>
    <w:rsid w:val="28A10931"/>
    <w:rsid w:val="28C84A03"/>
    <w:rsid w:val="291D4F7D"/>
    <w:rsid w:val="292C7328"/>
    <w:rsid w:val="294343DE"/>
    <w:rsid w:val="295B3526"/>
    <w:rsid w:val="2960467D"/>
    <w:rsid w:val="2A24397F"/>
    <w:rsid w:val="2A6E1F85"/>
    <w:rsid w:val="2A7A79DB"/>
    <w:rsid w:val="2ACA0963"/>
    <w:rsid w:val="2B2A4199"/>
    <w:rsid w:val="2B7B6852"/>
    <w:rsid w:val="2B944ACD"/>
    <w:rsid w:val="2BD11A41"/>
    <w:rsid w:val="2C2E09A7"/>
    <w:rsid w:val="2C5030EA"/>
    <w:rsid w:val="2C8965FC"/>
    <w:rsid w:val="2CD71115"/>
    <w:rsid w:val="2CF75313"/>
    <w:rsid w:val="2D3D405F"/>
    <w:rsid w:val="2E320BD6"/>
    <w:rsid w:val="2E4758DE"/>
    <w:rsid w:val="2E871EC5"/>
    <w:rsid w:val="2E9E6358"/>
    <w:rsid w:val="2ED23EC9"/>
    <w:rsid w:val="2F974FF1"/>
    <w:rsid w:val="2FC43093"/>
    <w:rsid w:val="30011366"/>
    <w:rsid w:val="301A586E"/>
    <w:rsid w:val="30274161"/>
    <w:rsid w:val="307D6477"/>
    <w:rsid w:val="309F4982"/>
    <w:rsid w:val="30E61159"/>
    <w:rsid w:val="31076FF9"/>
    <w:rsid w:val="31436C4B"/>
    <w:rsid w:val="31505D6B"/>
    <w:rsid w:val="31D10829"/>
    <w:rsid w:val="31E63BA8"/>
    <w:rsid w:val="31FD5FB6"/>
    <w:rsid w:val="32136105"/>
    <w:rsid w:val="3260395B"/>
    <w:rsid w:val="32791C9C"/>
    <w:rsid w:val="332C1A8F"/>
    <w:rsid w:val="33A51085"/>
    <w:rsid w:val="33AB0337"/>
    <w:rsid w:val="33AD7952"/>
    <w:rsid w:val="33B741D4"/>
    <w:rsid w:val="33CA0AD0"/>
    <w:rsid w:val="33FA7BB1"/>
    <w:rsid w:val="340C5B48"/>
    <w:rsid w:val="34452D8A"/>
    <w:rsid w:val="34A613AE"/>
    <w:rsid w:val="34B47F8E"/>
    <w:rsid w:val="34D06B0B"/>
    <w:rsid w:val="35042CC3"/>
    <w:rsid w:val="35053BD8"/>
    <w:rsid w:val="35157FBF"/>
    <w:rsid w:val="356E2833"/>
    <w:rsid w:val="35F034EA"/>
    <w:rsid w:val="35FD171E"/>
    <w:rsid w:val="36154A5C"/>
    <w:rsid w:val="36287480"/>
    <w:rsid w:val="36462E68"/>
    <w:rsid w:val="369E06DD"/>
    <w:rsid w:val="36A4193D"/>
    <w:rsid w:val="36D30B9F"/>
    <w:rsid w:val="37A527FC"/>
    <w:rsid w:val="37B63D89"/>
    <w:rsid w:val="37E460C8"/>
    <w:rsid w:val="38520166"/>
    <w:rsid w:val="38EA6674"/>
    <w:rsid w:val="38F17A02"/>
    <w:rsid w:val="38F271F6"/>
    <w:rsid w:val="38F848ED"/>
    <w:rsid w:val="39322FCA"/>
    <w:rsid w:val="39705767"/>
    <w:rsid w:val="39747933"/>
    <w:rsid w:val="399E1A0E"/>
    <w:rsid w:val="39E66E3B"/>
    <w:rsid w:val="39F61C80"/>
    <w:rsid w:val="39FA4695"/>
    <w:rsid w:val="39FE2426"/>
    <w:rsid w:val="3A1C4C98"/>
    <w:rsid w:val="3A241D37"/>
    <w:rsid w:val="3A500759"/>
    <w:rsid w:val="3A5169AB"/>
    <w:rsid w:val="3A6D668C"/>
    <w:rsid w:val="3A7601BF"/>
    <w:rsid w:val="3A8F750B"/>
    <w:rsid w:val="3A976388"/>
    <w:rsid w:val="3A9778F0"/>
    <w:rsid w:val="3AA103FD"/>
    <w:rsid w:val="3AA1245D"/>
    <w:rsid w:val="3ABF73A5"/>
    <w:rsid w:val="3AE96BE3"/>
    <w:rsid w:val="3B3F2CA7"/>
    <w:rsid w:val="3B42070B"/>
    <w:rsid w:val="3B4E2EEA"/>
    <w:rsid w:val="3B502BC7"/>
    <w:rsid w:val="3B5B5AC9"/>
    <w:rsid w:val="3B7842CC"/>
    <w:rsid w:val="3B81176B"/>
    <w:rsid w:val="3BBC22EC"/>
    <w:rsid w:val="3BC136BC"/>
    <w:rsid w:val="3BD6776C"/>
    <w:rsid w:val="3BF99A41"/>
    <w:rsid w:val="3C141340"/>
    <w:rsid w:val="3C1527FF"/>
    <w:rsid w:val="3C331B44"/>
    <w:rsid w:val="3C611ECE"/>
    <w:rsid w:val="3CBC0226"/>
    <w:rsid w:val="3CC15ABF"/>
    <w:rsid w:val="3D2C2DB7"/>
    <w:rsid w:val="3D3A734A"/>
    <w:rsid w:val="3D8A5D30"/>
    <w:rsid w:val="3DFE03C3"/>
    <w:rsid w:val="3E001CAF"/>
    <w:rsid w:val="3E135D25"/>
    <w:rsid w:val="3E1C2E2C"/>
    <w:rsid w:val="3E356FF9"/>
    <w:rsid w:val="3E432B60"/>
    <w:rsid w:val="3E4E3DFC"/>
    <w:rsid w:val="3E6A158B"/>
    <w:rsid w:val="3E9C15AB"/>
    <w:rsid w:val="3ECB124E"/>
    <w:rsid w:val="3ED74FA5"/>
    <w:rsid w:val="3F7321D1"/>
    <w:rsid w:val="3FC96FE3"/>
    <w:rsid w:val="3FE72BAA"/>
    <w:rsid w:val="40372BB2"/>
    <w:rsid w:val="40907B01"/>
    <w:rsid w:val="40E12FDD"/>
    <w:rsid w:val="410E4516"/>
    <w:rsid w:val="41C04416"/>
    <w:rsid w:val="41D35EF7"/>
    <w:rsid w:val="41D43389"/>
    <w:rsid w:val="421A3B26"/>
    <w:rsid w:val="42424E2B"/>
    <w:rsid w:val="4253528A"/>
    <w:rsid w:val="425A121B"/>
    <w:rsid w:val="42F36125"/>
    <w:rsid w:val="432033BE"/>
    <w:rsid w:val="43394978"/>
    <w:rsid w:val="43E44484"/>
    <w:rsid w:val="441D72ED"/>
    <w:rsid w:val="44636958"/>
    <w:rsid w:val="44653DB3"/>
    <w:rsid w:val="44962037"/>
    <w:rsid w:val="451505D5"/>
    <w:rsid w:val="454660D7"/>
    <w:rsid w:val="469575BC"/>
    <w:rsid w:val="469907ED"/>
    <w:rsid w:val="46E2098A"/>
    <w:rsid w:val="46FB459C"/>
    <w:rsid w:val="47032343"/>
    <w:rsid w:val="470E59CC"/>
    <w:rsid w:val="47320ABD"/>
    <w:rsid w:val="47422774"/>
    <w:rsid w:val="474A22AA"/>
    <w:rsid w:val="47626180"/>
    <w:rsid w:val="47ED75E7"/>
    <w:rsid w:val="48735ADA"/>
    <w:rsid w:val="48D26575"/>
    <w:rsid w:val="493C1D4E"/>
    <w:rsid w:val="49CA4A8E"/>
    <w:rsid w:val="4A0D3F70"/>
    <w:rsid w:val="4A7E0648"/>
    <w:rsid w:val="4A93367C"/>
    <w:rsid w:val="4ADD3E3E"/>
    <w:rsid w:val="4B9C784B"/>
    <w:rsid w:val="4BAF1BF0"/>
    <w:rsid w:val="4BD91CCE"/>
    <w:rsid w:val="4CCD0192"/>
    <w:rsid w:val="4CF1409E"/>
    <w:rsid w:val="4CF431C6"/>
    <w:rsid w:val="4D151ABA"/>
    <w:rsid w:val="4D1B3555"/>
    <w:rsid w:val="4D752558"/>
    <w:rsid w:val="4DF72F6D"/>
    <w:rsid w:val="4E151645"/>
    <w:rsid w:val="4E254D8D"/>
    <w:rsid w:val="4E296E9F"/>
    <w:rsid w:val="4E2F5148"/>
    <w:rsid w:val="4E8A2033"/>
    <w:rsid w:val="4E8C06FB"/>
    <w:rsid w:val="4EE01C53"/>
    <w:rsid w:val="4EEC23A6"/>
    <w:rsid w:val="4EF621E1"/>
    <w:rsid w:val="4F950C90"/>
    <w:rsid w:val="4FC544EA"/>
    <w:rsid w:val="4FD127C6"/>
    <w:rsid w:val="503E7C3B"/>
    <w:rsid w:val="50AD0B62"/>
    <w:rsid w:val="50C86E43"/>
    <w:rsid w:val="50D73169"/>
    <w:rsid w:val="514566E6"/>
    <w:rsid w:val="520E5B9A"/>
    <w:rsid w:val="52600A28"/>
    <w:rsid w:val="527F4B4D"/>
    <w:rsid w:val="529E0B1F"/>
    <w:rsid w:val="52F61524"/>
    <w:rsid w:val="534D4075"/>
    <w:rsid w:val="53C04BC3"/>
    <w:rsid w:val="53E611C8"/>
    <w:rsid w:val="541737E9"/>
    <w:rsid w:val="544039ED"/>
    <w:rsid w:val="55510A9E"/>
    <w:rsid w:val="55711857"/>
    <w:rsid w:val="5594129E"/>
    <w:rsid w:val="56052829"/>
    <w:rsid w:val="561365E3"/>
    <w:rsid w:val="566E5E35"/>
    <w:rsid w:val="56C77AA6"/>
    <w:rsid w:val="56E30533"/>
    <w:rsid w:val="571C4E7A"/>
    <w:rsid w:val="57B95737"/>
    <w:rsid w:val="57CD4D3F"/>
    <w:rsid w:val="57E325E5"/>
    <w:rsid w:val="57F34F37"/>
    <w:rsid w:val="58582F3B"/>
    <w:rsid w:val="58596C4E"/>
    <w:rsid w:val="58777652"/>
    <w:rsid w:val="588C69A8"/>
    <w:rsid w:val="594D7699"/>
    <w:rsid w:val="59617E35"/>
    <w:rsid w:val="59AF294E"/>
    <w:rsid w:val="5A13112F"/>
    <w:rsid w:val="5A20384C"/>
    <w:rsid w:val="5A4D5A42"/>
    <w:rsid w:val="5A7F512D"/>
    <w:rsid w:val="5AA13277"/>
    <w:rsid w:val="5ADC59C5"/>
    <w:rsid w:val="5AF822E5"/>
    <w:rsid w:val="5BCD448E"/>
    <w:rsid w:val="5C101004"/>
    <w:rsid w:val="5C1B42CB"/>
    <w:rsid w:val="5C305CA6"/>
    <w:rsid w:val="5C38208A"/>
    <w:rsid w:val="5C5B705E"/>
    <w:rsid w:val="5C8468D6"/>
    <w:rsid w:val="5D0A3648"/>
    <w:rsid w:val="5D4F536C"/>
    <w:rsid w:val="5DF9063C"/>
    <w:rsid w:val="5E437B09"/>
    <w:rsid w:val="5E5D1226"/>
    <w:rsid w:val="5E802B0B"/>
    <w:rsid w:val="5F0D28B7"/>
    <w:rsid w:val="5F9D3940"/>
    <w:rsid w:val="5F9F5213"/>
    <w:rsid w:val="602D2580"/>
    <w:rsid w:val="60455DBA"/>
    <w:rsid w:val="60583D40"/>
    <w:rsid w:val="6084265C"/>
    <w:rsid w:val="61E11B13"/>
    <w:rsid w:val="62532084"/>
    <w:rsid w:val="6273175C"/>
    <w:rsid w:val="62886432"/>
    <w:rsid w:val="62A0377C"/>
    <w:rsid w:val="62A96AD4"/>
    <w:rsid w:val="632117EE"/>
    <w:rsid w:val="634A36E8"/>
    <w:rsid w:val="634B4C36"/>
    <w:rsid w:val="635F0910"/>
    <w:rsid w:val="636522D0"/>
    <w:rsid w:val="63681BAE"/>
    <w:rsid w:val="637472EE"/>
    <w:rsid w:val="63B219B9"/>
    <w:rsid w:val="63CC1398"/>
    <w:rsid w:val="63E06B94"/>
    <w:rsid w:val="64103D2D"/>
    <w:rsid w:val="6420238B"/>
    <w:rsid w:val="648E42F6"/>
    <w:rsid w:val="64EB7A20"/>
    <w:rsid w:val="652266CA"/>
    <w:rsid w:val="652C579B"/>
    <w:rsid w:val="654C2095"/>
    <w:rsid w:val="66212AD3"/>
    <w:rsid w:val="66554FD0"/>
    <w:rsid w:val="666B7F62"/>
    <w:rsid w:val="666D7055"/>
    <w:rsid w:val="668877D1"/>
    <w:rsid w:val="66CE1624"/>
    <w:rsid w:val="66DE0D17"/>
    <w:rsid w:val="66F86F35"/>
    <w:rsid w:val="67492634"/>
    <w:rsid w:val="677D6B0D"/>
    <w:rsid w:val="67876311"/>
    <w:rsid w:val="679B7614"/>
    <w:rsid w:val="67A33875"/>
    <w:rsid w:val="6814459D"/>
    <w:rsid w:val="682D1784"/>
    <w:rsid w:val="68880928"/>
    <w:rsid w:val="689A0C6D"/>
    <w:rsid w:val="68A42C26"/>
    <w:rsid w:val="68CA50AF"/>
    <w:rsid w:val="6917406C"/>
    <w:rsid w:val="6974326C"/>
    <w:rsid w:val="69D16911"/>
    <w:rsid w:val="69E46644"/>
    <w:rsid w:val="6A0407DE"/>
    <w:rsid w:val="6A615EE7"/>
    <w:rsid w:val="6A880A51"/>
    <w:rsid w:val="6AC90E9A"/>
    <w:rsid w:val="6B5F6F20"/>
    <w:rsid w:val="6B9325E0"/>
    <w:rsid w:val="6BC404DB"/>
    <w:rsid w:val="6BCF701E"/>
    <w:rsid w:val="6BD06690"/>
    <w:rsid w:val="6C2E204E"/>
    <w:rsid w:val="6C2E3BA6"/>
    <w:rsid w:val="6C612740"/>
    <w:rsid w:val="6CF04F9A"/>
    <w:rsid w:val="6D3010AF"/>
    <w:rsid w:val="6D414401"/>
    <w:rsid w:val="6D604233"/>
    <w:rsid w:val="6D6535A5"/>
    <w:rsid w:val="6EB1590B"/>
    <w:rsid w:val="6EE031AD"/>
    <w:rsid w:val="6F4440CD"/>
    <w:rsid w:val="6F5C60E0"/>
    <w:rsid w:val="6FA8325A"/>
    <w:rsid w:val="704020FA"/>
    <w:rsid w:val="706622EA"/>
    <w:rsid w:val="70932645"/>
    <w:rsid w:val="70E74152"/>
    <w:rsid w:val="71630796"/>
    <w:rsid w:val="71A379E4"/>
    <w:rsid w:val="71BB5EDC"/>
    <w:rsid w:val="71F93703"/>
    <w:rsid w:val="72273C90"/>
    <w:rsid w:val="727D7028"/>
    <w:rsid w:val="72DD1E82"/>
    <w:rsid w:val="731F6641"/>
    <w:rsid w:val="73553DC1"/>
    <w:rsid w:val="73BB0416"/>
    <w:rsid w:val="73C3376E"/>
    <w:rsid w:val="74E67714"/>
    <w:rsid w:val="74F11DAB"/>
    <w:rsid w:val="7564688B"/>
    <w:rsid w:val="75D62912"/>
    <w:rsid w:val="75F91880"/>
    <w:rsid w:val="766C78F7"/>
    <w:rsid w:val="768E31AA"/>
    <w:rsid w:val="76CB3467"/>
    <w:rsid w:val="76E61C4D"/>
    <w:rsid w:val="770635E6"/>
    <w:rsid w:val="770C71DA"/>
    <w:rsid w:val="776B2153"/>
    <w:rsid w:val="776F0E04"/>
    <w:rsid w:val="780C3947"/>
    <w:rsid w:val="786E4DF4"/>
    <w:rsid w:val="78FF6FF6"/>
    <w:rsid w:val="796C3F60"/>
    <w:rsid w:val="797A3EC4"/>
    <w:rsid w:val="79892B16"/>
    <w:rsid w:val="79D55FA9"/>
    <w:rsid w:val="7A374E5C"/>
    <w:rsid w:val="7A54153E"/>
    <w:rsid w:val="7A921A87"/>
    <w:rsid w:val="7AB61937"/>
    <w:rsid w:val="7B7470FC"/>
    <w:rsid w:val="7B9E41B3"/>
    <w:rsid w:val="7C2823C0"/>
    <w:rsid w:val="7C3D3992"/>
    <w:rsid w:val="7C5A2796"/>
    <w:rsid w:val="7C5C0BAE"/>
    <w:rsid w:val="7CE734C6"/>
    <w:rsid w:val="7CEC7892"/>
    <w:rsid w:val="7D2D1604"/>
    <w:rsid w:val="7D4F15A2"/>
    <w:rsid w:val="7DB87774"/>
    <w:rsid w:val="7DBA1CF9"/>
    <w:rsid w:val="7DBF4A57"/>
    <w:rsid w:val="7DF06F0E"/>
    <w:rsid w:val="7E0A1642"/>
    <w:rsid w:val="7E10062B"/>
    <w:rsid w:val="7E4B40E5"/>
    <w:rsid w:val="7E5F1300"/>
    <w:rsid w:val="7E8B5F74"/>
    <w:rsid w:val="7EDF0482"/>
    <w:rsid w:val="7EF116DD"/>
    <w:rsid w:val="7EFB3DBC"/>
    <w:rsid w:val="7F182BC0"/>
    <w:rsid w:val="7F1B26B0"/>
    <w:rsid w:val="7F213556"/>
    <w:rsid w:val="7F3A4122"/>
    <w:rsid w:val="7F5D4A77"/>
    <w:rsid w:val="7F5D748B"/>
    <w:rsid w:val="7F85069A"/>
    <w:rsid w:val="7FBD5F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240" w:after="240" w:line="360" w:lineRule="auto"/>
      <w:jc w:val="center"/>
      <w:outlineLvl w:val="0"/>
    </w:pPr>
    <w:rPr>
      <w:b/>
      <w:kern w:val="44"/>
      <w:sz w:val="32"/>
    </w:rPr>
  </w:style>
  <w:style w:type="paragraph" w:styleId="3">
    <w:name w:val="heading 2"/>
    <w:basedOn w:val="1"/>
    <w:next w:val="1"/>
    <w:semiHidden/>
    <w:unhideWhenUsed/>
    <w:qFormat/>
    <w:uiPriority w:val="0"/>
    <w:pPr>
      <w:keepNext/>
      <w:keepLines/>
      <w:spacing w:before="120" w:after="120"/>
      <w:jc w:val="left"/>
      <w:outlineLvl w:val="1"/>
    </w:pPr>
    <w:rPr>
      <w:rFonts w:ascii="Arial" w:hAnsi="Arial"/>
      <w:b/>
      <w:sz w:val="30"/>
    </w:rPr>
  </w:style>
  <w:style w:type="paragraph" w:styleId="4">
    <w:name w:val="heading 3"/>
    <w:basedOn w:val="1"/>
    <w:next w:val="1"/>
    <w:link w:val="31"/>
    <w:semiHidden/>
    <w:unhideWhenUsed/>
    <w:qFormat/>
    <w:uiPriority w:val="0"/>
    <w:pPr>
      <w:keepNext/>
      <w:keepLines/>
      <w:spacing w:before="120" w:after="120"/>
      <w:jc w:val="center"/>
      <w:outlineLvl w:val="2"/>
    </w:pPr>
    <w:rPr>
      <w:rFonts w:ascii="宋体" w:hAnsi="宋体"/>
      <w:b/>
      <w:sz w:val="24"/>
    </w:rPr>
  </w:style>
  <w:style w:type="paragraph" w:styleId="5">
    <w:name w:val="heading 4"/>
    <w:basedOn w:val="1"/>
    <w:next w:val="1"/>
    <w:semiHidden/>
    <w:unhideWhenUsed/>
    <w:qFormat/>
    <w:uiPriority w:val="0"/>
    <w:pPr>
      <w:keepNext/>
      <w:keepLines/>
      <w:spacing w:before="120" w:after="120"/>
      <w:jc w:val="left"/>
      <w:outlineLvl w:val="3"/>
    </w:pPr>
    <w:rPr>
      <w:rFonts w:ascii="Arial" w:hAnsi="Arial"/>
      <w:b/>
      <w:sz w:val="28"/>
    </w:rPr>
  </w:style>
  <w:style w:type="paragraph" w:styleId="6">
    <w:name w:val="heading 5"/>
    <w:basedOn w:val="1"/>
    <w:next w:val="1"/>
    <w:semiHidden/>
    <w:unhideWhenUsed/>
    <w:qFormat/>
    <w:uiPriority w:val="0"/>
    <w:pPr>
      <w:keepNext/>
      <w:keepLines/>
      <w:spacing w:before="120" w:after="120"/>
      <w:outlineLvl w:val="4"/>
    </w:pPr>
    <w:rPr>
      <w:b/>
      <w:sz w:val="28"/>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7">
    <w:name w:val="Normal Indent"/>
    <w:basedOn w:val="1"/>
    <w:qFormat/>
    <w:uiPriority w:val="0"/>
    <w:pPr>
      <w:ind w:firstLine="420"/>
    </w:pPr>
    <w:rPr>
      <w:szCs w:val="20"/>
    </w:rPr>
  </w:style>
  <w:style w:type="paragraph" w:styleId="8">
    <w:name w:val="annotation text"/>
    <w:basedOn w:val="1"/>
    <w:link w:val="41"/>
    <w:qFormat/>
    <w:uiPriority w:val="99"/>
    <w:pPr>
      <w:jc w:val="left"/>
    </w:pPr>
  </w:style>
  <w:style w:type="paragraph" w:styleId="9">
    <w:name w:val="Body Text"/>
    <w:basedOn w:val="1"/>
    <w:next w:val="1"/>
    <w:qFormat/>
    <w:uiPriority w:val="0"/>
    <w:pPr>
      <w:spacing w:after="120"/>
    </w:pPr>
  </w:style>
  <w:style w:type="paragraph" w:styleId="10">
    <w:name w:val="Body Text Indent"/>
    <w:basedOn w:val="1"/>
    <w:qFormat/>
    <w:uiPriority w:val="0"/>
    <w:pPr>
      <w:spacing w:line="200" w:lineRule="exact"/>
      <w:ind w:firstLine="301"/>
    </w:pPr>
    <w:rPr>
      <w:rFonts w:ascii="宋体" w:hAnsi="Courier New"/>
      <w:spacing w:val="-4"/>
      <w:sz w:val="18"/>
      <w:szCs w:val="20"/>
    </w:rPr>
  </w:style>
  <w:style w:type="paragraph" w:styleId="11">
    <w:name w:val="toc 3"/>
    <w:basedOn w:val="1"/>
    <w:next w:val="1"/>
    <w:qFormat/>
    <w:uiPriority w:val="0"/>
    <w:pPr>
      <w:jc w:val="left"/>
    </w:pPr>
    <w:rPr>
      <w:rFonts w:ascii="Calibri" w:hAnsi="Calibri"/>
      <w:smallCaps/>
      <w:sz w:val="22"/>
      <w:szCs w:val="22"/>
    </w:rPr>
  </w:style>
  <w:style w:type="paragraph" w:styleId="12">
    <w:name w:val="Plain Text"/>
    <w:basedOn w:val="1"/>
    <w:next w:val="1"/>
    <w:link w:val="38"/>
    <w:qFormat/>
    <w:uiPriority w:val="0"/>
    <w:rPr>
      <w:rFonts w:ascii="宋体" w:hAnsi="Courier New"/>
      <w:szCs w:val="20"/>
    </w:rPr>
  </w:style>
  <w:style w:type="paragraph" w:styleId="13">
    <w:name w:val="toc 8"/>
    <w:basedOn w:val="1"/>
    <w:next w:val="1"/>
    <w:unhideWhenUsed/>
    <w:qFormat/>
    <w:uiPriority w:val="39"/>
    <w:pPr>
      <w:jc w:val="left"/>
    </w:pPr>
    <w:rPr>
      <w:rFonts w:ascii="Calibri" w:hAnsi="Calibri"/>
      <w:sz w:val="22"/>
      <w:szCs w:val="22"/>
    </w:rPr>
  </w:style>
  <w:style w:type="paragraph" w:styleId="14">
    <w:name w:val="Date"/>
    <w:basedOn w:val="1"/>
    <w:next w:val="1"/>
    <w:qFormat/>
    <w:uiPriority w:val="0"/>
    <w:pPr>
      <w:ind w:left="100" w:leftChars="2500"/>
    </w:pPr>
  </w:style>
  <w:style w:type="paragraph" w:styleId="15">
    <w:name w:val="Balloon Text"/>
    <w:basedOn w:val="1"/>
    <w:link w:val="43"/>
    <w:qFormat/>
    <w:uiPriority w:val="0"/>
    <w:rPr>
      <w:sz w:val="18"/>
      <w:szCs w:val="18"/>
    </w:rPr>
  </w:style>
  <w:style w:type="paragraph" w:styleId="16">
    <w:name w:val="footer"/>
    <w:basedOn w:val="1"/>
    <w:next w:val="1"/>
    <w:link w:val="40"/>
    <w:qFormat/>
    <w:uiPriority w:val="99"/>
    <w:pPr>
      <w:tabs>
        <w:tab w:val="center" w:pos="4153"/>
        <w:tab w:val="right" w:pos="8306"/>
      </w:tabs>
      <w:snapToGrid w:val="0"/>
      <w:jc w:val="left"/>
    </w:pPr>
    <w:rPr>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0"/>
    <w:pPr>
      <w:spacing w:before="360" w:after="360"/>
      <w:jc w:val="left"/>
    </w:pPr>
    <w:rPr>
      <w:rFonts w:ascii="Calibri" w:hAnsi="Calibri"/>
      <w:b/>
      <w:bCs/>
      <w:caps/>
      <w:sz w:val="22"/>
      <w:szCs w:val="22"/>
      <w:u w:val="single"/>
    </w:rPr>
  </w:style>
  <w:style w:type="paragraph" w:styleId="19">
    <w:name w:val="List"/>
    <w:basedOn w:val="1"/>
    <w:qFormat/>
    <w:uiPriority w:val="0"/>
    <w:pPr>
      <w:ind w:left="200" w:hanging="200" w:hangingChars="200"/>
    </w:pPr>
    <w:rPr>
      <w:sz w:val="28"/>
    </w:rPr>
  </w:style>
  <w:style w:type="paragraph" w:styleId="20">
    <w:name w:val="toc 2"/>
    <w:basedOn w:val="1"/>
    <w:next w:val="1"/>
    <w:qFormat/>
    <w:uiPriority w:val="0"/>
    <w:pPr>
      <w:jc w:val="left"/>
    </w:pPr>
    <w:rPr>
      <w:rFonts w:ascii="Calibri" w:hAnsi="Calibri"/>
      <w:b/>
      <w:bCs/>
      <w:smallCaps/>
      <w:sz w:val="22"/>
      <w:szCs w:val="22"/>
    </w:rPr>
  </w:style>
  <w:style w:type="paragraph" w:styleId="21">
    <w:name w:val="Normal (Web)"/>
    <w:basedOn w:val="1"/>
    <w:semiHidden/>
    <w:unhideWhenUsed/>
    <w:qFormat/>
    <w:uiPriority w:val="99"/>
    <w:pPr>
      <w:widowControl/>
      <w:spacing w:before="100" w:beforeAutospacing="1" w:after="100" w:afterAutospacing="1"/>
      <w:jc w:val="left"/>
    </w:pPr>
    <w:rPr>
      <w:rFonts w:ascii="宋体" w:hAnsi="宋体" w:cs="宋体"/>
      <w:kern w:val="0"/>
      <w:sz w:val="24"/>
    </w:rPr>
  </w:style>
  <w:style w:type="paragraph" w:styleId="22">
    <w:name w:val="Title"/>
    <w:basedOn w:val="1"/>
    <w:next w:val="1"/>
    <w:qFormat/>
    <w:uiPriority w:val="10"/>
    <w:pPr>
      <w:spacing w:before="240" w:after="60"/>
      <w:jc w:val="center"/>
      <w:outlineLvl w:val="0"/>
    </w:pPr>
    <w:rPr>
      <w:rFonts w:ascii="Cambria" w:hAnsi="Cambria"/>
      <w:b/>
      <w:bCs/>
      <w:sz w:val="32"/>
      <w:szCs w:val="32"/>
    </w:rPr>
  </w:style>
  <w:style w:type="paragraph" w:styleId="23">
    <w:name w:val="annotation subject"/>
    <w:basedOn w:val="8"/>
    <w:next w:val="8"/>
    <w:link w:val="42"/>
    <w:qFormat/>
    <w:uiPriority w:val="0"/>
    <w:rPr>
      <w:b/>
      <w:bCs/>
    </w:rPr>
  </w:style>
  <w:style w:type="paragraph" w:styleId="24">
    <w:name w:val="Body Text First Indent"/>
    <w:basedOn w:val="9"/>
    <w:qFormat/>
    <w:uiPriority w:val="0"/>
    <w:pPr>
      <w:ind w:firstLine="420" w:firstLineChars="100"/>
    </w:pPr>
  </w:style>
  <w:style w:type="table" w:styleId="26">
    <w:name w:val="Table Grid"/>
    <w:basedOn w:val="2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qFormat/>
    <w:uiPriority w:val="0"/>
  </w:style>
  <w:style w:type="character" w:styleId="29">
    <w:name w:val="Hyperlink"/>
    <w:qFormat/>
    <w:uiPriority w:val="0"/>
    <w:rPr>
      <w:color w:val="0000FF"/>
      <w:u w:val="single"/>
    </w:rPr>
  </w:style>
  <w:style w:type="character" w:styleId="30">
    <w:name w:val="annotation reference"/>
    <w:basedOn w:val="27"/>
    <w:qFormat/>
    <w:uiPriority w:val="0"/>
    <w:rPr>
      <w:sz w:val="21"/>
      <w:szCs w:val="21"/>
    </w:rPr>
  </w:style>
  <w:style w:type="character" w:customStyle="1" w:styleId="31">
    <w:name w:val="标题 3 Char"/>
    <w:link w:val="4"/>
    <w:qFormat/>
    <w:uiPriority w:val="0"/>
    <w:rPr>
      <w:rFonts w:ascii="宋体" w:hAnsi="宋体" w:eastAsia="宋体" w:cs="Times New Roman"/>
      <w:b/>
      <w:sz w:val="24"/>
    </w:rPr>
  </w:style>
  <w:style w:type="paragraph" w:customStyle="1" w:styleId="32">
    <w:name w:val="正文2"/>
    <w:basedOn w:val="1"/>
    <w:qFormat/>
    <w:uiPriority w:val="0"/>
    <w:pPr>
      <w:adjustRightInd w:val="0"/>
      <w:spacing w:before="156" w:line="360" w:lineRule="auto"/>
      <w:ind w:firstLine="510" w:firstLineChars="200"/>
    </w:pPr>
    <w:rPr>
      <w:sz w:val="24"/>
      <w:szCs w:val="20"/>
    </w:rPr>
  </w:style>
  <w:style w:type="paragraph" w:customStyle="1" w:styleId="33">
    <w:name w:val="首行缩进"/>
    <w:basedOn w:val="1"/>
    <w:qFormat/>
    <w:uiPriority w:val="0"/>
    <w:pPr>
      <w:ind w:firstLine="480" w:firstLineChars="200"/>
    </w:pPr>
  </w:style>
  <w:style w:type="paragraph" w:customStyle="1" w:styleId="34">
    <w:name w:val="正文缩进1"/>
    <w:basedOn w:val="1"/>
    <w:next w:val="10"/>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35">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36">
    <w:name w:val="自建标题样式"/>
    <w:basedOn w:val="37"/>
    <w:qFormat/>
    <w:uiPriority w:val="0"/>
    <w:pPr>
      <w:numPr>
        <w:ilvl w:val="0"/>
        <w:numId w:val="1"/>
      </w:numPr>
      <w:ind w:firstLine="0" w:firstLineChars="0"/>
      <w:jc w:val="left"/>
    </w:pPr>
    <w:rPr>
      <w:rFonts w:ascii="仿宋_GB2312" w:eastAsia="仿宋_GB2312"/>
      <w:b/>
      <w:sz w:val="32"/>
      <w:szCs w:val="32"/>
    </w:rPr>
  </w:style>
  <w:style w:type="paragraph" w:styleId="37">
    <w:name w:val="List Paragraph"/>
    <w:basedOn w:val="1"/>
    <w:qFormat/>
    <w:uiPriority w:val="34"/>
    <w:pPr>
      <w:ind w:firstLine="420" w:firstLineChars="200"/>
    </w:pPr>
  </w:style>
  <w:style w:type="character" w:customStyle="1" w:styleId="38">
    <w:name w:val="纯文本 Char"/>
    <w:link w:val="12"/>
    <w:qFormat/>
    <w:uiPriority w:val="0"/>
    <w:rPr>
      <w:rFonts w:ascii="宋体" w:hAnsi="Courier New" w:eastAsia="宋体" w:cs="Times New Roman"/>
      <w:kern w:val="2"/>
      <w:sz w:val="21"/>
    </w:rPr>
  </w:style>
  <w:style w:type="paragraph" w:customStyle="1" w:styleId="39">
    <w:name w:val="Char"/>
    <w:basedOn w:val="1"/>
    <w:qFormat/>
    <w:uiPriority w:val="0"/>
    <w:rPr>
      <w:rFonts w:ascii="仿宋_GB2312" w:eastAsia="仿宋_GB2312"/>
      <w:b/>
      <w:sz w:val="32"/>
      <w:szCs w:val="32"/>
    </w:rPr>
  </w:style>
  <w:style w:type="character" w:customStyle="1" w:styleId="40">
    <w:name w:val="页脚 Char"/>
    <w:basedOn w:val="27"/>
    <w:link w:val="16"/>
    <w:qFormat/>
    <w:uiPriority w:val="99"/>
    <w:rPr>
      <w:rFonts w:ascii="Times New Roman" w:hAnsi="Times New Roman" w:eastAsia="宋体" w:cs="Times New Roman"/>
      <w:kern w:val="2"/>
      <w:sz w:val="18"/>
      <w:szCs w:val="18"/>
    </w:rPr>
  </w:style>
  <w:style w:type="character" w:customStyle="1" w:styleId="41">
    <w:name w:val="批注文字 Char"/>
    <w:basedOn w:val="27"/>
    <w:link w:val="8"/>
    <w:qFormat/>
    <w:uiPriority w:val="99"/>
    <w:rPr>
      <w:kern w:val="2"/>
      <w:sz w:val="21"/>
      <w:szCs w:val="24"/>
    </w:rPr>
  </w:style>
  <w:style w:type="character" w:customStyle="1" w:styleId="42">
    <w:name w:val="批注主题 Char"/>
    <w:basedOn w:val="41"/>
    <w:link w:val="23"/>
    <w:qFormat/>
    <w:uiPriority w:val="0"/>
    <w:rPr>
      <w:b/>
      <w:bCs/>
      <w:kern w:val="2"/>
      <w:sz w:val="21"/>
      <w:szCs w:val="24"/>
    </w:rPr>
  </w:style>
  <w:style w:type="character" w:customStyle="1" w:styleId="43">
    <w:name w:val="批注框文本 Char"/>
    <w:basedOn w:val="27"/>
    <w:link w:val="15"/>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8" Type="http://schemas.openxmlformats.org/officeDocument/2006/relationships/fontTable" Target="fontTable.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24.png"/><Relationship Id="rId43" Type="http://schemas.openxmlformats.org/officeDocument/2006/relationships/image" Target="media/image23.png"/><Relationship Id="rId42" Type="http://schemas.openxmlformats.org/officeDocument/2006/relationships/image" Target="media/image22.png"/><Relationship Id="rId41" Type="http://schemas.openxmlformats.org/officeDocument/2006/relationships/image" Target="media/image21.png"/><Relationship Id="rId40" Type="http://schemas.openxmlformats.org/officeDocument/2006/relationships/image" Target="media/image20.png"/><Relationship Id="rId4" Type="http://schemas.openxmlformats.org/officeDocument/2006/relationships/footer" Target="footer2.xml"/><Relationship Id="rId39" Type="http://schemas.openxmlformats.org/officeDocument/2006/relationships/image" Target="media/image19.png"/><Relationship Id="rId38" Type="http://schemas.openxmlformats.org/officeDocument/2006/relationships/image" Target="media/image18.jpeg"/><Relationship Id="rId37" Type="http://schemas.openxmlformats.org/officeDocument/2006/relationships/image" Target="media/image17.png"/><Relationship Id="rId36" Type="http://schemas.openxmlformats.org/officeDocument/2006/relationships/image" Target="media/image16.png"/><Relationship Id="rId35" Type="http://schemas.openxmlformats.org/officeDocument/2006/relationships/image" Target="media/image15.png"/><Relationship Id="rId34" Type="http://schemas.openxmlformats.org/officeDocument/2006/relationships/image" Target="media/image14.jpeg"/><Relationship Id="rId33" Type="http://schemas.openxmlformats.org/officeDocument/2006/relationships/image" Target="media/image13.pn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er" Target="foot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emf"/><Relationship Id="rId23" Type="http://schemas.openxmlformats.org/officeDocument/2006/relationships/image" Target="media/image3.emf"/><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2EB75-C3B3-4A4F-AD38-9A9DD957916B}">
  <ds:schemaRefs/>
</ds:datastoreItem>
</file>

<file path=docProps/app.xml><?xml version="1.0" encoding="utf-8"?>
<Properties xmlns="http://schemas.openxmlformats.org/officeDocument/2006/extended-properties" xmlns:vt="http://schemas.openxmlformats.org/officeDocument/2006/docPropsVTypes">
  <Template>Normal</Template>
  <Pages>254</Pages>
  <Words>26715</Words>
  <Characters>152276</Characters>
  <Lines>1268</Lines>
  <Paragraphs>357</Paragraphs>
  <TotalTime>10</TotalTime>
  <ScaleCrop>false</ScaleCrop>
  <LinksUpToDate>false</LinksUpToDate>
  <CharactersWithSpaces>178634</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2025-06-30T09:13:00Z</dcterms:created>
  <dc:creator>Administrator</dc:creator>
  <cp:lastModifiedBy>LENOVO</cp:lastModifiedBy>
  <cp:lastPrinted>2025-07-01T01:59:00Z</cp:lastPrinted>
  <dcterms:modified xsi:type="dcterms:W3CDTF">2025-07-21T05:51:37Z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0F55BE206C874DDABD82BDF5C890F4AD</vt:lpwstr>
  </property>
  <property fmtid="{D5CDD505-2E9C-101B-9397-08002B2CF9AE}" pid="4" name="KSOTemplateDocerSaveRecord">
    <vt:lpwstr>eyJoZGlkIjoiYjRkNTZmMmU5ZjQzODdhMTg4MWRkNDgxYmRjMjljZDEiLCJ1c2VySWQiOiI5MzU5NzY0OTcifQ==</vt:lpwstr>
  </property>
</Properties>
</file>