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21" w:type="pct"/>
        <w:jc w:val="center"/>
        <w:tblInd w:w="30" w:type="dxa"/>
        <w:tblCellMar>
          <w:top w:w="15" w:type="dxa"/>
          <w:left w:w="15" w:type="dxa"/>
          <w:bottom w:w="15" w:type="dxa"/>
          <w:right w:w="15" w:type="dxa"/>
        </w:tblCellMar>
        <w:tblLook w:val="04A0"/>
      </w:tblPr>
      <w:tblGrid>
        <w:gridCol w:w="8393"/>
        <w:gridCol w:w="8"/>
      </w:tblGrid>
      <w:tr w:rsidR="0074281D" w:rsidRPr="0074281D" w:rsidTr="0074281D">
        <w:trPr>
          <w:gridAfter w:val="1"/>
          <w:wAfter w:w="12" w:type="dxa"/>
          <w:trHeight w:val="375"/>
          <w:jc w:val="center"/>
        </w:trPr>
        <w:tc>
          <w:tcPr>
            <w:tcW w:w="0" w:type="auto"/>
            <w:tcMar>
              <w:top w:w="30" w:type="dxa"/>
              <w:left w:w="30" w:type="dxa"/>
              <w:bottom w:w="30" w:type="dxa"/>
              <w:right w:w="30" w:type="dxa"/>
            </w:tcMar>
            <w:vAlign w:val="center"/>
          </w:tcPr>
          <w:p w:rsidR="0074281D" w:rsidRPr="0074281D" w:rsidRDefault="0074281D" w:rsidP="0074281D">
            <w:pPr>
              <w:widowControl/>
              <w:spacing w:line="490" w:lineRule="exact"/>
              <w:jc w:val="center"/>
              <w:rPr>
                <w:rFonts w:ascii="宋体" w:eastAsia="宋体" w:hAnsi="宋体" w:cs="宋体"/>
                <w:b/>
                <w:bCs/>
                <w:kern w:val="0"/>
                <w:sz w:val="40"/>
                <w:szCs w:val="40"/>
                <w:lang w:val="en-US" w:eastAsia="zh-CN" w:bidi="ar-SA"/>
              </w:rPr>
            </w:pPr>
            <w:r w:rsidRPr="0074281D">
              <w:rPr>
                <w:rFonts w:ascii="宋体" w:eastAsia="宋体" w:hAnsi="宋体" w:cs="宋体"/>
                <w:b/>
                <w:bCs/>
                <w:kern w:val="0"/>
                <w:sz w:val="40"/>
                <w:szCs w:val="40"/>
                <w:lang w:val="en-US" w:eastAsia="zh-CN" w:bidi="ar-SA"/>
              </w:rPr>
              <w:t>隆安县各乡镇农村公路平交路口安全隐患整治项目标段施工招标公告</w:t>
            </w:r>
          </w:p>
        </w:tc>
      </w:tr>
      <w:tr w:rsidR="0074281D" w:rsidRPr="0074281D" w:rsidTr="0074281D">
        <w:trPr>
          <w:gridAfter w:val="1"/>
          <w:wAfter w:w="12" w:type="dxa"/>
          <w:trHeight w:val="375"/>
          <w:jc w:val="center"/>
        </w:trPr>
        <w:tc>
          <w:tcPr>
            <w:tcW w:w="0" w:type="auto"/>
            <w:tcMar>
              <w:top w:w="30" w:type="dxa"/>
              <w:left w:w="30" w:type="dxa"/>
              <w:bottom w:w="30" w:type="dxa"/>
              <w:right w:w="30" w:type="dxa"/>
            </w:tcMar>
            <w:vAlign w:val="center"/>
          </w:tcPr>
          <w:p w:rsidR="0074281D" w:rsidRPr="0074281D" w:rsidRDefault="0074281D" w:rsidP="0074281D">
            <w:pPr>
              <w:widowControl/>
              <w:spacing w:line="490" w:lineRule="exact"/>
              <w:jc w:val="center"/>
              <w:rPr>
                <w:rFonts w:ascii="宋体" w:eastAsia="宋体" w:hAnsi="宋体" w:cs="宋体"/>
                <w:b/>
                <w:bCs/>
                <w:kern w:val="0"/>
                <w:sz w:val="40"/>
                <w:szCs w:val="40"/>
                <w:lang w:val="en-US" w:eastAsia="zh-CN" w:bidi="ar-SA"/>
              </w:rPr>
            </w:pPr>
            <w:r w:rsidRPr="0074281D">
              <w:rPr>
                <w:rFonts w:ascii="宋体" w:eastAsia="宋体" w:hAnsi="宋体" w:cs="宋体"/>
                <w:b/>
                <w:bCs/>
                <w:kern w:val="0"/>
                <w:sz w:val="40"/>
                <w:szCs w:val="40"/>
                <w:lang w:val="en-US" w:eastAsia="zh-CN" w:bidi="ar-SA"/>
              </w:rPr>
              <w:t>招标编号：E4501002816024591001001</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1.招标条件</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本招标项目隆安县各乡镇农村公路平交路口安全隐患整治项目 (项目编号：E4501002816024591001) ，已由隆安县发展改革和科学技术局关于隆安县各乡镇农村公路平交路口安全隐患整治项目建议书的批复 (隆发改科技产业[2025] 6号) 批准建设，施工图设计已由隆安县交通运输局以关于对隆安县各乡镇农村公路平交路口安全隐患整治项目施工图设计及预算文件的批复 (隆交公路复【2025】6号) 批准，项目业主为隆安县交通运输局，建设资金来自中央革命老区转移支付和县级财政资金，出资比例为100%，招标人为隆安县交通运输局。项目已具备招标条件，现对该项目的施工进行公开招标。</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2.项目概况与招标范围</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项目名称：隆安县各乡镇农村公路平交路口安全隐患整治项目</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项目编号：E4501002816024591001</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建设地点：南宁市隆安县南圩镇、都结乡、雁江镇、屏山乡、乔建镇、那桐镇、丁当镇、隆安华侨管理区、古潭乡、城厢镇等10个地方。</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建设规模：对隆安县各乡镇农村公路平交路口安全进行整治，平交路口隐患处治281处，其中坡改平10处等。</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xml:space="preserve">计划工期：180日历天 </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xml:space="preserve">质量要求：（１）标段工程交工验收的质量评定：合格； </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xml:space="preserve">（２）竣工验收的质量评定：合格。 </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招标范围：</w:t>
            </w:r>
            <w:r w:rsidRPr="0074281D">
              <w:rPr>
                <w:rFonts w:ascii="宋体" w:eastAsia="宋体" w:hAnsi="宋体" w:cs="宋体"/>
                <w:kern w:val="0"/>
                <w:sz w:val="27"/>
                <w:szCs w:val="27"/>
                <w:u w:val="single"/>
                <w:lang w:val="en-US" w:eastAsia="zh-CN" w:bidi="ar-SA"/>
              </w:rPr>
              <w:t>隆安县各乡镇农村公路平交路口安全隐患整治项目(各项技术指标以该工程项目施工设计图纸及工程量清单为准) 。</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项目总投资：5043165.00元</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标段划分：/</w:t>
            </w:r>
          </w:p>
        </w:tc>
      </w:tr>
      <w:tr w:rsidR="0074281D" w:rsidRPr="0074281D" w:rsidTr="0074281D">
        <w:trPr>
          <w:gridAfter w:val="1"/>
          <w:wAfter w:w="12" w:type="dxa"/>
          <w:jc w:val="center"/>
        </w:trPr>
        <w:tc>
          <w:tcPr>
            <w:tcW w:w="0" w:type="auto"/>
            <w:vAlign w:val="center"/>
          </w:tcPr>
          <w:p w:rsidR="0074281D" w:rsidRPr="0074281D" w:rsidRDefault="0074281D" w:rsidP="0074281D">
            <w:pPr>
              <w:spacing w:line="490" w:lineRule="exact"/>
              <w:rPr>
                <w:rFonts w:ascii="宋体" w:eastAsia="宋体" w:hAnsi="宋体" w:cs="宋体"/>
                <w:kern w:val="0"/>
                <w:sz w:val="27"/>
                <w:szCs w:val="27"/>
                <w:lang w:val="en-US" w:eastAsia="zh-CN" w:bidi="ar-SA"/>
              </w:rPr>
            </w:pP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3.投标人资格要求</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3.1本次招标要求投标人须具备公路工程施工总承包三级（含三级）以上资质，且具有省级或以上建设行政主管部门颁发的建筑施工企业安全生产许可证的施工企业，并在人员、设备、资金等方面具有相应的施工能力。</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3.2投标人应进入交通运输部“全国公路建设市场信用信息管理系统(http://glxy.mot.gov.cn)”中的公路工程施工监理资质企业名录，且投标人名称和资质与该名录中的相应企业名称和资质完全一致</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对投标人的业绩要求：</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在最近5年中（2020年1月1日至今）完成过400万元及以上（含400万元）公路工程施工业绩，应附在交通运输部“全国公路建设市场信用信息管理系统”中查询到的企业“业绩信息”相关项目网页截图。在交通运输部“全国公路建设市场信用信息管理系统”中无法查询，但可在省级交通运输主管部门“公路建设市场信信息管理系统”中查询的，应附省级交通运输主管部门“公路建设市场信用信息管理系统”中查询到的网页截图。如在上述系统中无法查询，应附中标通知书、合同协议书、交工验收证书或竣工验收鉴定书等彩色扫描件。</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xml:space="preserve">3.3本次招标不接受联合体投标。 </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3.4投标人信用评价等级属AA级、A级、B级、C级的企业，均可对本项目投标。投标单位的信用评价等级认定原则为：按照①南宁市交通运输局《关于公布南宁市公路建设市场2024年度施工和监理信用评价结果的通知》；②南宁市交通运输局《关于南宁市2024年度公路工程施工企业信用等级登记情况的通报》的规定执行；③广西壮族自治区交通运输厅《关于公布广西公路建设市场2024年度公路设计企业、施工企业、监理企业及监理人员信用评价结果的通知》；④根据《交通运输部关于公布2023年度公路建设市场全国综合信用评价结果的公告》（交通运输部公告2024年第54号）、《广西壮族自治区交通运输厅关于修订广西公</w:t>
            </w:r>
            <w:r w:rsidRPr="0074281D">
              <w:rPr>
                <w:rFonts w:ascii="宋体" w:eastAsia="宋体" w:hAnsi="宋体" w:cs="宋体"/>
                <w:kern w:val="0"/>
                <w:sz w:val="27"/>
                <w:szCs w:val="27"/>
                <w:lang w:val="en-US" w:eastAsia="zh-CN" w:bidi="ar-SA"/>
              </w:rPr>
              <w:lastRenderedPageBreak/>
              <w:t>路建设市场施工企业信用评价规则实施细则的通知》（桂交规〔2022〕8号）第十九条、南宁市交通运输局关于印发《南宁市公路工程施工和监理信用评价实施细则》的通知（南交运规〔2022〕1号）第十九条：初次进入南宁市公路建设市场的施工企业和主要人员，应向市交通工程质量监测鉴定中心报送《南宁市公路工程施工企业基本情况表》、《南宁市公路工程施工主要人员基本情况表》，以南宁市交通工程质量监测鉴定中心审核并报信用评价领导小组审定的信用等级为准。按照南交运规[2022]1号第十九条规定，初次进入南宁市公路建设市场的投标单位，在递交投标文件前应向南宁市公路建设市场施工企业信用评价领导小组申请办理信用等级登记手续，其信用评价等级按登记后的确定。信用等级登记手续通过登录“广西数字政务一体化平台”（http://zwfw.gxzf.gov.cn）申请，详询南宁市公路建设市场施工企业信用评价领导小组办公室（南宁市交通运输局建管科432办公室），咨询电话0771-5840414。</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3.5拟投入本项目的项目经理须具备公路工程专业二级以上（含二级）注册建造师执业资格，具备省级或以上交通运输行政主管部门颁发的安全生产考核合格证（B类证书），本工程项目经理须具备公路工程类专业中级及以上技术职称（专业为：路桥、公路工程、桥梁工程、交通土建、交通工程、隧道工程等公路工程类专业均可）,未担任其他在施建设工程项目的项目经理，项目总工拟投入本项目的项目总工须具备公路工程类专业中级及以上技术职称（专业为：路桥、公路工程、桥梁工程、交通土建、交通工程、隧道工程等公路工程类专业均可）,未担任其他在施建设工程项目的项目总工</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3.6与招标人存在利害关系可能影响招标公正性的单位，不得参加投标。单位负责人为同一人或存在控股、管理关系的不同单位，不得参加同一标段投标，否则，相关投标均无效。</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3.7招标人不接受在“信用中国”网站（www.creditchina.gov.cn)中被列入失信被执行人名单的或在国家企业信用信息公示系统</w:t>
            </w:r>
            <w:r w:rsidRPr="0074281D">
              <w:rPr>
                <w:rFonts w:ascii="宋体" w:eastAsia="宋体" w:hAnsi="宋体" w:cs="宋体"/>
                <w:kern w:val="0"/>
                <w:sz w:val="27"/>
                <w:szCs w:val="27"/>
                <w:lang w:val="en-US" w:eastAsia="zh-CN" w:bidi="ar-SA"/>
              </w:rPr>
              <w:lastRenderedPageBreak/>
              <w:t>（www.gsxt.gov.cn）中被列入严重违法失信企业名单的投标人投标。</w:t>
            </w:r>
          </w:p>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3.8本项目为专门面向中小企业预留的项目（供应商应为中、小、微企业、监狱企业、残疾人福利性单位）。</w:t>
            </w:r>
          </w:p>
        </w:tc>
      </w:tr>
      <w:tr w:rsidR="0074281D" w:rsidRPr="0074281D" w:rsidTr="0074281D">
        <w:trPr>
          <w:gridAfter w:val="1"/>
          <w:wAfter w:w="12" w:type="dxa"/>
          <w:jc w:val="center"/>
        </w:trPr>
        <w:tc>
          <w:tcPr>
            <w:tcW w:w="0" w:type="auto"/>
            <w:vAlign w:val="center"/>
          </w:tcPr>
          <w:p w:rsidR="0074281D" w:rsidRPr="0074281D" w:rsidRDefault="0074281D" w:rsidP="0074281D">
            <w:pPr>
              <w:spacing w:line="490" w:lineRule="exact"/>
              <w:rPr>
                <w:rFonts w:ascii="宋体" w:eastAsia="宋体" w:hAnsi="宋体" w:cs="宋体"/>
                <w:kern w:val="0"/>
                <w:sz w:val="27"/>
                <w:szCs w:val="27"/>
                <w:lang w:val="en-US" w:eastAsia="zh-CN" w:bidi="ar-SA"/>
              </w:rPr>
            </w:pP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4.评标办法</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本项目评标办法采用：技术评分最低标价法</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5.招标文件获取</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凡有意参加投标者，请于2025年10月21日 00：00 时至2025年11月10日 24：00 时（北京时间，下同），由潜在投标人使用账号及密码或企业CA锁登录广西南宁公共资源电子交易系统办理免费下载招标文件，逾期不能办理招标文件等资料下载。图纸获取方式：自行下载</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联合体投标的，由联合体牵头人完成报名、招标文件等资料下载。</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t>6.投标文件的递交及电子化开标说明</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6.1本项目采用全流程电子招标、投标、评标。投标文件递交截止时间（投标截止时间，下同）为</w:t>
            </w:r>
            <w:r>
              <w:rPr>
                <w:rFonts w:ascii="宋体" w:eastAsia="宋体" w:hAnsi="宋体" w:cs="宋体" w:hint="eastAsia"/>
                <w:kern w:val="0"/>
                <w:sz w:val="27"/>
                <w:szCs w:val="27"/>
                <w:lang w:val="en-US" w:bidi="ar-SA"/>
              </w:rPr>
              <w:t>2025年11月11日9时30分</w:t>
            </w:r>
            <w:r w:rsidRPr="0074281D">
              <w:rPr>
                <w:rFonts w:ascii="宋体" w:eastAsia="宋体" w:hAnsi="宋体" w:cs="宋体"/>
                <w:kern w:val="0"/>
                <w:sz w:val="27"/>
                <w:szCs w:val="27"/>
                <w:lang w:val="en-US" w:eastAsia="zh-CN" w:bidi="ar-SA"/>
              </w:rPr>
              <w:t>，投标人应当在投标截止时间前，按招标公告第6.2款递交投标文件。</w:t>
            </w:r>
            <w:r w:rsidRPr="0074281D">
              <w:rPr>
                <w:rFonts w:ascii="宋体" w:eastAsia="宋体" w:hAnsi="宋体" w:cs="宋体"/>
                <w:kern w:val="0"/>
                <w:sz w:val="27"/>
                <w:szCs w:val="27"/>
                <w:lang w:val="en-US" w:eastAsia="zh-CN" w:bidi="ar-SA"/>
              </w:rPr>
              <w:br/>
              <w:t>    6.2投标人必须在投标截止时间前，通过互联网使用CA 数字证书登录广西壮族自治区“公共资源交易平台”，将加密的电子投标文件上传，并保存上传成功后系统自动生成的电子签收凭证，递交时间即为电子签收凭证时间。逾期未完成上传或未按规定加密的电子投标文件，招标人将拒收。</w:t>
            </w:r>
            <w:r w:rsidRPr="0074281D">
              <w:rPr>
                <w:rFonts w:ascii="宋体" w:eastAsia="宋体" w:hAnsi="宋体" w:cs="宋体"/>
                <w:kern w:val="0"/>
                <w:sz w:val="27"/>
                <w:szCs w:val="27"/>
                <w:lang w:val="en-US" w:eastAsia="zh-CN" w:bidi="ar-SA"/>
              </w:rPr>
              <w:br/>
              <w:t>    6.3未取得广西壮族自治区公共资源交易平台系统数字证书(CA)的潜在投标人，应先办理交易主体注册手续，取得数字证书(CA)，具体登记方法请登录广西壮族自治区公共资源交易平台系统数字证书(CA)交叉互认平台</w:t>
            </w:r>
            <w:r w:rsidRPr="0074281D">
              <w:rPr>
                <w:rFonts w:ascii="宋体" w:eastAsia="宋体" w:hAnsi="宋体" w:cs="宋体"/>
                <w:kern w:val="0"/>
                <w:sz w:val="27"/>
                <w:szCs w:val="27"/>
                <w:lang w:val="en-US" w:eastAsia="zh-CN" w:bidi="ar-SA"/>
              </w:rPr>
              <w:lastRenderedPageBreak/>
              <w:t>（http://ggzy.jgswj.gxzf.gov.cn/gxggzy/CAhrpt/CAlogin.html）。</w:t>
            </w:r>
            <w:r w:rsidRPr="0074281D">
              <w:rPr>
                <w:rFonts w:ascii="宋体" w:eastAsia="宋体" w:hAnsi="宋体" w:cs="宋体"/>
                <w:kern w:val="0"/>
                <w:sz w:val="27"/>
                <w:szCs w:val="27"/>
                <w:lang w:val="en-US" w:eastAsia="zh-CN" w:bidi="ar-SA"/>
              </w:rPr>
              <w:br/>
              <w:t xml:space="preserve">    6.4投标单位法定代表人或其委托代理人可以到本项目招标文件规定的开标地点，也可以登录广西壮族自治区网上开标子系统（不见面），在招标文件规定的时间内用CA数字证书进行解密。因投标人原因造成投标文件在规定时间内未解密的，视为投标人撤销其投标文件。 </w:t>
            </w:r>
            <w:r w:rsidRPr="0074281D">
              <w:rPr>
                <w:rFonts w:ascii="宋体" w:eastAsia="宋体" w:hAnsi="宋体" w:cs="宋体"/>
                <w:kern w:val="0"/>
                <w:sz w:val="27"/>
                <w:szCs w:val="27"/>
                <w:lang w:val="en-US" w:eastAsia="zh-CN" w:bidi="ar-SA"/>
              </w:rPr>
              <w:br/>
              <w:t>    其他：/</w:t>
            </w:r>
            <w:r w:rsidRPr="0074281D">
              <w:rPr>
                <w:rFonts w:ascii="宋体" w:eastAsia="宋体" w:hAnsi="宋体" w:cs="宋体"/>
                <w:kern w:val="0"/>
                <w:sz w:val="27"/>
                <w:szCs w:val="27"/>
                <w:lang w:val="en-US" w:eastAsia="zh-CN" w:bidi="ar-SA"/>
              </w:rPr>
              <w:br/>
              <w:t>    6.5如使用广西壮族自治区网上开标子系统，投标截止公布投标人名单后，由招标人或招标代理点击进入投标文件解密环节，解密时间为60分钟。在解密时间结束前投标人须通过广西壮族自治区网上开标子系统（http://117.141.152.153:9080/BidOpening/）使用个人CA数字证书签到，并使用加密投标文件的CA数字证书解密投标文件。</w:t>
            </w:r>
            <w:r w:rsidRPr="0074281D">
              <w:rPr>
                <w:rFonts w:ascii="宋体" w:eastAsia="宋体" w:hAnsi="宋体" w:cs="宋体"/>
                <w:kern w:val="0"/>
                <w:sz w:val="27"/>
                <w:szCs w:val="27"/>
                <w:lang w:val="en-US" w:eastAsia="zh-CN" w:bidi="ar-SA"/>
              </w:rPr>
              <w:br/>
              <w:t>    6.6广西壮族自治区网上开标子系统（不见面）登录方式：各投标人使用IE浏览器（IE11版本）打开登录页面（登录地址：http://117.141.152.153:9080/BidOpening/），使用CA锁或“桂交易移动CA”登录。如首次登录广西壮族自治区网上开标子系统，请根据登录页面的帮助手册设置浏览器及安装网上开标直播插件。使用“桂交易移动CA”投标的操作流程，详见</w:t>
            </w:r>
            <w:hyperlink r:id="rId6" w:tgtFrame="_blank" w:history="1">
              <w:r w:rsidRPr="0074281D">
                <w:rPr>
                  <w:rFonts w:ascii="宋体" w:eastAsia="宋体" w:hAnsi="宋体" w:cs="宋体"/>
                  <w:color w:val="0000EE"/>
                  <w:kern w:val="0"/>
                  <w:sz w:val="27"/>
                  <w:szCs w:val="27"/>
                  <w:u w:val="single"/>
                  <w:lang w:val="en-US" w:eastAsia="zh-CN" w:bidi="ar-SA"/>
                </w:rPr>
                <w:t>“桂交易移动CA”APP下载。</w:t>
              </w:r>
            </w:hyperlink>
            <w:r w:rsidRPr="0074281D">
              <w:rPr>
                <w:rFonts w:ascii="宋体" w:eastAsia="宋体" w:hAnsi="宋体" w:cs="宋体"/>
                <w:color w:val="0000EE"/>
                <w:kern w:val="0"/>
                <w:sz w:val="27"/>
                <w:szCs w:val="27"/>
                <w:u w:val="single"/>
                <w:lang w:val="en-US" w:eastAsia="zh-CN" w:bidi="ar-SA"/>
              </w:rPr>
              <w:br/>
            </w:r>
            <w:r w:rsidRPr="0074281D">
              <w:rPr>
                <w:rFonts w:ascii="宋体" w:eastAsia="宋体" w:hAnsi="宋体" w:cs="宋体"/>
                <w:kern w:val="0"/>
                <w:sz w:val="27"/>
                <w:szCs w:val="27"/>
                <w:lang w:val="en-US" w:eastAsia="zh-CN" w:bidi="ar-SA"/>
              </w:rPr>
              <w:t>    6.7以“桂交易移动CA”制作的投标文件，只能用生成投标文件时加密投标文件的“桂交易移动CA”证书解密，以CA锁制作的投标文件，只能用生成投标文件时加密投标文件CA证书解密。</w:t>
            </w:r>
            <w:r w:rsidRPr="0074281D">
              <w:rPr>
                <w:rFonts w:ascii="宋体" w:eastAsia="宋体" w:hAnsi="宋体" w:cs="宋体"/>
                <w:kern w:val="0"/>
                <w:sz w:val="27"/>
                <w:szCs w:val="27"/>
                <w:lang w:val="en-US" w:eastAsia="zh-CN" w:bidi="ar-SA"/>
              </w:rPr>
              <w:br/>
              <w:t xml:space="preserve">    6.8 到广西壮族自治区公共资源交易中心现场的人员，需按中心官方网站最新发布的疫情防控要求进场。 </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lastRenderedPageBreak/>
              <w:t>7.发布公告的媒介</w:t>
            </w:r>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Default="0074281D" w:rsidP="0074281D">
            <w:pPr>
              <w:widowControl/>
              <w:spacing w:after="270" w:line="490" w:lineRule="exact"/>
              <w:jc w:val="left"/>
              <w:rPr>
                <w:rFonts w:ascii="宋体" w:eastAsia="宋体" w:hAnsi="宋体" w:cs="宋体" w:hint="eastAsia"/>
                <w:color w:val="000000"/>
                <w:kern w:val="0"/>
                <w:sz w:val="27"/>
                <w:szCs w:val="27"/>
                <w:lang w:val="en-US" w:bidi="ar-SA"/>
              </w:rPr>
            </w:pPr>
            <w:bookmarkStart w:id="0" w:name="OLE_LINK25"/>
            <w:r w:rsidRPr="0074281D">
              <w:rPr>
                <w:rFonts w:ascii="宋体" w:eastAsia="宋体" w:hAnsi="宋体" w:cs="宋体"/>
                <w:kern w:val="0"/>
                <w:sz w:val="27"/>
                <w:szCs w:val="27"/>
                <w:lang w:val="en-US" w:eastAsia="zh-CN" w:bidi="ar-SA"/>
              </w:rPr>
              <w:t>本次招标公告同时在</w:t>
            </w:r>
            <w:r w:rsidRPr="0074281D">
              <w:rPr>
                <w:rFonts w:ascii="宋体" w:eastAsia="宋体" w:hAnsi="宋体" w:cs="宋体"/>
                <w:color w:val="000000"/>
                <w:kern w:val="0"/>
                <w:sz w:val="27"/>
                <w:szCs w:val="27"/>
                <w:lang w:val="en-US" w:eastAsia="zh-CN" w:bidi="ar-SA"/>
              </w:rPr>
              <w:t>本次招标公告同时在广西壮族自治区招标投标公共服务平台 http://zbtb.gxi.gov.cn:9000/、全国公共资源交易平台（广西·南宁）</w:t>
            </w:r>
            <w:hyperlink r:id="rId7" w:history="1">
              <w:r w:rsidRPr="0009521F">
                <w:rPr>
                  <w:rStyle w:val="a5"/>
                  <w:rFonts w:ascii="宋体" w:eastAsia="宋体" w:hAnsi="宋体" w:cs="宋体"/>
                  <w:kern w:val="0"/>
                  <w:sz w:val="27"/>
                  <w:szCs w:val="27"/>
                  <w:lang w:val="en-US" w:eastAsia="zh-CN" w:bidi="ar-SA"/>
                </w:rPr>
                <w:t>http://ggzy.jgswj.gxzf.gov.cn/nnggzy/</w:t>
              </w:r>
            </w:hyperlink>
            <w:r>
              <w:rPr>
                <w:rFonts w:ascii="宋体" w:eastAsia="宋体" w:hAnsi="宋体" w:cs="宋体" w:hint="eastAsia"/>
                <w:color w:val="000000"/>
                <w:kern w:val="0"/>
                <w:sz w:val="27"/>
                <w:szCs w:val="27"/>
                <w:lang w:val="en-US" w:bidi="ar-SA"/>
              </w:rPr>
              <w:t>、</w:t>
            </w:r>
            <w:r>
              <w:rPr>
                <w:rFonts w:hint="eastAsia"/>
                <w:sz w:val="27"/>
                <w:szCs w:val="27"/>
              </w:rPr>
              <w:t>广西壮族自治区政府采购网</w:t>
            </w:r>
            <w:r>
              <w:rPr>
                <w:rFonts w:hint="eastAsia"/>
                <w:sz w:val="27"/>
                <w:szCs w:val="27"/>
              </w:rPr>
              <w:t>(http://zfcg.gxzf.gov.cn/)</w:t>
            </w:r>
            <w:r w:rsidRPr="0074281D">
              <w:rPr>
                <w:rFonts w:ascii="宋体" w:eastAsia="宋体" w:hAnsi="宋体" w:cs="宋体"/>
                <w:color w:val="000000"/>
                <w:kern w:val="0"/>
                <w:sz w:val="27"/>
                <w:szCs w:val="27"/>
                <w:lang w:val="en-US" w:eastAsia="zh-CN" w:bidi="ar-SA"/>
              </w:rPr>
              <w:t>（公告发布媒介包含但不限于上述</w:t>
            </w:r>
          </w:p>
          <w:p w:rsidR="0074281D" w:rsidRPr="0074281D" w:rsidRDefault="0074281D" w:rsidP="0074281D">
            <w:pPr>
              <w:widowControl/>
              <w:spacing w:after="270" w:line="490" w:lineRule="exact"/>
              <w:jc w:val="left"/>
              <w:rPr>
                <w:rFonts w:ascii="宋体" w:eastAsia="宋体" w:hAnsi="宋体" w:cs="宋体" w:hint="eastAsia"/>
                <w:kern w:val="0"/>
                <w:sz w:val="27"/>
                <w:szCs w:val="27"/>
                <w:lang w:val="en-US" w:bidi="ar-SA"/>
              </w:rPr>
            </w:pPr>
            <w:r w:rsidRPr="0074281D">
              <w:rPr>
                <w:rFonts w:ascii="宋体" w:eastAsia="宋体" w:hAnsi="宋体" w:cs="宋体"/>
                <w:color w:val="000000"/>
                <w:kern w:val="0"/>
                <w:sz w:val="27"/>
                <w:szCs w:val="27"/>
                <w:lang w:val="en-US" w:eastAsia="zh-CN" w:bidi="ar-SA"/>
              </w:rPr>
              <w:lastRenderedPageBreak/>
              <w:t>媒介）发布。</w:t>
            </w:r>
            <w:bookmarkEnd w:id="0"/>
          </w:p>
        </w:tc>
      </w:tr>
      <w:tr w:rsidR="0074281D" w:rsidRPr="0074281D" w:rsidTr="0074281D">
        <w:trPr>
          <w:jc w:val="center"/>
        </w:trPr>
        <w:tc>
          <w:tcPr>
            <w:tcW w:w="0" w:type="auto"/>
            <w:gridSpan w:val="2"/>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7"/>
                <w:szCs w:val="27"/>
                <w:lang w:val="en-US" w:eastAsia="zh-CN" w:bidi="ar-SA"/>
              </w:rPr>
            </w:pPr>
            <w:r w:rsidRPr="0074281D">
              <w:rPr>
                <w:rFonts w:ascii="宋体" w:eastAsia="宋体" w:hAnsi="宋体" w:cs="宋体"/>
                <w:b/>
                <w:bCs/>
                <w:kern w:val="0"/>
                <w:sz w:val="27"/>
                <w:szCs w:val="27"/>
                <w:lang w:val="en-US" w:eastAsia="zh-CN" w:bidi="ar-SA"/>
              </w:rPr>
              <w:lastRenderedPageBreak/>
              <w:t>8.联系方式</w:t>
            </w:r>
          </w:p>
        </w:tc>
      </w:tr>
      <w:tr w:rsidR="0074281D" w:rsidRPr="0074281D" w:rsidTr="0074281D">
        <w:trPr>
          <w:jc w:val="center"/>
        </w:trPr>
        <w:tc>
          <w:tcPr>
            <w:tcW w:w="8401" w:type="dxa"/>
            <w:gridSpan w:val="2"/>
            <w:tcMar>
              <w:top w:w="15" w:type="dxa"/>
              <w:left w:w="15" w:type="dxa"/>
              <w:bottom w:w="15" w:type="dxa"/>
              <w:right w:w="15" w:type="dxa"/>
            </w:tcMar>
            <w:vAlign w:val="center"/>
          </w:tcPr>
          <w:tbl>
            <w:tblPr>
              <w:tblW w:w="5000" w:type="pct"/>
              <w:tblCellMar>
                <w:top w:w="15" w:type="dxa"/>
                <w:left w:w="15" w:type="dxa"/>
                <w:bottom w:w="15" w:type="dxa"/>
                <w:right w:w="15" w:type="dxa"/>
              </w:tblCellMar>
              <w:tblLook w:val="04A0"/>
            </w:tblPr>
            <w:tblGrid>
              <w:gridCol w:w="1451"/>
              <w:gridCol w:w="2410"/>
              <w:gridCol w:w="1417"/>
              <w:gridCol w:w="3093"/>
            </w:tblGrid>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招标人:</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隆安县交通运输局</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招标代理机构:</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广西润腾工程咨询有限公司</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地址:</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隆安县城厢镇榕华街3号</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地址:</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南宁市良庆区五象大道401号南宁航洋信和广场1号楼十五层1531号</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邮编:</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532700</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邮编:</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530000</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联系人:</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黄工</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联系人:</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韦娅娜</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电话:</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0771-6508311</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电话:</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0771-5855525</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传真:</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传真:</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电子邮箱:</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电子邮箱:</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网址:</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网址:</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开户银行:</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开户银行:</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账 号:</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账 号:</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交易服务单位:</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南宁市隆安县公共资源交易中心</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交易服务地址:</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南宁市隆安县城厢镇城南路与文化街交汇处隆安汽车客运服务站东侧</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交易服务电话:</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0771-6529586</w:t>
                  </w:r>
                </w:p>
              </w:tc>
              <w:tc>
                <w:tcPr>
                  <w:tcW w:w="1417" w:type="dxa"/>
                  <w:vAlign w:val="center"/>
                </w:tcPr>
                <w:p w:rsidR="0074281D" w:rsidRPr="0074281D" w:rsidRDefault="0074281D" w:rsidP="0074281D">
                  <w:pPr>
                    <w:spacing w:line="490" w:lineRule="exact"/>
                    <w:rPr>
                      <w:rFonts w:ascii="宋体" w:eastAsia="宋体" w:hAnsi="宋体" w:cs="宋体"/>
                      <w:kern w:val="0"/>
                      <w:sz w:val="29"/>
                      <w:szCs w:val="29"/>
                      <w:lang w:val="en-US" w:eastAsia="zh-CN" w:bidi="ar-SA"/>
                    </w:rPr>
                  </w:pPr>
                </w:p>
              </w:tc>
              <w:tc>
                <w:tcPr>
                  <w:tcW w:w="3093" w:type="dxa"/>
                  <w:vAlign w:val="center"/>
                </w:tcPr>
                <w:p w:rsidR="0074281D" w:rsidRPr="0074281D" w:rsidRDefault="0074281D" w:rsidP="0074281D">
                  <w:pPr>
                    <w:spacing w:line="490" w:lineRule="exact"/>
                    <w:rPr>
                      <w:rFonts w:ascii="宋体" w:eastAsia="宋体" w:hAnsi="宋体" w:cs="宋体"/>
                      <w:kern w:val="0"/>
                      <w:sz w:val="29"/>
                      <w:szCs w:val="29"/>
                      <w:lang w:val="en-US" w:eastAsia="zh-CN" w:bidi="ar-SA"/>
                    </w:rPr>
                  </w:pP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行政监督部门:</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隆安县交通运输局</w:t>
                  </w:r>
                </w:p>
              </w:tc>
              <w:tc>
                <w:tcPr>
                  <w:tcW w:w="1417"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行政监督地址:</w:t>
                  </w:r>
                </w:p>
              </w:tc>
              <w:tc>
                <w:tcPr>
                  <w:tcW w:w="3093"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隆安县城厢镇榕华街3号</w:t>
                  </w:r>
                </w:p>
              </w:tc>
            </w:tr>
            <w:tr w:rsidR="0074281D" w:rsidRPr="0074281D" w:rsidTr="0074281D">
              <w:tc>
                <w:tcPr>
                  <w:tcW w:w="1451"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行政监督电话:</w:t>
                  </w:r>
                </w:p>
              </w:tc>
              <w:tc>
                <w:tcPr>
                  <w:tcW w:w="2410" w:type="dxa"/>
                  <w:tcMar>
                    <w:top w:w="15" w:type="dxa"/>
                    <w:left w:w="15" w:type="dxa"/>
                    <w:bottom w:w="15" w:type="dxa"/>
                    <w:right w:w="15" w:type="dxa"/>
                  </w:tcMar>
                  <w:vAlign w:val="center"/>
                </w:tcPr>
                <w:p w:rsidR="0074281D" w:rsidRPr="0074281D" w:rsidRDefault="0074281D" w:rsidP="0074281D">
                  <w:pPr>
                    <w:widowControl/>
                    <w:spacing w:line="490" w:lineRule="exact"/>
                    <w:jc w:val="left"/>
                    <w:rPr>
                      <w:rFonts w:ascii="宋体" w:eastAsia="宋体" w:hAnsi="宋体" w:cs="宋体"/>
                      <w:kern w:val="0"/>
                      <w:sz w:val="29"/>
                      <w:szCs w:val="29"/>
                      <w:lang w:val="en-US" w:eastAsia="zh-CN" w:bidi="ar-SA"/>
                    </w:rPr>
                  </w:pPr>
                  <w:r w:rsidRPr="0074281D">
                    <w:rPr>
                      <w:rFonts w:ascii="宋体" w:eastAsia="宋体" w:hAnsi="宋体" w:cs="宋体"/>
                      <w:kern w:val="0"/>
                      <w:sz w:val="29"/>
                      <w:szCs w:val="29"/>
                      <w:lang w:val="en-US" w:eastAsia="zh-CN" w:bidi="ar-SA"/>
                    </w:rPr>
                    <w:t>0771-6522203</w:t>
                  </w:r>
                </w:p>
              </w:tc>
              <w:tc>
                <w:tcPr>
                  <w:tcW w:w="1417" w:type="dxa"/>
                  <w:vAlign w:val="center"/>
                </w:tcPr>
                <w:p w:rsidR="0074281D" w:rsidRPr="0074281D" w:rsidRDefault="0074281D" w:rsidP="0074281D">
                  <w:pPr>
                    <w:spacing w:line="490" w:lineRule="exact"/>
                    <w:rPr>
                      <w:rFonts w:ascii="宋体" w:eastAsia="宋体" w:hAnsi="宋体" w:cs="宋体"/>
                      <w:kern w:val="0"/>
                      <w:sz w:val="29"/>
                      <w:szCs w:val="29"/>
                      <w:lang w:val="en-US" w:eastAsia="zh-CN" w:bidi="ar-SA"/>
                    </w:rPr>
                  </w:pPr>
                </w:p>
              </w:tc>
              <w:tc>
                <w:tcPr>
                  <w:tcW w:w="3093" w:type="dxa"/>
                  <w:vAlign w:val="center"/>
                </w:tcPr>
                <w:p w:rsidR="0074281D" w:rsidRPr="0074281D" w:rsidRDefault="0074281D" w:rsidP="0074281D">
                  <w:pPr>
                    <w:spacing w:line="490" w:lineRule="exact"/>
                    <w:rPr>
                      <w:rFonts w:ascii="宋体" w:eastAsia="宋体" w:hAnsi="宋体" w:cs="宋体"/>
                      <w:kern w:val="0"/>
                      <w:sz w:val="29"/>
                      <w:szCs w:val="29"/>
                      <w:lang w:val="en-US" w:eastAsia="zh-CN" w:bidi="ar-SA"/>
                    </w:rPr>
                  </w:pPr>
                </w:p>
              </w:tc>
            </w:tr>
          </w:tbl>
          <w:p w:rsidR="0074281D" w:rsidRPr="0074281D" w:rsidRDefault="0074281D" w:rsidP="0074281D">
            <w:pPr>
              <w:spacing w:line="490" w:lineRule="exact"/>
              <w:rPr>
                <w:rFonts w:ascii="宋体" w:eastAsia="宋体" w:hAnsi="宋体" w:cs="宋体"/>
                <w:kern w:val="0"/>
                <w:sz w:val="27"/>
                <w:szCs w:val="27"/>
                <w:lang w:val="en-US" w:eastAsia="zh-CN" w:bidi="ar-SA"/>
              </w:rPr>
            </w:pPr>
          </w:p>
        </w:tc>
      </w:tr>
      <w:tr w:rsidR="0074281D" w:rsidRPr="0074281D" w:rsidTr="0074281D">
        <w:trPr>
          <w:gridAfter w:val="1"/>
          <w:wAfter w:w="12" w:type="dxa"/>
          <w:jc w:val="center"/>
        </w:trPr>
        <w:tc>
          <w:tcPr>
            <w:tcW w:w="8389" w:type="dxa"/>
            <w:tcMar>
              <w:top w:w="15" w:type="dxa"/>
              <w:left w:w="15" w:type="dxa"/>
              <w:bottom w:w="15" w:type="dxa"/>
              <w:right w:w="15" w:type="dxa"/>
            </w:tcMar>
            <w:vAlign w:val="center"/>
          </w:tcPr>
          <w:p w:rsidR="0074281D" w:rsidRPr="0074281D" w:rsidRDefault="0074281D" w:rsidP="0074281D">
            <w:pPr>
              <w:widowControl/>
              <w:spacing w:line="490" w:lineRule="exact"/>
              <w:jc w:val="right"/>
              <w:rPr>
                <w:rFonts w:ascii="宋体" w:eastAsia="宋体" w:hAnsi="宋体" w:cs="宋体"/>
                <w:kern w:val="0"/>
                <w:sz w:val="27"/>
                <w:szCs w:val="27"/>
                <w:lang w:val="en-US" w:eastAsia="zh-CN" w:bidi="ar-SA"/>
              </w:rPr>
            </w:pPr>
            <w:r w:rsidRPr="0074281D">
              <w:rPr>
                <w:rFonts w:ascii="宋体" w:eastAsia="宋体" w:hAnsi="宋体" w:cs="宋体"/>
                <w:kern w:val="0"/>
                <w:sz w:val="27"/>
                <w:szCs w:val="27"/>
                <w:lang w:val="en-US" w:eastAsia="zh-CN" w:bidi="ar-SA"/>
              </w:rPr>
              <w:t>  2025年10月21日</w:t>
            </w:r>
          </w:p>
        </w:tc>
      </w:tr>
    </w:tbl>
    <w:p w:rsidR="00023CF6" w:rsidRDefault="00023CF6" w:rsidP="0074281D">
      <w:pPr>
        <w:spacing w:line="490" w:lineRule="exact"/>
      </w:pPr>
    </w:p>
    <w:sectPr w:rsidR="00023C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CF6" w:rsidRDefault="00023CF6" w:rsidP="0074281D">
      <w:r>
        <w:separator/>
      </w:r>
    </w:p>
  </w:endnote>
  <w:endnote w:type="continuationSeparator" w:id="1">
    <w:p w:rsidR="00023CF6" w:rsidRDefault="00023CF6" w:rsidP="007428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CF6" w:rsidRDefault="00023CF6" w:rsidP="0074281D">
      <w:r>
        <w:separator/>
      </w:r>
    </w:p>
  </w:footnote>
  <w:footnote w:type="continuationSeparator" w:id="1">
    <w:p w:rsidR="00023CF6" w:rsidRDefault="00023CF6" w:rsidP="007428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81D"/>
    <w:rsid w:val="00023CF6"/>
    <w:rsid w:val="0074281D"/>
    <w:rsid w:val="00D85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281D"/>
    <w:rPr>
      <w:sz w:val="18"/>
      <w:szCs w:val="18"/>
    </w:rPr>
  </w:style>
  <w:style w:type="paragraph" w:styleId="a4">
    <w:name w:val="footer"/>
    <w:basedOn w:val="a"/>
    <w:link w:val="Char0"/>
    <w:uiPriority w:val="99"/>
    <w:semiHidden/>
    <w:unhideWhenUsed/>
    <w:rsid w:val="007428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281D"/>
    <w:rPr>
      <w:sz w:val="18"/>
      <w:szCs w:val="18"/>
    </w:rPr>
  </w:style>
  <w:style w:type="character" w:styleId="a5">
    <w:name w:val="Hyperlink"/>
    <w:basedOn w:val="a0"/>
    <w:uiPriority w:val="99"/>
    <w:unhideWhenUsed/>
    <w:rsid w:val="00742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gzy.jgswj.gxzf.gov.cn/nnggz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gzy.jgswj.gxzf.gov.cn/gxggzy/gywm/004021/004021001/20211123/185f3a63-1ec6-4c75-a0c9-4aeedfdacda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1511</Words>
  <Characters>2979</Characters>
  <Application>Microsoft Office Word</Application>
  <DocSecurity>0</DocSecurity>
  <Lines>102</Lines>
  <Paragraphs>49</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2025-10-21T07:45:00Z</dcterms:created>
  <dcterms:modified xsi:type="dcterms:W3CDTF">2025-10-21T07:55:00Z</dcterms:modified>
</cp:coreProperties>
</file>