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5B77">
      <w:pPr>
        <w:pStyle w:val="9"/>
        <w:snapToGrid w:val="0"/>
        <w:spacing w:before="120" w:after="120" w:line="360" w:lineRule="auto"/>
        <w:jc w:val="both"/>
        <w:outlineLvl w:val="0"/>
        <w:rPr>
          <w:rStyle w:val="13"/>
          <w:rFonts w:hint="default"/>
          <w:color w:val="auto"/>
          <w:highlight w:val="none"/>
          <w:lang w:val="en-US" w:eastAsia="zh-CN"/>
        </w:rPr>
      </w:pPr>
      <w:bookmarkStart w:id="0" w:name="_Toc10746"/>
      <w:r>
        <w:rPr>
          <w:rStyle w:val="13"/>
          <w:rFonts w:hint="eastAsia"/>
          <w:color w:val="auto"/>
          <w:highlight w:val="none"/>
          <w:lang w:val="en-US" w:eastAsia="zh-CN"/>
        </w:rPr>
        <w:t>更正内容：</w:t>
      </w:r>
    </w:p>
    <w:tbl>
      <w:tblPr>
        <w:tblStyle w:val="11"/>
        <w:tblW w:w="92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166"/>
        <w:gridCol w:w="3936"/>
        <w:gridCol w:w="3641"/>
      </w:tblGrid>
      <w:tr w14:paraId="4143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Align w:val="center"/>
          </w:tcPr>
          <w:p w14:paraId="194B44AC">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color w:val="auto"/>
                <w:kern w:val="0"/>
                <w:szCs w:val="21"/>
              </w:rPr>
            </w:pPr>
            <w:r>
              <w:rPr>
                <w:rFonts w:ascii="宋体" w:hAnsi="宋体" w:eastAsia="宋体" w:cs="宋体"/>
                <w:b/>
                <w:color w:val="auto"/>
                <w:kern w:val="0"/>
                <w:szCs w:val="21"/>
              </w:rPr>
              <w:t>序号</w:t>
            </w:r>
          </w:p>
        </w:tc>
        <w:tc>
          <w:tcPr>
            <w:tcW w:w="1166" w:type="dxa"/>
            <w:vAlign w:val="center"/>
          </w:tcPr>
          <w:p w14:paraId="6678BAA1">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color w:val="auto"/>
                <w:kern w:val="0"/>
                <w:szCs w:val="21"/>
              </w:rPr>
            </w:pPr>
            <w:r>
              <w:rPr>
                <w:rFonts w:ascii="宋体" w:hAnsi="宋体" w:eastAsia="宋体" w:cs="宋体"/>
                <w:b/>
                <w:color w:val="auto"/>
                <w:kern w:val="0"/>
                <w:szCs w:val="21"/>
              </w:rPr>
              <w:t>更正项</w:t>
            </w:r>
          </w:p>
        </w:tc>
        <w:tc>
          <w:tcPr>
            <w:tcW w:w="3936" w:type="dxa"/>
            <w:vAlign w:val="center"/>
          </w:tcPr>
          <w:p w14:paraId="22CFD2C7">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val="0"/>
                <w:bCs/>
                <w:color w:val="auto"/>
                <w:kern w:val="0"/>
                <w:szCs w:val="21"/>
              </w:rPr>
            </w:pPr>
            <w:r>
              <w:rPr>
                <w:rFonts w:ascii="宋体" w:hAnsi="宋体" w:eastAsia="宋体" w:cs="宋体"/>
                <w:b/>
                <w:bCs w:val="0"/>
                <w:color w:val="auto"/>
                <w:kern w:val="0"/>
                <w:szCs w:val="21"/>
              </w:rPr>
              <w:t>更正前内容</w:t>
            </w:r>
          </w:p>
        </w:tc>
        <w:tc>
          <w:tcPr>
            <w:tcW w:w="3641" w:type="dxa"/>
            <w:vAlign w:val="center"/>
          </w:tcPr>
          <w:p w14:paraId="03CEEC49">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color w:val="auto"/>
                <w:kern w:val="0"/>
                <w:szCs w:val="21"/>
              </w:rPr>
            </w:pPr>
            <w:r>
              <w:rPr>
                <w:rFonts w:ascii="宋体" w:hAnsi="宋体" w:eastAsia="宋体" w:cs="宋体"/>
                <w:b/>
                <w:color w:val="auto"/>
                <w:kern w:val="0"/>
                <w:szCs w:val="21"/>
              </w:rPr>
              <w:t>更正后内容</w:t>
            </w:r>
          </w:p>
        </w:tc>
      </w:tr>
      <w:tr w14:paraId="020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4" w:hRule="atLeast"/>
        </w:trPr>
        <w:tc>
          <w:tcPr>
            <w:tcW w:w="495" w:type="dxa"/>
            <w:vAlign w:val="center"/>
          </w:tcPr>
          <w:p w14:paraId="309C2702">
            <w:pPr>
              <w:keepNext w:val="0"/>
              <w:keepLines w:val="0"/>
              <w:pageBreakBefore w:val="0"/>
              <w:widowControl/>
              <w:shd w:val="clear"/>
              <w:kinsoku/>
              <w:wordWrap/>
              <w:overflowPunct/>
              <w:topLinePunct w:val="0"/>
              <w:autoSpaceDE/>
              <w:autoSpaceDN/>
              <w:bidi w:val="0"/>
              <w:spacing w:line="300" w:lineRule="exact"/>
              <w:jc w:val="center"/>
              <w:textAlignment w:val="auto"/>
              <w:rPr>
                <w:rFonts w:hint="eastAsia" w:ascii="宋体" w:hAnsi="宋体" w:eastAsia="宋体" w:cs="宋体"/>
                <w:b w:val="0"/>
                <w:bCs/>
                <w:color w:val="auto"/>
                <w:kern w:val="0"/>
                <w:szCs w:val="21"/>
                <w:lang w:val="en-US" w:eastAsia="zh-CN"/>
              </w:rPr>
            </w:pPr>
            <w:r>
              <w:rPr>
                <w:rFonts w:hint="eastAsia" w:ascii="宋体" w:hAnsi="宋体" w:eastAsia="宋体" w:cs="宋体"/>
                <w:b w:val="0"/>
                <w:bCs/>
                <w:color w:val="auto"/>
                <w:kern w:val="0"/>
                <w:szCs w:val="21"/>
                <w:lang w:val="en-US" w:eastAsia="zh-CN"/>
              </w:rPr>
              <w:t>1</w:t>
            </w:r>
          </w:p>
        </w:tc>
        <w:tc>
          <w:tcPr>
            <w:tcW w:w="1166" w:type="dxa"/>
            <w:vAlign w:val="center"/>
          </w:tcPr>
          <w:p w14:paraId="5D6EE0AA">
            <w:pPr>
              <w:keepNext w:val="0"/>
              <w:keepLines w:val="0"/>
              <w:pageBreakBefore w:val="0"/>
              <w:widowControl/>
              <w:shd w:val="clear"/>
              <w:kinsoku/>
              <w:wordWrap/>
              <w:overflowPunct/>
              <w:topLinePunct w:val="0"/>
              <w:autoSpaceDE/>
              <w:autoSpaceDN/>
              <w:bidi w:val="0"/>
              <w:spacing w:line="300" w:lineRule="exact"/>
              <w:jc w:val="center"/>
              <w:textAlignment w:val="auto"/>
              <w:rPr>
                <w:rFonts w:hint="eastAsia" w:ascii="宋体" w:hAnsi="宋体" w:cs="宋体" w:eastAsiaTheme="minorEastAsia"/>
                <w:color w:val="auto"/>
                <w:lang w:val="en-US" w:eastAsia="zh-CN"/>
              </w:rPr>
            </w:pPr>
            <w:bookmarkStart w:id="1" w:name="_Toc18631"/>
            <w:r>
              <w:rPr>
                <w:rFonts w:hint="eastAsia" w:ascii="宋体" w:hAnsi="宋体" w:cs="宋体"/>
                <w:color w:val="auto"/>
              </w:rPr>
              <w:t>第</w:t>
            </w:r>
            <w:r>
              <w:rPr>
                <w:rFonts w:hint="eastAsia" w:ascii="宋体" w:hAnsi="宋体" w:cs="宋体"/>
                <w:color w:val="auto"/>
                <w:lang w:val="en-US" w:eastAsia="zh-CN"/>
              </w:rPr>
              <w:t>三</w:t>
            </w:r>
            <w:r>
              <w:rPr>
                <w:rFonts w:hint="eastAsia" w:ascii="宋体" w:hAnsi="宋体" w:cs="宋体"/>
                <w:color w:val="auto"/>
              </w:rPr>
              <w:t>章  采购需求</w:t>
            </w:r>
            <w:bookmarkEnd w:id="1"/>
            <w:r>
              <w:rPr>
                <w:rFonts w:hint="eastAsia" w:ascii="宋体" w:hAnsi="宋体" w:cs="宋体"/>
                <w:color w:val="auto"/>
                <w:lang w:val="en-US" w:eastAsia="zh-CN"/>
              </w:rPr>
              <w:t>-</w:t>
            </w:r>
          </w:p>
          <w:p w14:paraId="0BBA5DD1">
            <w:pPr>
              <w:keepNext w:val="0"/>
              <w:keepLines w:val="0"/>
              <w:pageBreakBefore w:val="0"/>
              <w:widowControl/>
              <w:shd w:val="clear"/>
              <w:kinsoku/>
              <w:wordWrap/>
              <w:overflowPunct/>
              <w:topLinePunct w:val="0"/>
              <w:autoSpaceDE/>
              <w:autoSpaceDN/>
              <w:bidi w:val="0"/>
              <w:spacing w:line="300" w:lineRule="exact"/>
              <w:jc w:val="center"/>
              <w:textAlignment w:val="auto"/>
              <w:rPr>
                <w:rFonts w:hint="default" w:ascii="宋体" w:hAnsi="宋体" w:cs="宋体" w:eastAsiaTheme="minorEastAsia"/>
                <w:color w:val="auto"/>
                <w:lang w:val="en-US" w:eastAsia="zh-CN"/>
              </w:rPr>
            </w:pPr>
            <w:r>
              <w:rPr>
                <w:rFonts w:hint="eastAsia" w:ascii="宋体" w:hAnsi="宋体" w:cs="宋体"/>
                <w:color w:val="auto"/>
                <w:lang w:val="en-US" w:eastAsia="zh-CN"/>
              </w:rPr>
              <w:t>分标1- 序号1- VR虚拟互动内容制作中的第二项内容</w:t>
            </w:r>
          </w:p>
        </w:tc>
        <w:tc>
          <w:tcPr>
            <w:tcW w:w="3936" w:type="dxa"/>
          </w:tcPr>
          <w:p w14:paraId="59E95EA4">
            <w:pPr>
              <w:numPr>
                <w:ilvl w:val="0"/>
                <w:numId w:val="0"/>
              </w:numPr>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VR虚拟互动资源：风雨桥榫卯结构</w:t>
            </w:r>
          </w:p>
          <w:p w14:paraId="5FA7DCB6">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一、总体要求  </w:t>
            </w:r>
          </w:p>
          <w:p w14:paraId="21711E55">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（一）系统需基于虚拟引擎开发，确保与采购方现有虚拟实训室硬件及软件环境兼容，包括但不限于VR头显、手柄、定位基站等设备。  </w:t>
            </w:r>
          </w:p>
          <w:p w14:paraId="6F25B0D4">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（二）系统需内置3个标准化虚拟实训模块，具体为：茉莉花精油萃取模块 、坭兴陶制作流程模块、风雨桥榫卯结构。  </w:t>
            </w:r>
          </w:p>
          <w:p w14:paraId="2129CBA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（三）所有交互操作需支持采购方现有VR手柄实现，包括抓取、组装、拆卸、工具使用等沉浸式互动功能。  </w:t>
            </w:r>
          </w:p>
          <w:p w14:paraId="2CF7DA8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p>
          <w:p w14:paraId="3F95DC30">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二、模型制作规范  </w:t>
            </w:r>
          </w:p>
          <w:p w14:paraId="15043F85">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（一）计量单位：模型制作统一以“米”（m）为单位，采用外表面几何结构建模，复杂细节可酌情使用贴图替代高精度几何体。  </w:t>
            </w:r>
          </w:p>
          <w:p w14:paraId="1BE36DB2">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（二）轴心点：所有模型轴心点需统一设置在基底几何中心。  </w:t>
            </w:r>
          </w:p>
          <w:p w14:paraId="15B9AB6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（三）面间距：同一法线方向的两个面间距不得小于2cm。  </w:t>
            </w:r>
          </w:p>
          <w:p w14:paraId="7EDB2FC4">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（四）几何精度：  </w:t>
            </w:r>
          </w:p>
          <w:p w14:paraId="29E36CDB">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1.弧线结构最大分段数≤8边；  </w:t>
            </w:r>
          </w:p>
          <w:p w14:paraId="56F52B8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2.柱形结构最大分段数≤16边；  </w:t>
            </w:r>
          </w:p>
          <w:p w14:paraId="525CB56A">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3.球形结构最大分段数≤24边。  </w:t>
            </w:r>
          </w:p>
          <w:p w14:paraId="70EF2F5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（五）顶点处理：同一坐标位置的顶点需焊接，避免模型破面或闪烁。  </w:t>
            </w:r>
          </w:p>
          <w:p w14:paraId="0C96A6C1">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p>
          <w:p w14:paraId="65ABD76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三、模块功能要求  </w:t>
            </w:r>
          </w:p>
          <w:p w14:paraId="31D76E2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（一）系统概述</w:t>
            </w:r>
          </w:p>
          <w:p w14:paraId="0572EAE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本系统基于先进的虚拟引擎开发，支持VR全沉浸式交互。系统涵盖风雨桥文化认知、榫卯制作原理学习、全流程虚拟实操三大模块，支持单人训练与多角色协作。</w:t>
            </w:r>
          </w:p>
          <w:p w14:paraId="6B80973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（二）核心功能模块</w:t>
            </w:r>
          </w:p>
          <w:p w14:paraId="0690B425">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1.风雨桥榫卯结构</w:t>
            </w:r>
          </w:p>
          <w:p w14:paraId="51B14FA9">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（1）理论知识:以视频、图片、文字形式展示,使用VR头盔进行交互观看,可进行快速跳转进度,功能选择关闭等操作.</w:t>
            </w:r>
          </w:p>
          <w:p w14:paraId="0B867718">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①风雨桥认知模块:以视频、图片、文字形式展示,使用VR头盔进行交互观看,可进行快速跳转进度,功能选择关闭等操作.</w:t>
            </w:r>
          </w:p>
          <w:p w14:paraId="64BB4B7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②历史与价值展示 </w:t>
            </w:r>
          </w:p>
          <w:p w14:paraId="7AC88387">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动态视频展示：风雨桥起源于中国南方，尤其在贵州、广西、云南等地的少数民族地区广泛存在。最早的风雨桥可以追溯到明清时期，它结合了桥梁与凉亭的功能，形成了一种独特的建筑类型。</w:t>
            </w:r>
          </w:p>
          <w:p w14:paraId="7DECE0AE">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③风雨桥设计工艺:</w:t>
            </w:r>
          </w:p>
          <w:p w14:paraId="5B58FCFE">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榫卯结构</w:t>
            </w:r>
          </w:p>
          <w:p w14:paraId="4E2C97AE">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木柱与梁架</w:t>
            </w:r>
          </w:p>
          <w:p w14:paraId="08261152">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屋顶设计与构建</w:t>
            </w:r>
          </w:p>
          <w:p w14:paraId="374523BB">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雕刻与装饰</w:t>
            </w:r>
          </w:p>
          <w:p w14:paraId="29BCD00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（2）理论知识随堂测验：学习结束后以随堂测验，题型包括单选、多选、判断，每项题数不少于100题，题目进行考核并给出测验分数选择题</w:t>
            </w:r>
          </w:p>
          <w:p w14:paraId="374044AE">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（3）虚拟实训模块</w:t>
            </w:r>
          </w:p>
          <w:p w14:paraId="60FF75E1">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①选材</w:t>
            </w:r>
          </w:p>
          <w:p w14:paraId="09DE6F62">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实现方式:以VR手柄射线点击抓取方式展示下各类材料,以文字解说的方式介绍各类材料的特点,风雨桥所使用的材料.</w:t>
            </w:r>
          </w:p>
          <w:p w14:paraId="5A444538">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风雨桥的材料选择是确保其结构稳固、耐久且具有美观的重要环节。常见的主要材料有：</w:t>
            </w:r>
          </w:p>
          <w:p w14:paraId="01F353C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木材：主要用于桥面、桥栏、桥梁的结构框架，尤其是榫卯结构和雕刻部分。选材上通常使用当地的硬木，如松木、杉木或楠木等，这些木材质地坚固，抗腐蚀性强，适合长期使用。</w:t>
            </w:r>
          </w:p>
          <w:p w14:paraId="3F7720C2">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石材：用于桥墩和基础部分，选用质地坚硬、抗压能力强的石材，确保桥梁的稳固性。</w:t>
            </w:r>
          </w:p>
          <w:p w14:paraId="2C31E43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瓦片或青砖：用于屋顶和桥面装饰，风雨桥的屋顶通常采用重檐式屋顶，瓦片在保证屋顶稳固的同时，也起到防水的作用。</w:t>
            </w:r>
          </w:p>
          <w:p w14:paraId="187EEDB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铁件：在一些较大、结构复杂的风雨桥中，为了增强整体的抗风性和耐久性，可能会使用一些铁件作为辅助结构。</w:t>
            </w:r>
          </w:p>
          <w:p w14:paraId="7E18A40A">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②榫卯结构</w:t>
            </w:r>
          </w:p>
          <w:p w14:paraId="28198DE6">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实现方式:以VR手柄射线点击抓取方式展示风雨桥使用的榫卯结构,以视频或交互拼装的方式进行讲解.</w:t>
            </w:r>
          </w:p>
          <w:p w14:paraId="390CFF51">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雨桥的最具特色的工艺是榫卯结构，它是中国古代建筑的一项重要技术。榫卯结构不使用钉子和铁件，而是通过木材之间精巧的拼接和连接形成稳固的框架。通过榫头和卯眼的互相配合，使得木材之间相互咬合，从而提高了结构的稳固性和抗震性。</w:t>
            </w:r>
          </w:p>
          <w:p w14:paraId="6B24A200">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工艺特点：榫卯的连接非常精细，使用VR手柄的方式通过传统的手工工具，如凿子、锯子等进行雕刻。</w:t>
            </w:r>
          </w:p>
          <w:p w14:paraId="1C7C4D6B">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结构形式：VR 手柄点击放大桥梁的立柱、横梁、屋顶的檩条等部件，采用互相嵌合、互相支撑的榫卯连接方式，不仅能增强稳定性，还使得桥梁具有极高的美学价值。</w:t>
            </w:r>
          </w:p>
          <w:p w14:paraId="456830F7">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③施工工艺</w:t>
            </w:r>
          </w:p>
          <w:p w14:paraId="7D1038B4">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实现方式:以VR手柄射线点击抓取方式播放动画或交互</w:t>
            </w:r>
          </w:p>
          <w:p w14:paraId="3978BA60">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搭建桥墩：首先在桥的两端构建坚固的石墩或木桩，这些基础部分为整个桥梁提供支撑。</w:t>
            </w:r>
          </w:p>
          <w:p w14:paraId="1EB5B93D">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立柱与横梁的搭建：根据榫卯结构的要求，安装立柱、横梁、支撑杆等部件，连接形成桥的框架。</w:t>
            </w:r>
          </w:p>
          <w:p w14:paraId="38F5D91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桥面铺设：在完成主框架后，桥面通常由木板或石板铺设，这一过程中要考虑到桥面的平整度和稳定性。</w:t>
            </w:r>
          </w:p>
          <w:p w14:paraId="3D9709E5">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屋顶安装：屋顶的重檐式结构需要精确对接，瓦片和木结构的配合需要根据具体的气候和地形特点来调整，以保证防水和防风效果。</w:t>
            </w:r>
          </w:p>
          <w:p w14:paraId="3A3BD561">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④实时反馈：通过触觉反馈（控制器震动）或视觉提示（如警告信息、颜色变化）提醒学员注意操作步骤的正确性与安全性。</w:t>
            </w:r>
          </w:p>
          <w:p w14:paraId="59CD5669">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⑤性能评估：根据学员的操作完成度与正确性评估其操作技巧，例如温度、溶剂比、萃取时间等是否符合设定参数。</w:t>
            </w:r>
          </w:p>
          <w:p w14:paraId="0DEABD6D">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4B590AFF">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⑦考试：设置操作考试，学员需要在限定时间内完成实验并达到规定的操作标准，通过后获得相应的评估结果。</w:t>
            </w:r>
          </w:p>
          <w:p w14:paraId="4D0F0D4E">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p>
          <w:p w14:paraId="3B635FD4">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四、交互与系统要求  </w:t>
            </w:r>
          </w:p>
          <w:p w14:paraId="70F8454C">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（一）操作引导：所有模块需具备步骤指引功能，错误操作时实时提示并阻断流程，直至用户修正。  </w:t>
            </w:r>
          </w:p>
          <w:p w14:paraId="7F8DC5FC">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（二）性能要求：  </w:t>
            </w:r>
          </w:p>
          <w:p w14:paraId="5833EDBC">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1.单场景面数不超过50万，帧率≥90 FPS，延迟≤20ms。  </w:t>
            </w:r>
          </w:p>
          <w:p w14:paraId="2FE45777">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2.支持HTC Vive、Oculus Rift等主流VR设备，适配SteamVR/OpenXR协议。  </w:t>
            </w:r>
          </w:p>
          <w:p w14:paraId="6D86C00A">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3.扩展性：系统需预留接口，支持后续新增模块无缝接入。  </w:t>
            </w:r>
          </w:p>
          <w:p w14:paraId="682172AC">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p>
          <w:p w14:paraId="78151893">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五、交付与验收  </w:t>
            </w:r>
          </w:p>
          <w:p w14:paraId="76DC68E0">
            <w:pPr>
              <w:keepNext w:val="0"/>
              <w:keepLines w:val="0"/>
              <w:pageBreakBefore w:val="0"/>
              <w:widowControl/>
              <w:shd w:val="clear"/>
              <w:kinsoku/>
              <w:wordWrap/>
              <w:overflowPunct/>
              <w:topLinePunct w:val="0"/>
              <w:autoSpaceDE/>
              <w:autoSpaceDN/>
              <w:bidi w:val="0"/>
              <w:spacing w:line="300" w:lineRule="exact"/>
              <w:ind w:firstLine="420" w:firstLineChars="200"/>
              <w:jc w:val="both"/>
              <w:textAlignment w:val="auto"/>
              <w:rPr>
                <w:rFonts w:hint="eastAsia" w:ascii="宋体" w:hAnsi="宋体" w:eastAsia="宋体" w:cs="宋体"/>
                <w:b w:val="0"/>
                <w:bCs/>
                <w:color w:val="auto"/>
                <w:kern w:val="0"/>
                <w:sz w:val="21"/>
                <w:szCs w:val="21"/>
              </w:rPr>
            </w:pPr>
            <w:r>
              <w:rPr>
                <w:rFonts w:hint="eastAsia" w:ascii="宋体" w:hAnsi="宋体" w:eastAsia="宋体" w:cs="宋体"/>
                <w:color w:val="auto"/>
                <w:sz w:val="21"/>
                <w:szCs w:val="21"/>
                <w:highlight w:val="none"/>
                <w:lang w:val="en-US" w:eastAsia="zh-CN"/>
              </w:rPr>
              <w:t xml:space="preserve">交付内容需包含系统安装包、模型源文件、操作手册及API文档。 </w:t>
            </w:r>
          </w:p>
        </w:tc>
        <w:tc>
          <w:tcPr>
            <w:tcW w:w="3641" w:type="dxa"/>
            <w:shd w:val="clear" w:color="auto" w:fill="FFFFFF"/>
            <w:vAlign w:val="center"/>
          </w:tcPr>
          <w:p w14:paraId="6197EB51">
            <w:pPr>
              <w:numPr>
                <w:ilvl w:val="0"/>
                <w:numId w:val="0"/>
              </w:numPr>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VR虚拟互动资源：茉莉花精油萃取</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一、总体要求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（一）系统需基于虚拟引擎开发，确保与采购方现有虚拟实训室硬件及软件环境兼容，包括但不限于VR头显、手柄、定位基站等设备。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（二）系统需内置3个标准化虚拟实训模块，具体为：茉莉花精油萃取模块 、坭兴陶制作流程模块、风雨桥榫卯结构。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（三）所有交互操作需支持采购方现有VR手柄实现，包括抓取、组装、拆卸、工具使用等沉浸式互动功能。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 二、模型制作规范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（一）计量单位：模型制作统一以“米”（m）为单位，采用外表面几何结构建模，复杂细节可酌情使用贴图替代高精度几何体。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（二）轴心点：所有模型轴心点需统一设置在基底几何中心。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（三）面间距：同一法线方向的两个面间距不得小于2cm。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（四）几何精度：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 1.弧线结构最大分段数≤8边；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 2.柱形结构最大分段数≤16边；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 3.球形结构最大分段数≤24边。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（五）顶点处理：同一坐标位置的顶点需焊接，避免模型破面或闪烁。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三、模块功能要求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（一）系统概述</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本系统基于先进的虚拟引擎开发，支持VR全沉浸式交互。系统涵盖茉莉花文化认知、萃取原理学习、全流程虚拟实操三大模块，支持单人训练与多角色协作。</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（二）核心功能模块</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1.茉莉花精油萃取模块</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（1）茉莉花理论知识</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茉莉花文化认知模块:以视频、图片、文字形式展示,使用VR头盔进行交互观看,可进行快速跳转进度,功能选择关闭等操作。</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（2）历史与价值展示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动态视频：展示茉莉花从汉代传入中国到现代应用的历程（如药用、茶饮、香精产业）。</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（3）文化符号解析：</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广西横县茉莉花产业地位（全球60%茉莉花产量）</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茉莉花在壮族文化中的象征意义（纯洁、吉祥）。</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（4）品种与特性</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单瓣茉莉（香气浓郁）</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双瓣茉莉（产量高，主流工业品种）</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多瓣茉莉（观赏为主）。</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挥发性成分含量（如芳樟醇、乙酸苄酯）。</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萃取原理（挥发性/非挥发性成分差异）</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溶剂选择（石油醚vs乙醇极性对比）。</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点击查看茉莉花细胞结构（油腺分布示意图）。</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（5）理论知识测试</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随堂测验：学习结束后以随堂测验，题型包括单选、多选、判断，每项题数不少于100题，题目进行考核并给出测验分数</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（6）虚拟实训操作模块:以视频、图片、动画以其中一种形式展示或交互,在交互期间可展示图片、题目、vr手柄点击、拖拽、拿取等方式进行交互。处理流程包括：</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①预处理阶段，原料选择：剔除劣变花瓣；原料形态：花瓣、花苞；原料质量要求：无污染、无霉变、无异味</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②萃取溶剂。溶剂类型：常用溶剂包括乙醇、正己烷、乙醚等，具体选择依据萃取物的性质；溶剂浓度：通常使用不同浓度的乙醇（如50%、70%等），以确保能够溶解更多的有效成分；溶剂比：例如花瓣与溶剂的比例，通常为1:3至1:5。</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③萃取方法</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溶剂萃取：通过液-固萃取，将茉莉花与溶剂混合，在特定温度下萃取花香成分。</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蒸汽蒸馏法：茉莉花用蒸汽进行蒸馏，主要用于提取精油成分。</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超临界CO₂萃取：采用超临界二氧化碳作为萃取溶剂，适用于高效萃取精油和芳香物质。</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超声波辅助萃取：通过超声波的振动帮助提高萃取效率，减少萃取时间。</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④萃取条件</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温度：通常在30°C至60°C之间，以保证有效成分不被高温破坏。</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萃取时间：通常为1至3小时，根据萃取方法和萃取物的类型有所调整。</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压力：如果使用超临界CO₂萃取，则需设定在超临界状态下的压力，通常在100-300bar之间。</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⑤分离与纯化</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分离方式：通过冷却、过滤、蒸发等方式去除溶剂，提取目标物质。</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纯化方法：可以使用柱层析、薄层色谱等技术进一步纯化提取物。</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⑥产品检测</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香气分析：通过气相色谱-质谱联用（GC-MS）等技术分析茉莉花中的芳香物质。</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化学成分分析：可以使用HPLC、GC等技术分析其中的主要成分，如芳香醇、酯类化合物等。</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⑦收率</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萃取率：通常取决于原料的质量和萃取工艺，一般约为0.5%-2%（以干花瓣为基准）。</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⑧实时反馈：通过触觉反馈（控制器震动）或视觉提示（如警告信息、颜色变化）提醒学员注意操作步骤的正确性与安全性。</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⑨性能评估：根据学员的操作完成度与正确性评估其操作技巧，例如温度、溶剂比、萃取时间等是否符合设定参数。</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⑩学习模式：指导模式：系统提供虚拟导师或指导员，在每个操作步骤中给出指导和建议，帮助学员完成实验；自由探索模式：学员可以根据自己的兴趣自由探索不同的萃取条件与操作步骤，并通过实验结果进行对比和总结。</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⑪考试：设置操作考试，学员需要在限定时间内完成实验并达到规定的操作标准，通过后获得相应的评估结果。</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四、交互与系统要求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（一）操作引导：所有模块需具备步骤指引功能，错误操作时实时提示并阻断流程，直至用户修正。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（二）性能要求：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1.单场景面数不超过50万，帧率≥90 FPS，延迟≤20ms。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 xml:space="preserve">2.支持HTC Vive、Oculus Rift等主流VR设备，适配SteamVR/OpenXR协议。  </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3.扩展性：系统需预留接口，支持后续新增模块无缝接入。</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五、交付与验收  </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 xml:space="preserve">交付内容需包含系统安装包、模型源文件、操作手册及API文档。 </w:t>
            </w:r>
            <w:r>
              <w:rPr>
                <w:rFonts w:hint="eastAsia" w:ascii="宋体" w:hAnsi="宋体" w:eastAsia="宋体" w:cs="宋体"/>
                <w:b/>
                <w:bCs/>
                <w:color w:val="auto"/>
                <w:sz w:val="21"/>
                <w:szCs w:val="21"/>
                <w:highlight w:val="none"/>
                <w:lang w:val="en-US" w:eastAsia="zh-CN"/>
              </w:rPr>
              <w:t xml:space="preserve"> </w:t>
            </w:r>
          </w:p>
        </w:tc>
      </w:tr>
      <w:tr w14:paraId="4B2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95" w:type="dxa"/>
            <w:vAlign w:val="center"/>
          </w:tcPr>
          <w:p w14:paraId="09DAA200">
            <w:pPr>
              <w:keepNext w:val="0"/>
              <w:keepLines w:val="0"/>
              <w:pageBreakBefore w:val="0"/>
              <w:widowControl/>
              <w:shd w:val="clear"/>
              <w:kinsoku/>
              <w:wordWrap/>
              <w:overflowPunct/>
              <w:topLinePunct w:val="0"/>
              <w:autoSpaceDE/>
              <w:autoSpaceDN/>
              <w:bidi w:val="0"/>
              <w:spacing w:line="300" w:lineRule="exact"/>
              <w:jc w:val="center"/>
              <w:textAlignment w:val="auto"/>
              <w:rPr>
                <w:rFonts w:hint="eastAsia" w:ascii="宋体" w:hAnsi="宋体" w:eastAsia="宋体" w:cs="宋体"/>
                <w:b w:val="0"/>
                <w:bCs/>
                <w:color w:val="auto"/>
                <w:kern w:val="0"/>
                <w:szCs w:val="21"/>
                <w:lang w:val="en-US" w:eastAsia="zh-CN"/>
              </w:rPr>
            </w:pPr>
            <w:r>
              <w:rPr>
                <w:rFonts w:hint="eastAsia" w:ascii="宋体" w:hAnsi="宋体" w:eastAsia="宋体" w:cs="宋体"/>
                <w:b w:val="0"/>
                <w:bCs/>
                <w:color w:val="auto"/>
                <w:kern w:val="0"/>
                <w:szCs w:val="21"/>
                <w:lang w:val="en-US" w:eastAsia="zh-CN"/>
              </w:rPr>
              <w:t>2</w:t>
            </w:r>
          </w:p>
        </w:tc>
        <w:tc>
          <w:tcPr>
            <w:tcW w:w="1166" w:type="dxa"/>
            <w:vAlign w:val="center"/>
          </w:tcPr>
          <w:p w14:paraId="0C790861">
            <w:pPr>
              <w:keepNext w:val="0"/>
              <w:keepLines w:val="0"/>
              <w:pageBreakBefore w:val="0"/>
              <w:widowControl/>
              <w:shd w:val="clear"/>
              <w:kinsoku/>
              <w:wordWrap/>
              <w:overflowPunct/>
              <w:topLinePunct w:val="0"/>
              <w:autoSpaceDE/>
              <w:autoSpaceDN/>
              <w:bidi w:val="0"/>
              <w:spacing w:line="300" w:lineRule="exact"/>
              <w:jc w:val="center"/>
              <w:textAlignment w:val="auto"/>
              <w:rPr>
                <w:rFonts w:hint="eastAsia" w:ascii="宋体" w:hAnsi="宋体" w:cs="宋体" w:eastAsiaTheme="minorEastAsia"/>
                <w:color w:val="auto"/>
                <w:lang w:val="en-US" w:eastAsia="zh-CN"/>
              </w:rPr>
            </w:pPr>
            <w:r>
              <w:rPr>
                <w:rFonts w:hint="eastAsia" w:ascii="宋体" w:hAnsi="宋体" w:cs="宋体"/>
                <w:color w:val="auto"/>
              </w:rPr>
              <w:t>第</w:t>
            </w:r>
            <w:r>
              <w:rPr>
                <w:rFonts w:hint="eastAsia" w:ascii="宋体" w:hAnsi="宋体" w:cs="宋体"/>
                <w:color w:val="auto"/>
                <w:lang w:val="en-US" w:eastAsia="zh-CN"/>
              </w:rPr>
              <w:t>三</w:t>
            </w:r>
            <w:r>
              <w:rPr>
                <w:rFonts w:hint="eastAsia" w:ascii="宋体" w:hAnsi="宋体" w:cs="宋体"/>
                <w:color w:val="auto"/>
              </w:rPr>
              <w:t>章</w:t>
            </w:r>
            <w:r>
              <w:rPr>
                <w:rFonts w:hint="eastAsia" w:ascii="宋体" w:hAnsi="宋体" w:cs="宋体"/>
                <w:color w:val="auto"/>
                <w:lang w:val="en-US" w:eastAsia="zh-CN"/>
              </w:rPr>
              <w:t>-</w:t>
            </w:r>
            <w:r>
              <w:rPr>
                <w:rFonts w:hint="eastAsia" w:ascii="宋体" w:hAnsi="宋体" w:cs="宋体"/>
                <w:color w:val="auto"/>
              </w:rPr>
              <w:t xml:space="preserve">  采购需求</w:t>
            </w:r>
            <w:r>
              <w:rPr>
                <w:rFonts w:hint="eastAsia" w:ascii="宋体" w:hAnsi="宋体" w:cs="宋体"/>
                <w:color w:val="auto"/>
                <w:lang w:val="en-US" w:eastAsia="zh-CN"/>
              </w:rPr>
              <w:t>-</w:t>
            </w:r>
          </w:p>
          <w:p w14:paraId="19A87142">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color w:val="auto"/>
                <w:kern w:val="0"/>
                <w:szCs w:val="21"/>
              </w:rPr>
            </w:pPr>
            <w:r>
              <w:rPr>
                <w:rFonts w:hint="eastAsia" w:ascii="宋体" w:hAnsi="宋体" w:cs="宋体"/>
                <w:color w:val="auto"/>
                <w:lang w:val="en-US" w:eastAsia="zh-CN"/>
              </w:rPr>
              <w:t>分标2-序</w:t>
            </w:r>
            <w:bookmarkStart w:id="2" w:name="_GoBack"/>
            <w:bookmarkEnd w:id="2"/>
            <w:r>
              <w:rPr>
                <w:rFonts w:hint="eastAsia" w:ascii="宋体" w:hAnsi="宋体" w:cs="宋体"/>
                <w:color w:val="auto"/>
                <w:lang w:val="en-US" w:eastAsia="zh-CN"/>
              </w:rPr>
              <w:t>号</w:t>
            </w:r>
          </w:p>
        </w:tc>
        <w:tc>
          <w:tcPr>
            <w:tcW w:w="3936" w:type="dxa"/>
          </w:tcPr>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9"/>
              <w:gridCol w:w="1970"/>
            </w:tblGrid>
            <w:tr w14:paraId="36F6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1189" w:type="dxa"/>
                  <w:vMerge w:val="restart"/>
                  <w:vAlign w:val="center"/>
                </w:tcPr>
                <w:p w14:paraId="2A2121FA">
                  <w:pPr>
                    <w:tabs>
                      <w:tab w:val="left" w:pos="180"/>
                      <w:tab w:val="left" w:pos="1620"/>
                    </w:tabs>
                    <w:spacing w:line="400" w:lineRule="exact"/>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1970" w:type="dxa"/>
                  <w:vMerge w:val="restart"/>
                  <w:vAlign w:val="center"/>
                </w:tcPr>
                <w:p w14:paraId="594B52E6">
                  <w:pPr>
                    <w:tabs>
                      <w:tab w:val="left" w:pos="180"/>
                      <w:tab w:val="left" w:pos="1620"/>
                    </w:tabs>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服务</w:t>
                  </w:r>
                </w:p>
                <w:p w14:paraId="4E8BB532">
                  <w:pPr>
                    <w:widowControl/>
                    <w:snapToGrid w:val="0"/>
                    <w:spacing w:line="400" w:lineRule="exact"/>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rPr>
                    <w:t>名称</w:t>
                  </w:r>
                </w:p>
              </w:tc>
            </w:tr>
            <w:tr w14:paraId="0BC3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89" w:type="dxa"/>
                  <w:vMerge w:val="continue"/>
                  <w:vAlign w:val="center"/>
                </w:tcPr>
                <w:p w14:paraId="033868AD">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1970" w:type="dxa"/>
                  <w:vMerge w:val="continue"/>
                  <w:vAlign w:val="center"/>
                </w:tcPr>
                <w:p w14:paraId="1C08955D">
                  <w:pPr>
                    <w:widowControl/>
                    <w:snapToGrid w:val="0"/>
                    <w:spacing w:line="400" w:lineRule="exact"/>
                    <w:jc w:val="center"/>
                    <w:rPr>
                      <w:rFonts w:hint="eastAsia" w:ascii="宋体" w:hAnsi="宋体" w:cs="宋体"/>
                      <w:color w:val="auto"/>
                      <w:sz w:val="24"/>
                      <w:szCs w:val="24"/>
                      <w:highlight w:val="none"/>
                      <w:lang w:val="en-US" w:eastAsia="zh-CN"/>
                    </w:rPr>
                  </w:pPr>
                </w:p>
              </w:tc>
            </w:tr>
            <w:tr w14:paraId="64E4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89" w:type="dxa"/>
                  <w:vMerge w:val="continue"/>
                  <w:vAlign w:val="center"/>
                </w:tcPr>
                <w:p w14:paraId="0C3602A3">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1970" w:type="dxa"/>
                  <w:vMerge w:val="continue"/>
                  <w:vAlign w:val="center"/>
                </w:tcPr>
                <w:p w14:paraId="6B5E5B1B">
                  <w:pPr>
                    <w:widowControl/>
                    <w:snapToGrid w:val="0"/>
                    <w:spacing w:line="400" w:lineRule="exact"/>
                    <w:jc w:val="center"/>
                    <w:rPr>
                      <w:rFonts w:hint="eastAsia" w:ascii="宋体" w:hAnsi="宋体" w:cs="宋体"/>
                      <w:color w:val="auto"/>
                      <w:sz w:val="24"/>
                      <w:szCs w:val="24"/>
                      <w:highlight w:val="none"/>
                      <w:lang w:val="en-US" w:eastAsia="zh-CN"/>
                    </w:rPr>
                  </w:pPr>
                </w:p>
              </w:tc>
            </w:tr>
            <w:tr w14:paraId="29FF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189" w:type="dxa"/>
                  <w:vAlign w:val="center"/>
                </w:tcPr>
                <w:p w14:paraId="4F553AFB">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970" w:type="dxa"/>
                  <w:vAlign w:val="center"/>
                </w:tcPr>
                <w:p w14:paraId="685C1DA6">
                  <w:pPr>
                    <w:widowControl/>
                    <w:snapToGri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虚拟仿真综合管理实训和展示平台</w:t>
                  </w:r>
                </w:p>
              </w:tc>
            </w:tr>
            <w:tr w14:paraId="058B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189" w:type="dxa"/>
                  <w:vAlign w:val="center"/>
                </w:tcPr>
                <w:p w14:paraId="057BB73D">
                  <w:pPr>
                    <w:tabs>
                      <w:tab w:val="left" w:pos="180"/>
                      <w:tab w:val="left" w:pos="1620"/>
                    </w:tabs>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70" w:type="dxa"/>
                  <w:vAlign w:val="center"/>
                </w:tcPr>
                <w:p w14:paraId="402CCC4E">
                  <w:pPr>
                    <w:widowControl/>
                    <w:snapToGri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虚拟仿真资源库</w:t>
                  </w:r>
                </w:p>
              </w:tc>
            </w:tr>
          </w:tbl>
          <w:p w14:paraId="599C0A00">
            <w:pPr>
              <w:keepNext w:val="0"/>
              <w:keepLines w:val="0"/>
              <w:pageBreakBefore w:val="0"/>
              <w:widowControl/>
              <w:shd w:val="clear"/>
              <w:kinsoku/>
              <w:wordWrap/>
              <w:overflowPunct/>
              <w:topLinePunct w:val="0"/>
              <w:autoSpaceDE/>
              <w:autoSpaceDN/>
              <w:bidi w:val="0"/>
              <w:spacing w:line="300" w:lineRule="exact"/>
              <w:jc w:val="left"/>
              <w:textAlignment w:val="auto"/>
              <w:rPr>
                <w:rFonts w:ascii="宋体" w:hAnsi="宋体" w:eastAsia="宋体" w:cs="宋体"/>
                <w:b/>
                <w:color w:val="auto"/>
                <w:kern w:val="0"/>
                <w:szCs w:val="21"/>
              </w:rPr>
            </w:pPr>
          </w:p>
        </w:tc>
        <w:tc>
          <w:tcPr>
            <w:tcW w:w="3641" w:type="dxa"/>
          </w:tcPr>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6"/>
              <w:gridCol w:w="1933"/>
            </w:tblGrid>
            <w:tr w14:paraId="0D337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66" w:type="dxa"/>
                  <w:vMerge w:val="restart"/>
                  <w:vAlign w:val="center"/>
                </w:tcPr>
                <w:p w14:paraId="609D4C35">
                  <w:pPr>
                    <w:tabs>
                      <w:tab w:val="left" w:pos="180"/>
                      <w:tab w:val="left" w:pos="1620"/>
                    </w:tabs>
                    <w:spacing w:line="400" w:lineRule="exact"/>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1933" w:type="dxa"/>
                  <w:vMerge w:val="restart"/>
                  <w:vAlign w:val="center"/>
                </w:tcPr>
                <w:p w14:paraId="2CD22953">
                  <w:pPr>
                    <w:tabs>
                      <w:tab w:val="left" w:pos="180"/>
                      <w:tab w:val="left" w:pos="1620"/>
                    </w:tabs>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服务</w:t>
                  </w:r>
                </w:p>
                <w:p w14:paraId="17D60D82">
                  <w:pPr>
                    <w:widowControl/>
                    <w:snapToGrid w:val="0"/>
                    <w:spacing w:line="400" w:lineRule="exact"/>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rPr>
                    <w:t>名称</w:t>
                  </w:r>
                </w:p>
              </w:tc>
            </w:tr>
            <w:tr w14:paraId="07F9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66" w:type="dxa"/>
                  <w:vMerge w:val="continue"/>
                  <w:vAlign w:val="center"/>
                </w:tcPr>
                <w:p w14:paraId="4529F7D7">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1933" w:type="dxa"/>
                  <w:vMerge w:val="continue"/>
                  <w:vAlign w:val="center"/>
                </w:tcPr>
                <w:p w14:paraId="4E073BBF">
                  <w:pPr>
                    <w:widowControl/>
                    <w:snapToGrid w:val="0"/>
                    <w:spacing w:line="400" w:lineRule="exact"/>
                    <w:jc w:val="center"/>
                    <w:rPr>
                      <w:rFonts w:hint="eastAsia" w:ascii="宋体" w:hAnsi="宋体" w:cs="宋体"/>
                      <w:color w:val="auto"/>
                      <w:sz w:val="24"/>
                      <w:szCs w:val="24"/>
                      <w:highlight w:val="none"/>
                      <w:lang w:val="en-US" w:eastAsia="zh-CN"/>
                    </w:rPr>
                  </w:pPr>
                </w:p>
              </w:tc>
            </w:tr>
            <w:tr w14:paraId="1BC4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66" w:type="dxa"/>
                  <w:vMerge w:val="continue"/>
                  <w:vAlign w:val="center"/>
                </w:tcPr>
                <w:p w14:paraId="6414AC5D">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1933" w:type="dxa"/>
                  <w:vMerge w:val="continue"/>
                  <w:vAlign w:val="center"/>
                </w:tcPr>
                <w:p w14:paraId="1168C7F2">
                  <w:pPr>
                    <w:widowControl/>
                    <w:snapToGrid w:val="0"/>
                    <w:spacing w:line="400" w:lineRule="exact"/>
                    <w:jc w:val="center"/>
                    <w:rPr>
                      <w:rFonts w:hint="eastAsia" w:ascii="宋体" w:hAnsi="宋体" w:cs="宋体"/>
                      <w:color w:val="auto"/>
                      <w:sz w:val="24"/>
                      <w:szCs w:val="24"/>
                      <w:highlight w:val="none"/>
                      <w:lang w:val="en-US" w:eastAsia="zh-CN"/>
                    </w:rPr>
                  </w:pPr>
                </w:p>
              </w:tc>
            </w:tr>
            <w:tr w14:paraId="0D23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166" w:type="dxa"/>
                  <w:vAlign w:val="center"/>
                </w:tcPr>
                <w:p w14:paraId="0806042F">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933" w:type="dxa"/>
                  <w:vAlign w:val="center"/>
                </w:tcPr>
                <w:p w14:paraId="764EE283">
                  <w:pPr>
                    <w:widowControl/>
                    <w:snapToGri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虚拟仿真综合管理实训和展示平台</w:t>
                  </w:r>
                </w:p>
              </w:tc>
            </w:tr>
            <w:tr w14:paraId="6F77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166" w:type="dxa"/>
                  <w:vAlign w:val="center"/>
                </w:tcPr>
                <w:p w14:paraId="0CD03417">
                  <w:pPr>
                    <w:tabs>
                      <w:tab w:val="left" w:pos="180"/>
                      <w:tab w:val="left" w:pos="1620"/>
                    </w:tabs>
                    <w:spacing w:line="400" w:lineRule="exact"/>
                    <w:jc w:val="center"/>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w:t>
                  </w:r>
                </w:p>
              </w:tc>
              <w:tc>
                <w:tcPr>
                  <w:tcW w:w="1933" w:type="dxa"/>
                  <w:vAlign w:val="center"/>
                </w:tcPr>
                <w:p w14:paraId="116DFF81">
                  <w:pPr>
                    <w:widowControl/>
                    <w:snapToGri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虚拟仿真资源库</w:t>
                  </w:r>
                </w:p>
              </w:tc>
            </w:tr>
          </w:tbl>
          <w:p w14:paraId="68D24D96">
            <w:pPr>
              <w:keepNext w:val="0"/>
              <w:keepLines w:val="0"/>
              <w:pageBreakBefore w:val="0"/>
              <w:widowControl/>
              <w:shd w:val="clear"/>
              <w:kinsoku/>
              <w:wordWrap/>
              <w:overflowPunct/>
              <w:topLinePunct w:val="0"/>
              <w:autoSpaceDE/>
              <w:autoSpaceDN/>
              <w:bidi w:val="0"/>
              <w:spacing w:line="300" w:lineRule="exact"/>
              <w:jc w:val="center"/>
              <w:textAlignment w:val="auto"/>
              <w:rPr>
                <w:rFonts w:ascii="宋体" w:hAnsi="宋体" w:eastAsia="宋体" w:cs="宋体"/>
                <w:b/>
                <w:color w:val="auto"/>
                <w:kern w:val="0"/>
                <w:szCs w:val="21"/>
              </w:rPr>
            </w:pPr>
          </w:p>
        </w:tc>
      </w:tr>
    </w:tbl>
    <w:p w14:paraId="49119D6E">
      <w:pPr>
        <w:pStyle w:val="9"/>
        <w:snapToGrid w:val="0"/>
        <w:spacing w:before="120" w:after="120" w:line="360" w:lineRule="auto"/>
        <w:jc w:val="both"/>
        <w:outlineLvl w:val="0"/>
        <w:rPr>
          <w:rStyle w:val="13"/>
          <w:rFonts w:hint="default"/>
          <w:color w:val="auto"/>
          <w:highlight w:val="none"/>
          <w:lang w:val="en-US" w:eastAsia="zh-CN"/>
        </w:rPr>
        <w:sectPr>
          <w:pgSz w:w="11906" w:h="16838"/>
          <w:pgMar w:top="1440" w:right="1800" w:bottom="1440" w:left="1800" w:header="851" w:footer="992" w:gutter="0"/>
          <w:cols w:space="425" w:num="1"/>
          <w:docGrid w:type="lines" w:linePitch="312" w:charSpace="0"/>
        </w:sectPr>
      </w:pPr>
    </w:p>
    <w:p w14:paraId="3CCCC9E1">
      <w:pPr>
        <w:pStyle w:val="9"/>
        <w:snapToGrid w:val="0"/>
        <w:spacing w:before="120" w:after="120" w:line="360" w:lineRule="auto"/>
        <w:jc w:val="both"/>
        <w:outlineLvl w:val="0"/>
        <w:rPr>
          <w:rStyle w:val="13"/>
          <w:rFonts w:hint="eastAsia" w:eastAsia="宋体"/>
          <w:color w:val="auto"/>
          <w:highlight w:val="none"/>
          <w:lang w:val="en-US" w:eastAsia="zh-CN"/>
        </w:rPr>
      </w:pPr>
      <w:r>
        <w:rPr>
          <w:rStyle w:val="13"/>
          <w:rFonts w:hint="eastAsia"/>
          <w:color w:val="auto"/>
          <w:highlight w:val="none"/>
          <w:lang w:val="en-US" w:eastAsia="zh-CN"/>
        </w:rPr>
        <w:t>更正后</w:t>
      </w:r>
      <w:r>
        <w:rPr>
          <w:rStyle w:val="13"/>
          <w:rFonts w:hint="eastAsia"/>
          <w:color w:val="auto"/>
          <w:highlight w:val="none"/>
        </w:rPr>
        <w:t>第三章 采购需求</w:t>
      </w:r>
      <w:r>
        <w:rPr>
          <w:rStyle w:val="13"/>
          <w:rFonts w:hint="eastAsia"/>
          <w:color w:val="auto"/>
          <w:highlight w:val="none"/>
          <w:lang w:eastAsia="zh-CN"/>
        </w:rPr>
        <w:t>：</w:t>
      </w:r>
    </w:p>
    <w:p w14:paraId="48F4A9B1">
      <w:pPr>
        <w:pStyle w:val="9"/>
        <w:snapToGrid w:val="0"/>
        <w:spacing w:before="120" w:after="120" w:line="360" w:lineRule="auto"/>
        <w:jc w:val="center"/>
        <w:outlineLvl w:val="0"/>
        <w:rPr>
          <w:rFonts w:hAnsi="宋体" w:cs="宋体"/>
          <w:b/>
          <w:bCs/>
          <w:color w:val="auto"/>
          <w:sz w:val="44"/>
          <w:szCs w:val="44"/>
          <w:highlight w:val="none"/>
        </w:rPr>
      </w:pPr>
      <w:r>
        <w:rPr>
          <w:rStyle w:val="13"/>
          <w:rFonts w:hint="eastAsia"/>
          <w:color w:val="auto"/>
          <w:highlight w:val="none"/>
        </w:rPr>
        <w:t>第三章 采购需求</w:t>
      </w:r>
      <w:bookmarkEnd w:id="0"/>
    </w:p>
    <w:p w14:paraId="403DB72A">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6AA5E5EE">
      <w:pPr>
        <w:spacing w:line="360" w:lineRule="auto"/>
        <w:ind w:firstLine="480" w:firstLineChars="200"/>
        <w:jc w:val="left"/>
        <w:outlineLvl w:val="1"/>
        <w:rPr>
          <w:rFonts w:ascii="宋体" w:hAnsi="宋体" w:cs="宋体"/>
          <w:color w:val="auto"/>
          <w:sz w:val="24"/>
          <w:szCs w:val="24"/>
          <w:highlight w:val="none"/>
        </w:rPr>
      </w:pPr>
      <w:r>
        <w:rPr>
          <w:rFonts w:hint="eastAsia" w:ascii="宋体" w:hAnsi="宋体" w:cs="宋体"/>
          <w:color w:val="auto"/>
          <w:sz w:val="24"/>
          <w:szCs w:val="24"/>
          <w:highlight w:val="none"/>
        </w:rPr>
        <w:t>1.为落实政府采购政策需满足的要求:</w:t>
      </w:r>
    </w:p>
    <w:p w14:paraId="6A5189A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本竞争性磋商采购文件所称中小企业必须符合《政府采购促进中小企业发展管理办法》（财库〔2020〕46号）的规定。</w:t>
      </w:r>
    </w:p>
    <w:p w14:paraId="31F794DE">
      <w:pPr>
        <w:spacing w:line="360" w:lineRule="auto"/>
        <w:ind w:firstLine="484" w:firstLineChars="202"/>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4F84094E">
      <w:pPr>
        <w:spacing w:line="360" w:lineRule="auto"/>
        <w:ind w:firstLine="484" w:firstLineChars="202"/>
        <w:jc w:val="left"/>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.供应商必须自行为其参加竞争性磋商的产品侵犯他人的知识产权或者专利成果的行为承担相应法律责任。</w:t>
      </w:r>
    </w:p>
    <w:p w14:paraId="723B437C">
      <w:pPr>
        <w:spacing w:line="360" w:lineRule="auto"/>
        <w:ind w:left="-10" w:leftChars="-5" w:right="2" w:rightChars="1" w:firstLine="480" w:firstLineChars="200"/>
        <w:rPr>
          <w:color w:val="auto"/>
          <w:sz w:val="24"/>
          <w:szCs w:val="24"/>
          <w:highlight w:val="none"/>
        </w:rPr>
      </w:pPr>
      <w:r>
        <w:rPr>
          <w:bCs/>
          <w:color w:val="auto"/>
          <w:sz w:val="24"/>
          <w:szCs w:val="24"/>
          <w:highlight w:val="none"/>
        </w:rPr>
        <w:t>4</w:t>
      </w:r>
      <w:r>
        <w:rPr>
          <w:rFonts w:hint="eastAsia"/>
          <w:bCs/>
          <w:color w:val="auto"/>
          <w:sz w:val="24"/>
          <w:szCs w:val="24"/>
          <w:highlight w:val="none"/>
        </w:rPr>
        <w:t>．“</w:t>
      </w:r>
      <w:r>
        <w:rPr>
          <w:bCs/>
          <w:color w:val="auto"/>
          <w:sz w:val="24"/>
          <w:szCs w:val="24"/>
          <w:highlight w:val="none"/>
        </w:rPr>
        <w:t>实质性要求</w:t>
      </w:r>
      <w:r>
        <w:rPr>
          <w:rFonts w:hint="eastAsia"/>
          <w:bCs/>
          <w:color w:val="auto"/>
          <w:sz w:val="24"/>
          <w:szCs w:val="24"/>
          <w:highlight w:val="none"/>
        </w:rPr>
        <w:t>”</w:t>
      </w:r>
      <w:r>
        <w:rPr>
          <w:bCs/>
          <w:color w:val="auto"/>
          <w:sz w:val="24"/>
          <w:szCs w:val="24"/>
          <w:highlight w:val="none"/>
        </w:rPr>
        <w:t>是指</w:t>
      </w:r>
      <w:r>
        <w:rPr>
          <w:rFonts w:hint="eastAsia"/>
          <w:bCs/>
          <w:color w:val="auto"/>
          <w:sz w:val="24"/>
          <w:szCs w:val="24"/>
          <w:highlight w:val="none"/>
        </w:rPr>
        <w:t>采购文件</w:t>
      </w:r>
      <w:r>
        <w:rPr>
          <w:bCs/>
          <w:color w:val="auto"/>
          <w:sz w:val="24"/>
          <w:szCs w:val="24"/>
          <w:highlight w:val="none"/>
        </w:rPr>
        <w:t>中已经指明不满足则</w:t>
      </w:r>
      <w:r>
        <w:rPr>
          <w:rFonts w:hint="eastAsia" w:ascii="宋体" w:hAnsi="宋体" w:cs="宋体"/>
          <w:color w:val="auto"/>
          <w:sz w:val="24"/>
          <w:szCs w:val="24"/>
          <w:highlight w:val="none"/>
        </w:rPr>
        <w:t>竞争性磋商</w:t>
      </w:r>
      <w:r>
        <w:rPr>
          <w:bCs/>
          <w:color w:val="auto"/>
          <w:sz w:val="24"/>
          <w:szCs w:val="24"/>
          <w:highlight w:val="none"/>
        </w:rPr>
        <w:t>无效的条款，或者不能负偏离的条款，或者采购需求中带</w:t>
      </w:r>
      <w:r>
        <w:rPr>
          <w:rFonts w:hint="eastAsia"/>
          <w:bCs/>
          <w:color w:val="auto"/>
          <w:sz w:val="24"/>
          <w:szCs w:val="24"/>
          <w:highlight w:val="none"/>
        </w:rPr>
        <w:t>“▲”</w:t>
      </w:r>
      <w:r>
        <w:rPr>
          <w:bCs/>
          <w:color w:val="auto"/>
          <w:sz w:val="24"/>
          <w:szCs w:val="24"/>
          <w:highlight w:val="none"/>
        </w:rPr>
        <w:t>的条款</w:t>
      </w:r>
      <w:r>
        <w:rPr>
          <w:rFonts w:hint="eastAsia"/>
          <w:color w:val="auto"/>
          <w:sz w:val="24"/>
          <w:szCs w:val="24"/>
          <w:highlight w:val="none"/>
          <w:lang w:eastAsia="zh-CN"/>
        </w:rPr>
        <w:t>，</w:t>
      </w:r>
      <w:r>
        <w:rPr>
          <w:rFonts w:hint="eastAsia"/>
          <w:b/>
          <w:bCs w:val="0"/>
          <w:color w:val="auto"/>
          <w:sz w:val="24"/>
          <w:szCs w:val="24"/>
          <w:highlight w:val="none"/>
          <w:lang w:val="en-US" w:eastAsia="zh-CN"/>
        </w:rPr>
        <w:t>服务要求中▲条款需提供对应截图证明，否则视为负偏离无效应标</w:t>
      </w:r>
      <w:r>
        <w:rPr>
          <w:bCs/>
          <w:color w:val="auto"/>
          <w:sz w:val="24"/>
          <w:szCs w:val="24"/>
          <w:highlight w:val="none"/>
        </w:rPr>
        <w:t>。</w:t>
      </w:r>
      <w:r>
        <w:rPr>
          <w:rFonts w:hint="eastAsia"/>
          <w:bCs/>
          <w:color w:val="auto"/>
          <w:sz w:val="24"/>
          <w:szCs w:val="24"/>
          <w:highlight w:val="none"/>
        </w:rPr>
        <w:t>未标注“</w:t>
      </w:r>
      <w:r>
        <w:rPr>
          <w:rFonts w:hint="eastAsia" w:ascii="Segoe UI Symbol" w:hAnsi="Segoe UI Symbol" w:cs="Segoe UI Symbol"/>
          <w:bCs/>
          <w:color w:val="auto"/>
          <w:sz w:val="24"/>
          <w:szCs w:val="24"/>
          <w:highlight w:val="none"/>
        </w:rPr>
        <w:t>▲</w:t>
      </w:r>
      <w:r>
        <w:rPr>
          <w:rFonts w:hint="eastAsia"/>
          <w:bCs/>
          <w:color w:val="auto"/>
          <w:sz w:val="24"/>
          <w:szCs w:val="24"/>
          <w:highlight w:val="none"/>
        </w:rPr>
        <w:t>”号的非实质性条款要求可允许</w:t>
      </w:r>
      <w:r>
        <w:rPr>
          <w:rFonts w:hint="eastAsia"/>
          <w:bCs/>
          <w:color w:val="auto"/>
          <w:sz w:val="24"/>
          <w:szCs w:val="24"/>
          <w:highlight w:val="none"/>
          <w:u w:val="single"/>
          <w:lang w:val="en-US" w:eastAsia="zh-CN"/>
        </w:rPr>
        <w:t>0</w:t>
      </w:r>
      <w:r>
        <w:rPr>
          <w:rFonts w:hint="eastAsia"/>
          <w:bCs/>
          <w:color w:val="auto"/>
          <w:sz w:val="24"/>
          <w:szCs w:val="24"/>
          <w:highlight w:val="none"/>
        </w:rPr>
        <w:t>项负偏离，</w:t>
      </w:r>
      <w:r>
        <w:rPr>
          <w:rFonts w:hint="eastAsia"/>
          <w:bCs/>
          <w:color w:val="auto"/>
          <w:sz w:val="24"/>
          <w:szCs w:val="24"/>
          <w:highlight w:val="none"/>
          <w:u w:val="single"/>
          <w:lang w:val="en-US" w:eastAsia="zh-CN"/>
        </w:rPr>
        <w:t>1</w:t>
      </w:r>
      <w:r>
        <w:rPr>
          <w:rFonts w:hint="eastAsia"/>
          <w:bCs/>
          <w:color w:val="auto"/>
          <w:sz w:val="24"/>
          <w:szCs w:val="24"/>
          <w:highlight w:val="none"/>
        </w:rPr>
        <w:t>项以上（含</w:t>
      </w:r>
      <w:r>
        <w:rPr>
          <w:rFonts w:hint="eastAsia"/>
          <w:bCs/>
          <w:color w:val="auto"/>
          <w:sz w:val="24"/>
          <w:szCs w:val="24"/>
          <w:highlight w:val="none"/>
          <w:lang w:val="en-US" w:eastAsia="zh-CN"/>
        </w:rPr>
        <w:t>1</w:t>
      </w:r>
      <w:r>
        <w:rPr>
          <w:rFonts w:hint="eastAsia"/>
          <w:bCs/>
          <w:color w:val="auto"/>
          <w:sz w:val="24"/>
          <w:szCs w:val="24"/>
          <w:highlight w:val="none"/>
        </w:rPr>
        <w:t>项）负偏离的</w:t>
      </w:r>
      <w:r>
        <w:rPr>
          <w:rFonts w:hint="eastAsia" w:ascii="宋体" w:hAnsi="宋体" w:cs="宋体"/>
          <w:color w:val="auto"/>
          <w:sz w:val="24"/>
          <w:szCs w:val="24"/>
          <w:highlight w:val="none"/>
        </w:rPr>
        <w:t>竞争性磋商</w:t>
      </w:r>
      <w:r>
        <w:rPr>
          <w:rFonts w:hint="eastAsia"/>
          <w:bCs/>
          <w:color w:val="auto"/>
          <w:sz w:val="24"/>
          <w:szCs w:val="24"/>
          <w:highlight w:val="none"/>
        </w:rPr>
        <w:t>无效。</w:t>
      </w:r>
    </w:p>
    <w:p w14:paraId="650E0AA8">
      <w:pPr>
        <w:spacing w:line="360" w:lineRule="auto"/>
        <w:ind w:left="-10" w:leftChars="-5" w:right="2" w:rightChars="1" w:firstLine="480" w:firstLineChars="200"/>
        <w:rPr>
          <w:bCs/>
          <w:color w:val="auto"/>
          <w:sz w:val="24"/>
          <w:szCs w:val="24"/>
          <w:highlight w:val="none"/>
        </w:rPr>
      </w:pPr>
      <w:r>
        <w:rPr>
          <w:bCs/>
          <w:color w:val="auto"/>
          <w:sz w:val="24"/>
          <w:szCs w:val="24"/>
          <w:highlight w:val="none"/>
        </w:rPr>
        <w:t>采购预算：详见采购公告</w:t>
      </w:r>
    </w:p>
    <w:p w14:paraId="305758E6">
      <w:pPr>
        <w:spacing w:line="360" w:lineRule="auto"/>
        <w:ind w:left="-10" w:leftChars="-5" w:right="2" w:rightChars="1" w:firstLine="480" w:firstLineChars="200"/>
        <w:outlineLvl w:val="0"/>
        <w:rPr>
          <w:rFonts w:hint="eastAsia" w:ascii="宋体" w:hAnsi="宋体" w:cs="宋体"/>
          <w:color w:val="auto"/>
          <w:sz w:val="24"/>
          <w:highlight w:val="none"/>
          <w:u w:val="single"/>
        </w:rPr>
      </w:pPr>
      <w:r>
        <w:rPr>
          <w:rFonts w:hint="eastAsia" w:ascii="宋体" w:hAnsi="宋体" w:cs="宋体"/>
          <w:color w:val="auto"/>
          <w:sz w:val="24"/>
          <w:szCs w:val="24"/>
          <w:highlight w:val="none"/>
        </w:rPr>
        <w:t>所属行业：</w:t>
      </w:r>
      <w:r>
        <w:rPr>
          <w:rFonts w:hint="eastAsia" w:ascii="宋体" w:hAnsi="宋体" w:cs="宋体"/>
          <w:color w:val="auto"/>
          <w:sz w:val="24"/>
          <w:szCs w:val="24"/>
          <w:highlight w:val="none"/>
          <w:u w:val="single"/>
        </w:rPr>
        <w:t>其他未列明行业</w:t>
      </w:r>
    </w:p>
    <w:p w14:paraId="686E1B68">
      <w:pPr>
        <w:spacing w:line="360" w:lineRule="auto"/>
        <w:ind w:right="2" w:rightChars="1"/>
        <w:outlineLvl w:val="0"/>
        <w:rPr>
          <w:rFonts w:hint="default" w:ascii="宋体" w:hAnsi="宋体" w:eastAsia="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1分标：</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925"/>
        <w:gridCol w:w="598"/>
        <w:gridCol w:w="152"/>
        <w:gridCol w:w="4988"/>
        <w:gridCol w:w="962"/>
        <w:gridCol w:w="983"/>
      </w:tblGrid>
      <w:tr w14:paraId="560C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4C3343C3">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25" w:type="dxa"/>
            <w:vAlign w:val="center"/>
          </w:tcPr>
          <w:p w14:paraId="443FE831">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34FB961C">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50" w:type="dxa"/>
            <w:gridSpan w:val="2"/>
            <w:vAlign w:val="center"/>
          </w:tcPr>
          <w:p w14:paraId="770FC1E7">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4988" w:type="dxa"/>
            <w:vAlign w:val="center"/>
          </w:tcPr>
          <w:p w14:paraId="2856FEBF">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服务要求</w:t>
            </w:r>
          </w:p>
        </w:tc>
        <w:tc>
          <w:tcPr>
            <w:tcW w:w="962" w:type="dxa"/>
            <w:vAlign w:val="center"/>
          </w:tcPr>
          <w:p w14:paraId="3092C001">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预算单价（万元/人民币）</w:t>
            </w:r>
          </w:p>
        </w:tc>
        <w:tc>
          <w:tcPr>
            <w:tcW w:w="983" w:type="dxa"/>
          </w:tcPr>
          <w:p w14:paraId="35198F04">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单项预算合计（万元/人民币）</w:t>
            </w:r>
          </w:p>
        </w:tc>
      </w:tr>
      <w:tr w14:paraId="4ECA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59" w:type="dxa"/>
            <w:vMerge w:val="restart"/>
            <w:vAlign w:val="center"/>
          </w:tcPr>
          <w:p w14:paraId="653FAA06">
            <w:pPr>
              <w:tabs>
                <w:tab w:val="left" w:pos="180"/>
                <w:tab w:val="left" w:pos="162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25" w:type="dxa"/>
            <w:vMerge w:val="restart"/>
            <w:vAlign w:val="center"/>
          </w:tcPr>
          <w:p w14:paraId="5C8EAFD8">
            <w:pPr>
              <w:widowControl/>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VR虚拟互动内容制作</w:t>
            </w:r>
          </w:p>
        </w:tc>
        <w:tc>
          <w:tcPr>
            <w:tcW w:w="750" w:type="dxa"/>
            <w:gridSpan w:val="2"/>
            <w:vMerge w:val="restart"/>
            <w:vAlign w:val="center"/>
          </w:tcPr>
          <w:p w14:paraId="6A84AA65">
            <w:pPr>
              <w:widowControl/>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3个</w:t>
            </w:r>
          </w:p>
        </w:tc>
        <w:tc>
          <w:tcPr>
            <w:tcW w:w="4988" w:type="dxa"/>
            <w:vAlign w:val="center"/>
          </w:tcPr>
          <w:p w14:paraId="56D111D3">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VR虚拟互动资源：坭兴陶制作</w:t>
            </w:r>
          </w:p>
          <w:p w14:paraId="5D511C3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一、总体要求  </w:t>
            </w:r>
          </w:p>
          <w:p w14:paraId="7F72AA5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（一）系统需基于虚拟引擎开发，确保与采购方现有虚拟实训室硬件及软件环境兼容，包括但不限于VR头显、手柄、定位基站等设备。  </w:t>
            </w:r>
          </w:p>
          <w:p w14:paraId="1381805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（二）系统需内置3个标准化虚拟实训模块，具体为：茉莉花精油萃取模块 、坭兴陶制作流程模块、风雨桥榫卯结构。  </w:t>
            </w:r>
          </w:p>
          <w:p w14:paraId="1D7DA0B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（三）所有交互操作需支持采购方现有VR手柄实现，包括抓取、组装、拆卸、工具使用等沉浸式互动功能。  </w:t>
            </w:r>
          </w:p>
          <w:p w14:paraId="5BA8C83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185082A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二、模型制作规范  </w:t>
            </w:r>
          </w:p>
          <w:p w14:paraId="72F9617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（一）计量单位：模型制作统一以“米”（m）为单位，采用外表面几何结构建模，复杂细节可酌情使用贴图替代高精度几何体。  </w:t>
            </w:r>
          </w:p>
          <w:p w14:paraId="61347A8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（二）轴心点：所有模型轴心点需统一设置在基底几何中心。  </w:t>
            </w:r>
          </w:p>
          <w:p w14:paraId="109225C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（三）面间距：同一法线方向的两个面间距不得小于2cm。  </w:t>
            </w:r>
          </w:p>
          <w:p w14:paraId="76A3AA8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（四）几何精度：  </w:t>
            </w:r>
          </w:p>
          <w:p w14:paraId="3558C4F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1.弧线结构最大分段数≤8边；  </w:t>
            </w:r>
          </w:p>
          <w:p w14:paraId="1FA8F9A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2.柱形结构最大分段数≤16边；  </w:t>
            </w:r>
          </w:p>
          <w:p w14:paraId="19C60BB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3.球形结构最大分段数≤24边。  </w:t>
            </w:r>
          </w:p>
          <w:p w14:paraId="1D0A3CD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（五）顶点处理：同一坐标位置的顶点需焊接，避免模型破面或闪烁。  </w:t>
            </w:r>
          </w:p>
          <w:p w14:paraId="1B55E5E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2350A6D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三、模块功能要求  </w:t>
            </w:r>
          </w:p>
          <w:p w14:paraId="7306F74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（一）系统概述</w:t>
            </w:r>
          </w:p>
          <w:p w14:paraId="3503CD2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本系统基于先进的虚拟引擎开发，支持VR全沉浸式交互。系统涵盖坭兴陶文化认知、制作原理学习、全流程虚拟实操三大模块，支持单人训练与多角色协作。</w:t>
            </w:r>
          </w:p>
          <w:p w14:paraId="0F9FD7D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（二）核心功能模块</w:t>
            </w:r>
          </w:p>
          <w:p w14:paraId="2085A30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1.坭兴陶制作流程模块  </w:t>
            </w:r>
          </w:p>
          <w:p w14:paraId="1A7CCD4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（1）理论知识:以视频、图片、文字形式展示,使用VR头盔进行交互观看,可进行快速跳转进度,功能选择关闭等操作。</w:t>
            </w:r>
          </w:p>
          <w:p w14:paraId="6D808BE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①历史与价值展示 </w:t>
            </w:r>
          </w:p>
          <w:p w14:paraId="7887D88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动态视频展示：历史背景坭兴陶的制作历史可追溯到唐代，但在明清时期逐渐形成独特风格</w:t>
            </w:r>
          </w:p>
          <w:p w14:paraId="20969A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②坭兴陶的制作工艺:</w:t>
            </w:r>
          </w:p>
          <w:p w14:paraId="6DD1CE1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坭兴陶的历史与文化背景</w:t>
            </w:r>
          </w:p>
          <w:p w14:paraId="0A438FD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坭兴陶的原材料:坭兴陶使用的泥土主要为广西兴安特有的“坭土”，泥质细腻，含有丰富的铁元素和矿物质，烧制出来的陶器具有自然的色泽。</w:t>
            </w:r>
          </w:p>
          <w:p w14:paraId="57A7580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坭兴陶的制作工艺:坭兴陶的制作方式多为手工捏制，每一件作品都是独特的，艺术家利用精湛的雕刻技艺，常见的装饰有花卉、山水、人物等题材。</w:t>
            </w:r>
          </w:p>
          <w:p w14:paraId="2E9C94D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烧制过程:坭兴陶烧制过程采用高温窑炉，以800°C到1200°C的温度烧制，经过两次高温烧制后，表面常呈现出独特的深色或金属光泽。</w:t>
            </w:r>
          </w:p>
          <w:p w14:paraId="2C951EE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（2）理论知识随堂测验：学习结束后以随堂测验，题型包括单选、多选、判断，每项题数不少于100题，题目进行考核并给出测验分数。</w:t>
            </w:r>
          </w:p>
          <w:p w14:paraId="3F364BB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（3）虚拟实训操作模块:以视频、图片、动画的形式展示或交互,在交互期间可展示图片、题目、vr手柄点击、拖拽、拿取等方式进行交互</w:t>
            </w:r>
          </w:p>
          <w:p w14:paraId="2ED35DF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采泥：采泥是陶艺制作的第一步，直接决定了陶器的质量。选择泥土时，陶艺师要考虑泥土的种类、颜色、湿度和纯净度。传统陶艺中常选用当地的天然粘土，泥土需经过筛选、浸泡与脱气处理，以确保其无杂质、均匀且适合成型。采泥时，泥土的来源、土质的特性，甚至泥土的年代都会影响最终成品的质感。</w:t>
            </w:r>
          </w:p>
          <w:p w14:paraId="16B06C7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采泥要点：</w:t>
            </w:r>
          </w:p>
          <w:p w14:paraId="5967B26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使用VR手柄点击,选用含有适当矿物成分的土壤。</w:t>
            </w:r>
          </w:p>
          <w:p w14:paraId="733D0FB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对泥土进行必要的处理，如沉淀、筛选等。</w:t>
            </w:r>
          </w:p>
          <w:p w14:paraId="6959CFF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保证泥土颗粒细腻，以便拉胚时更易成型。选用含有适当矿物成分的土壤。</w:t>
            </w:r>
          </w:p>
          <w:p w14:paraId="21A6C39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②拉胚：拉胚是制作陶器的成型过程，通常使用陶轮或手工拉制。拉胚是一项技术性极强的手工艺，它要求陶艺师拥有扎实的基础技巧和对泥土特性的敏感度。</w:t>
            </w:r>
          </w:p>
          <w:p w14:paraId="4F10FB8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过程：使用VR手柄点击调整泥土，点击泥培的各个角度，使得陶器的形态均匀对称。</w:t>
            </w:r>
          </w:p>
          <w:p w14:paraId="3E4F43A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打坯：将采集来的泥土放在陶轮上，手工或机械操作将泥块拉起，形成所需的陶器形状。</w:t>
            </w:r>
          </w:p>
          <w:p w14:paraId="0877C08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拉坯技巧：使用双手和工具调整泥土，掌握力度与速度，使得陶器的形态均匀对称。</w:t>
            </w:r>
          </w:p>
          <w:p w14:paraId="2077E3E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拉胚要点：</w:t>
            </w:r>
          </w:p>
          <w:p w14:paraId="04B22D8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要确保泥土均匀分布，避免器物变形。</w:t>
            </w:r>
          </w:p>
          <w:p w14:paraId="7E0EE6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需要熟练的技巧，特别是在掌握泥土湿度和控制拉制速度时。</w:t>
            </w:r>
          </w:p>
          <w:p w14:paraId="5CA015B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雕刻：雕刻是在陶器成型后的表面装饰工艺，通常采用手工雕刻技术。雕刻不仅可以增强陶器的视觉效果，还能增加其艺术价值。常见的雕刻图案有花卉、山水、人物、动物等，反映了当地的自然景观与文化特色。</w:t>
            </w:r>
          </w:p>
          <w:p w14:paraId="6C3ADC1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w:t>
            </w:r>
          </w:p>
          <w:p w14:paraId="6E9003A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使用VR手柄，点击使用各种雕刻工具，如雕刀、刻刀、细锉刀等，进行雕刻。</w:t>
            </w:r>
          </w:p>
          <w:p w14:paraId="1B6A9E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雕刻过程中，陶艺师要注意图案的层次感与立体感，避免图案过于单调。</w:t>
            </w:r>
          </w:p>
          <w:p w14:paraId="602E6E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雕刻要点：</w:t>
            </w:r>
          </w:p>
          <w:p w14:paraId="2858A4D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雕刻要精细，手法要细腻，避免破坏陶器的形态。</w:t>
            </w:r>
          </w:p>
          <w:p w14:paraId="22A0840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通过雕刻展现图案的深度与细节，使陶器更加生动。</w:t>
            </w:r>
          </w:p>
          <w:p w14:paraId="27651C3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④烧制：烧制是陶器制作中最关键的环节之一，它决定了陶器的硬度、强度以及表面效果。烧制过程可以分为两次，分别是素烧和釉烧。</w:t>
            </w:r>
          </w:p>
          <w:p w14:paraId="5446F5D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使用VR手柄点击，控制烧制温度和烧制时长，避免陶器在烧制过程中开裂或变形。</w:t>
            </w:r>
          </w:p>
          <w:p w14:paraId="0122BF9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素烧：将未上釉的陶器进行第一次高温烧制，目的是让陶器脱水并去除杂质，使陶器更坚固，温度一般在800°C到1000°C之间，具体温度根据泥土的种类和陶器的大小有所不同。</w:t>
            </w:r>
          </w:p>
          <w:p w14:paraId="22BA32C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釉烧：经过素烧后的陶器可以选择是否上釉。上釉后，再次进行高温烧制，使得陶器表面形成坚硬的釉层。釉烧的温度一般为1000°C到1300°C，具体取决于所用釉料的类型。</w:t>
            </w:r>
          </w:p>
          <w:p w14:paraId="56A383E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烧制要点：</w:t>
            </w:r>
          </w:p>
          <w:p w14:paraId="26C1C37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控制烧制温度和烧制时长，避免陶器在烧制过程中开裂或变形。</w:t>
            </w:r>
          </w:p>
          <w:p w14:paraId="45850AC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根据陶器的形状和大小，调整烧制的时间与温度，确保每一件陶器的完美烧成</w:t>
            </w:r>
          </w:p>
          <w:p w14:paraId="46EA7EB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⑤抛光：抛光是陶器制作中的最后一步，目的是使陶器表面更加光滑、亮丽，增加其质感和视觉效果。通过抛光，陶器表面能够反射更多的光线，从而显得更加精致。</w:t>
            </w:r>
          </w:p>
          <w:p w14:paraId="46A452A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w:t>
            </w:r>
          </w:p>
          <w:p w14:paraId="430EE7F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使用专门的抛光工具，如磨石、布料、木棒等，摩擦陶器表面，逐步去除细小的瑕疵。</w:t>
            </w:r>
          </w:p>
          <w:p w14:paraId="7332629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在陶器表面涂抹少量的油或蜡，再通过抛光工具进行抛光，使表面更加光滑。</w:t>
            </w:r>
          </w:p>
          <w:p w14:paraId="106F7D4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抛光要点：</w:t>
            </w:r>
          </w:p>
          <w:p w14:paraId="108B483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VR手柄点击模型进行抛光，抛光过程中要有耐心，逐渐提高光滑度。</w:t>
            </w:r>
          </w:p>
          <w:p w14:paraId="6F89538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抛光能增强陶器的质感，但过度抛光可能会破坏某些装饰效果，因此要根据作品的设计要求进行调整。</w:t>
            </w:r>
          </w:p>
          <w:p w14:paraId="2C0BDB6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⑥实时反馈：通过触觉反馈（控制器震动）或视觉提示（如警告信息、颜色变化）提醒学员注意操作步骤的正确性与安全性。</w:t>
            </w:r>
          </w:p>
          <w:p w14:paraId="29E9D83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⑦性能评估：根据学员的操作完成度与正确性评估其操作技巧，例如温度、溶剂比、萃取时间等是否符合设定参数。</w:t>
            </w:r>
          </w:p>
          <w:p w14:paraId="4DEC4BF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1ADBB60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⑨考试：设置操作考试，学员需要在限定时间内完成实验并达到规定的操作标准，通过后获得相应的评估结果。</w:t>
            </w:r>
          </w:p>
          <w:p w14:paraId="5715C71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536422E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四、交互与系统要求  </w:t>
            </w:r>
          </w:p>
          <w:p w14:paraId="321CFAC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（一）操作引导：所有模块需具备步骤指引功能，错误操作时实时提示并阻断流程，直至用户修正。  </w:t>
            </w:r>
          </w:p>
          <w:p w14:paraId="68E1938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（二）性能要求：  </w:t>
            </w:r>
          </w:p>
          <w:p w14:paraId="58380B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1.单场景面数不超过50万，帧率≥90 FPS，延迟≤20ms。  </w:t>
            </w:r>
          </w:p>
          <w:p w14:paraId="7CA11DA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2.支持HTC Vive、Oculus Rift等主流VR设备，适配SteamVR/OpenXR协议。  </w:t>
            </w:r>
          </w:p>
          <w:p w14:paraId="73B553A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3.扩展性：系统需预留接口，支持后续新增模块无缝接入。  </w:t>
            </w:r>
          </w:p>
          <w:p w14:paraId="3F19E46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51F99F7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五、交付与验收  </w:t>
            </w:r>
          </w:p>
          <w:p w14:paraId="13245A1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交付内容需包含系统安装包、模型源文件、操作手册及API文档。 </w:t>
            </w:r>
          </w:p>
        </w:tc>
        <w:tc>
          <w:tcPr>
            <w:tcW w:w="962" w:type="dxa"/>
            <w:vAlign w:val="center"/>
          </w:tcPr>
          <w:p w14:paraId="36419EDF">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5CAE218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1A5C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52D98ED5">
            <w:pPr>
              <w:tabs>
                <w:tab w:val="left" w:pos="180"/>
                <w:tab w:val="left" w:pos="1620"/>
              </w:tabs>
              <w:spacing w:line="400" w:lineRule="exact"/>
              <w:jc w:val="center"/>
              <w:rPr>
                <w:rFonts w:hint="eastAsia" w:ascii="宋体" w:hAnsi="宋体" w:eastAsia="宋体" w:cs="宋体"/>
                <w:color w:val="auto"/>
                <w:sz w:val="24"/>
                <w:szCs w:val="24"/>
                <w:highlight w:val="none"/>
              </w:rPr>
            </w:pPr>
          </w:p>
        </w:tc>
        <w:tc>
          <w:tcPr>
            <w:tcW w:w="925" w:type="dxa"/>
            <w:vMerge w:val="continue"/>
            <w:vAlign w:val="center"/>
          </w:tcPr>
          <w:p w14:paraId="58CBB6E2">
            <w:pPr>
              <w:widowControl/>
              <w:snapToGrid w:val="0"/>
              <w:spacing w:line="400" w:lineRule="exact"/>
              <w:jc w:val="center"/>
              <w:rPr>
                <w:rFonts w:hint="eastAsia" w:ascii="宋体" w:hAnsi="宋体" w:eastAsia="宋体" w:cs="宋体"/>
                <w:color w:val="auto"/>
                <w:sz w:val="24"/>
                <w:szCs w:val="24"/>
                <w:highlight w:val="none"/>
                <w:lang w:eastAsia="zh-CN"/>
              </w:rPr>
            </w:pPr>
          </w:p>
        </w:tc>
        <w:tc>
          <w:tcPr>
            <w:tcW w:w="750" w:type="dxa"/>
            <w:gridSpan w:val="2"/>
            <w:vMerge w:val="continue"/>
            <w:vAlign w:val="center"/>
          </w:tcPr>
          <w:p w14:paraId="7FF9F894">
            <w:pPr>
              <w:widowControl/>
              <w:snapToGrid w:val="0"/>
              <w:spacing w:line="400" w:lineRule="exact"/>
              <w:rPr>
                <w:rFonts w:hint="eastAsia" w:ascii="宋体" w:hAnsi="宋体" w:eastAsia="宋体" w:cs="宋体"/>
                <w:color w:val="auto"/>
                <w:sz w:val="24"/>
                <w:szCs w:val="24"/>
                <w:highlight w:val="none"/>
                <w:lang w:val="en-US" w:eastAsia="zh-CN"/>
              </w:rPr>
            </w:pPr>
          </w:p>
        </w:tc>
        <w:tc>
          <w:tcPr>
            <w:tcW w:w="4988" w:type="dxa"/>
            <w:vAlign w:val="center"/>
          </w:tcPr>
          <w:p w14:paraId="21E0D3F8">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VR虚拟互动资源：茉莉花精油萃取</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一、总体要求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（一）系统需基于虚拟引擎开发，确保与采购方现有虚拟实训室硬件及软件环境兼容，包括但不限于VR头显、手柄、定位基站等设备。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（二）系统需内置3个标准化虚拟实训模块，具体为：茉莉花精油萃取模块 、坭兴陶制作流程模块、风雨桥榫卯结构。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（三）所有交互操作需支持采购方现有VR手柄实现，包括抓取、组装、拆卸、工具使用等沉浸式互动功能。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二、模型制作规范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（一）计量单位：模型制作统一以“米”（m）为单位，采用外表面几何结构建模，复杂细节可酌情使用贴图替代高精度几何体。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（二）轴心点：所有模型轴心点需统一设置在基底几何中心。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（三）面间距：同一法线方向的两个面间距不得小于2cm。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（四）几何精度：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1.弧线结构最大分段数≤8边；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2.柱形结构最大分段数≤16边；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3.球形结构最大分段数≤24边。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（五）顶点处理：同一坐标位置的顶点需焊接，避免模型破面或闪烁。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三、模块功能要求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（一）系统概述</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本系统基于先进的虚拟引擎开发，支持VR全沉浸式交互。系统涵盖茉莉花文化认知、萃取原理学习、全流程虚拟实操三大模块，支持单人训练与多角色协作。</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（二）核心功能模块</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1.茉莉花精油萃取模块</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（1）茉莉花理论知识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茉莉花文化认知模块:以视频、图片、文字形式展示,使用VR头盔进行交互观看,可进行快速跳转进度,功能选择关闭等操作。</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（2）历史与价值展示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动态视频：展示茉莉花从汉代传入中国到现代应用的历程（如药用、茶饮、香精产业）。</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（3）文化符号解析：</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广西横县茉莉花产业地位（全球60%茉莉花产量）</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茉莉花在壮族文化中的象征意义（纯洁、吉祥）。</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（4）品种与特性</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单瓣茉莉（香气浓郁）</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双瓣茉莉（产量高，主流工业品种）</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多瓣茉莉（观赏为主）。</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挥发性成分含量（如芳樟醇、乙酸苄酯）。</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萃取原理（挥发性/非挥发性成分差异）</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溶剂选择（石油醚vs乙醇极性对比）。</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点击查看茉莉花细胞结构（油腺分布示意图）。</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（5）理论知识测试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随堂测验：学习结束后以随堂测验，题型包括单选、多选、判断，每项题数不少于100题，题目进行考核并给出测验分数</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（6）虚拟实训操作模块:以视频、图片、动画以其中一种形式展示或交互,在交互期间可展示图片、题目、vr手柄点击、拖拽、拿取等方式进行交互。处理流程包括：</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①预处理阶段，原料选择：剔除劣变花瓣；原料形态：花瓣、花苞；原料质量要求：无污染、无霉变、无异味</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②萃取溶剂。溶剂类型：常用溶剂包括乙醇、正己烷、乙醚等，具体选择依据萃取物的性质；溶剂浓度：通常使用不同浓度的乙醇（如50%、70%等），以确保能够溶解更多的有效成分；溶剂比：例如花瓣与溶剂的比例，通常为1:3至1:5。</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③萃取方法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溶剂萃取：通过液-固萃取，将茉莉花与溶剂混合，在特定温度下萃取花香成分。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蒸汽蒸馏法：茉莉花用蒸汽进行蒸馏，主要用于提取精油成分。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超临界CO₂萃取：采用超临界二氧化碳作为萃取溶剂，适用于高效萃取精油和芳香物质。</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超声波辅助萃取：通过超声波的振动帮助提高萃取效率，减少萃取时间。</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④萃取条件</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温度：通常在30°C至60°C之间，以保证有效成分不被高温破坏。</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萃取时间：通常为1至3小时，根据萃取方法和萃取物的类型有所调整。</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压力：如果使用超临界CO₂萃取，则需设定在超临界状态下的压力，通常在100-300bar之间。</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⑤分离与纯化</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分离方式：通过冷却、过滤、蒸发等方式去除溶剂，提取目标物质。</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纯化方法：可以使用柱层析、薄层色谱等技术进一步纯化提取物。</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⑥产品检测</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香气分析：通过气相色谱-质谱联用（GC-MS）等技术分析茉莉花中的芳香物质。</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化学成分分析：可以使用HPLC、GC等技术分析其中的主要成分，如芳香醇、酯类化合物等。</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⑦收率</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萃取率：通常取决于原料的质量和萃取工艺，一般约为0.5%-2%（以干花瓣为基准）。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⑧实时反馈：通过触觉反馈（控制器震动）或视觉提示（如警告信息、颜色变化）提醒学员注意操作步骤的正确性与安全性。</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⑨性能评估：根据学员的操作完成度与正确性评估其操作技巧，例如温度、溶剂比、萃取时间等是否符合设定参数。</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⑩学习模式：指导模式：系统提供虚拟导师或指导员，在每个操作步骤中给出指导和建议，帮助学员完成实验；自由探索模式：学员可以根据自己的兴趣自由探索不同的萃取条件与操作步骤，并通过实验结果进行对比和总结。</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⑪考试：设置操作考试，学员需要在限定时间内完成实验并达到规定的操作标准，通过后获得相应的评估结果。</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四、交互与系统要求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（一）操作引导：所有模块需具备步骤指引功能，错误操作时实时提示并阻断流程，直至用户修正。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（二）性能要求：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1.单场景面数不超过50万，帧率≥90 FPS，延迟≤20ms。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2.支持HTC Vive、Oculus Rift等主流VR设备，适配SteamVR/OpenXR协议。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3.扩展性：系统需预留接口，支持后续新增模块无缝接入。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五、交付与验收  </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交付内容需包含系统安装包、模型源文件、操作手册及API文档</w:t>
            </w:r>
            <w:r>
              <w:rPr>
                <w:rFonts w:hint="eastAsia" w:ascii="宋体" w:hAnsi="宋体" w:eastAsia="宋体" w:cs="宋体"/>
                <w:b/>
                <w:bCs/>
                <w:color w:val="auto"/>
                <w:sz w:val="24"/>
                <w:szCs w:val="24"/>
                <w:highlight w:val="none"/>
                <w:lang w:val="en-US" w:eastAsia="zh-CN"/>
              </w:rPr>
              <w:t>。</w:t>
            </w:r>
          </w:p>
        </w:tc>
        <w:tc>
          <w:tcPr>
            <w:tcW w:w="962" w:type="dxa"/>
            <w:vAlign w:val="center"/>
          </w:tcPr>
          <w:p w14:paraId="197389D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5BBCBD5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31E3F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5B425F74">
            <w:pPr>
              <w:tabs>
                <w:tab w:val="left" w:pos="180"/>
                <w:tab w:val="left" w:pos="1620"/>
              </w:tabs>
              <w:spacing w:line="400" w:lineRule="exact"/>
              <w:jc w:val="center"/>
              <w:rPr>
                <w:rFonts w:hint="eastAsia" w:ascii="宋体" w:hAnsi="宋体" w:eastAsia="宋体" w:cs="宋体"/>
                <w:color w:val="auto"/>
                <w:sz w:val="24"/>
                <w:szCs w:val="24"/>
                <w:highlight w:val="none"/>
              </w:rPr>
            </w:pPr>
          </w:p>
        </w:tc>
        <w:tc>
          <w:tcPr>
            <w:tcW w:w="925" w:type="dxa"/>
            <w:vMerge w:val="continue"/>
            <w:vAlign w:val="center"/>
          </w:tcPr>
          <w:p w14:paraId="62613AB5">
            <w:pPr>
              <w:widowControl/>
              <w:snapToGrid w:val="0"/>
              <w:spacing w:line="400" w:lineRule="exact"/>
              <w:jc w:val="center"/>
              <w:rPr>
                <w:rFonts w:hint="eastAsia" w:ascii="宋体" w:hAnsi="宋体" w:eastAsia="宋体" w:cs="宋体"/>
                <w:color w:val="auto"/>
                <w:sz w:val="24"/>
                <w:szCs w:val="24"/>
                <w:highlight w:val="none"/>
                <w:lang w:eastAsia="zh-CN"/>
              </w:rPr>
            </w:pPr>
          </w:p>
        </w:tc>
        <w:tc>
          <w:tcPr>
            <w:tcW w:w="750" w:type="dxa"/>
            <w:gridSpan w:val="2"/>
            <w:vMerge w:val="continue"/>
            <w:vAlign w:val="center"/>
          </w:tcPr>
          <w:p w14:paraId="2A33E45E">
            <w:pPr>
              <w:widowControl/>
              <w:snapToGrid w:val="0"/>
              <w:spacing w:line="400" w:lineRule="exact"/>
              <w:rPr>
                <w:rFonts w:hint="eastAsia" w:ascii="宋体" w:hAnsi="宋体" w:eastAsia="宋体" w:cs="宋体"/>
                <w:color w:val="auto"/>
                <w:sz w:val="24"/>
                <w:szCs w:val="24"/>
                <w:highlight w:val="none"/>
                <w:lang w:val="en-US" w:eastAsia="zh-CN"/>
              </w:rPr>
            </w:pPr>
          </w:p>
        </w:tc>
        <w:tc>
          <w:tcPr>
            <w:tcW w:w="4988" w:type="dxa"/>
            <w:vAlign w:val="center"/>
          </w:tcPr>
          <w:p w14:paraId="2A77629C">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VR虚拟互动资源：风雨桥榫卯结构</w:t>
            </w:r>
          </w:p>
          <w:p w14:paraId="57E2448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一、总体要求  </w:t>
            </w:r>
          </w:p>
          <w:p w14:paraId="38B486F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（一）系统需基于虚拟引擎开发，确保与采购方现有虚拟实训室硬件及软件环境兼容，包括但不限于VR头显、手柄、定位基站等设备。  </w:t>
            </w:r>
          </w:p>
          <w:p w14:paraId="40F8BB8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（二）系统需内置3个标准化虚拟实训模块，具体为：茉莉花精油萃取模块 、坭兴陶制作流程模块、风雨桥榫卯结构。  </w:t>
            </w:r>
          </w:p>
          <w:p w14:paraId="52E8023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（三）所有交互操作需支持采购方现有VR手柄实现，包括抓取、组装、拆卸、工具使用等沉浸式互动功能。  </w:t>
            </w:r>
          </w:p>
          <w:p w14:paraId="079792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2FF31D0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二、模型制作规范  </w:t>
            </w:r>
          </w:p>
          <w:p w14:paraId="12B716F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（一）计量单位：模型制作统一以“米”（m）为单位，采用外表面几何结构建模，复杂细节可酌情使用贴图替代高精度几何体。  </w:t>
            </w:r>
          </w:p>
          <w:p w14:paraId="39ADEE0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（二）轴心点：所有模型轴心点需统一设置在基底几何中心。  </w:t>
            </w:r>
          </w:p>
          <w:p w14:paraId="5002DA4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（三）面间距：同一法线方向的两个面间距不得小于2cm。  </w:t>
            </w:r>
          </w:p>
          <w:p w14:paraId="6770957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（四）几何精度：  </w:t>
            </w:r>
          </w:p>
          <w:p w14:paraId="450E8E0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1.弧线结构最大分段数≤8边；  </w:t>
            </w:r>
          </w:p>
          <w:p w14:paraId="477059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2.柱形结构最大分段数≤16边；  </w:t>
            </w:r>
          </w:p>
          <w:p w14:paraId="135FB19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3.球形结构最大分段数≤24边。  </w:t>
            </w:r>
          </w:p>
          <w:p w14:paraId="3215DBB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（五）顶点处理：同一坐标位置的顶点需焊接，避免模型破面或闪烁。  </w:t>
            </w:r>
          </w:p>
          <w:p w14:paraId="18A4F0C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6473E1F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三、模块功能要求  </w:t>
            </w:r>
          </w:p>
          <w:p w14:paraId="6AD5DA8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（一）系统概述</w:t>
            </w:r>
          </w:p>
          <w:p w14:paraId="0AA157A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本系统基于先进的虚拟引擎开发，支持VR全沉浸式交互。系统涵盖风雨桥文化认知、榫卯制作原理学习、全流程虚拟实操三大模块，支持单人训练与多角色协作。</w:t>
            </w:r>
          </w:p>
          <w:p w14:paraId="165B20D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（二）核心功能模块</w:t>
            </w:r>
          </w:p>
          <w:p w14:paraId="740C7AC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1.风雨桥榫卯结构</w:t>
            </w:r>
          </w:p>
          <w:p w14:paraId="0A62679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（1）理论知识:以视频、图片、文字形式展示,使用VR头盔进行交互观看,可进行快速跳转进度,功能选择关闭等操作.</w:t>
            </w:r>
          </w:p>
          <w:p w14:paraId="29ACC2A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①风雨桥认知模块:以视频、图片、文字形式展示,使用VR头盔进行交互观看,可进行快速跳转进度,功能选择关闭等操作.</w:t>
            </w:r>
          </w:p>
          <w:p w14:paraId="5F4741C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②历史与价值展示 </w:t>
            </w:r>
          </w:p>
          <w:p w14:paraId="35DF062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动态视频展示：风雨桥起源于中国南方，尤其在贵州、广西、云南等地的少数民族地区广泛存在。最早的风雨桥可以追溯到明清时期，它结合了桥梁与凉亭的功能，形成了一种独特的建筑类型。</w:t>
            </w:r>
          </w:p>
          <w:p w14:paraId="3AE567F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③风雨桥设计工艺:</w:t>
            </w:r>
          </w:p>
          <w:p w14:paraId="0021472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榫卯结构</w:t>
            </w:r>
          </w:p>
          <w:p w14:paraId="3EEA55B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木柱与梁架</w:t>
            </w:r>
          </w:p>
          <w:p w14:paraId="0096ED1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屋顶设计与构建</w:t>
            </w:r>
          </w:p>
          <w:p w14:paraId="2FB4543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雕刻与装饰</w:t>
            </w:r>
          </w:p>
          <w:p w14:paraId="749DE27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（2）理论知识随堂测验：学习结束后以随堂测验，题型包括单选、多选、判断，每项题数不少于100题，题目进行考核并给出测验分数选择题</w:t>
            </w:r>
          </w:p>
          <w:p w14:paraId="2F68D04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（3）虚拟实训模块</w:t>
            </w:r>
          </w:p>
          <w:p w14:paraId="61397B8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①选材</w:t>
            </w:r>
          </w:p>
          <w:p w14:paraId="53F2A7C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实现方式:以VR手柄射线点击抓取方式展示下各类材料,以文字解说的方式介绍各类材料的特点,风雨桥所使用的材料.</w:t>
            </w:r>
          </w:p>
          <w:p w14:paraId="46AE942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风雨桥的材料选择是确保其结构稳固、耐久且具有美观的重要环节。常见的主要材料有：</w:t>
            </w:r>
          </w:p>
          <w:p w14:paraId="301FFD5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木材：主要用于桥面、桥栏、桥梁的结构框架，尤其是榫卯结构和雕刻部分。选材上通常使用当地的硬木，如松木、杉木或楠木等，这些木材质地坚固，抗腐蚀性强，适合长期使用。</w:t>
            </w:r>
          </w:p>
          <w:p w14:paraId="08F0D33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石材：用于桥墩和基础部分，选用质地坚硬、抗压能力强的石材，确保桥梁的稳固性。</w:t>
            </w:r>
          </w:p>
          <w:p w14:paraId="36AC047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瓦片或青砖：用于屋顶和桥面装饰，风雨桥的屋顶通常采用重檐式屋顶，瓦片在保证屋顶稳固的同时，也起到防水的作用。</w:t>
            </w:r>
          </w:p>
          <w:p w14:paraId="00B8960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铁件：在一些较大、结构复杂的风雨桥中，为了增强整体的抗风性和耐久性，可能会使用一些铁件作为辅助结构。</w:t>
            </w:r>
          </w:p>
          <w:p w14:paraId="2DC7E1C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②榫卯结构</w:t>
            </w:r>
          </w:p>
          <w:p w14:paraId="18BAC95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实现方式:以VR手柄射线点击抓取方式展示风雨桥使用的榫卯结构,以视频或交互拼装的方式进行讲解.</w:t>
            </w:r>
          </w:p>
          <w:p w14:paraId="5DF08D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最具特色的工艺是榫卯结构，它是中国古代建筑的一项重要技术。榫卯结构不使用钉子和铁件，而是通过木材之间精巧的拼接和连接形成稳固的框架。通过榫头和卯眼的互相配合，使得木材之间相互咬合，从而提高了结构的稳固性和抗震性。</w:t>
            </w:r>
          </w:p>
          <w:p w14:paraId="2D0DD67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工艺特点：榫卯的连接非常精细，使用VR手柄的方式通过传统的手工工具，如凿子、锯子等进行雕刻。</w:t>
            </w:r>
          </w:p>
          <w:p w14:paraId="129160D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结构形式：VR 手柄点击放大桥梁的立柱、横梁、屋顶的檩条等部件，采用互相嵌合、互相支撑的榫卯连接方式，不仅能增强稳定性，还使得桥梁具有极高的美学价值。</w:t>
            </w:r>
          </w:p>
          <w:p w14:paraId="0C9AB44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③施工工艺</w:t>
            </w:r>
          </w:p>
          <w:p w14:paraId="775C575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实现方式:以VR手柄射线点击抓取方式播放动画或交互</w:t>
            </w:r>
          </w:p>
          <w:p w14:paraId="70F217E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搭建桥墩：首先在桥的两端构建坚固的石墩或木桩，这些基础部分为整个桥梁提供支撑。</w:t>
            </w:r>
          </w:p>
          <w:p w14:paraId="35B4C19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立柱与横梁的搭建：根据榫卯结构的要求，安装立柱、横梁、支撑杆等部件，连接形成桥的框架。</w:t>
            </w:r>
          </w:p>
          <w:p w14:paraId="60DFCDA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桥面铺设：在完成主框架后，桥面通常由木板或石板铺设，这一过程中要考虑到桥面的平整度和稳定性。</w:t>
            </w:r>
          </w:p>
          <w:p w14:paraId="5268D51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屋顶安装：屋顶的重檐式结构需要精确对接，瓦片和木结构的配合需要根据具体的气候和地形特点来调整，以保证防水和防风效果。</w:t>
            </w:r>
          </w:p>
          <w:p w14:paraId="0F12649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④实时反馈：通过触觉反馈（控制器震动）或视觉提示（如警告信息、颜色变化）提醒学员注意操作步骤的正确性与安全性。</w:t>
            </w:r>
          </w:p>
          <w:p w14:paraId="59FEC30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⑤性能评估：根据学员的操作完成度与正确性评估其操作技巧，例如温度、溶剂比、萃取时间等是否符合设定参数。</w:t>
            </w:r>
          </w:p>
          <w:p w14:paraId="70C5CA1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322CC5C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⑦考试：设置操作考试，学员需要在限定时间内完成实验并达到规定的操作标准，通过后获得相应的评估结果。</w:t>
            </w:r>
          </w:p>
          <w:p w14:paraId="01DFC86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1DC4C9F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四、交互与系统要求  </w:t>
            </w:r>
          </w:p>
          <w:p w14:paraId="749A0F9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（一）操作引导：所有模块需具备步骤指引功能，错误操作时实时提示并阻断流程，直至用户修正。  </w:t>
            </w:r>
          </w:p>
          <w:p w14:paraId="7A6330F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（二）性能要求：  </w:t>
            </w:r>
          </w:p>
          <w:p w14:paraId="1A227C1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1.单场景面数不超过50万，帧率≥90 FPS，延迟≤20ms。  </w:t>
            </w:r>
          </w:p>
          <w:p w14:paraId="57EBE52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2.支持HTC Vive、Oculus Rift等主流VR设备，适配SteamVR/OpenXR协议。  </w:t>
            </w:r>
          </w:p>
          <w:p w14:paraId="12B4F0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3.扩展性：系统需预留接口，支持后续新增模块无缝接入。  </w:t>
            </w:r>
          </w:p>
          <w:p w14:paraId="5D2EC57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0347FE7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五、交付与验收  </w:t>
            </w:r>
          </w:p>
          <w:p w14:paraId="2EFE3B6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交付内容需包含系统安装包、模型源文件、操作手册及API文档。 </w:t>
            </w:r>
          </w:p>
        </w:tc>
        <w:tc>
          <w:tcPr>
            <w:tcW w:w="962" w:type="dxa"/>
            <w:vAlign w:val="center"/>
          </w:tcPr>
          <w:p w14:paraId="1B04BCDB">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7FFF4C01">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5B8E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3AD176B4">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5" w:type="dxa"/>
            <w:vAlign w:val="center"/>
          </w:tcPr>
          <w:p w14:paraId="31C7516C">
            <w:pPr>
              <w:widowControl/>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工作手册式数字化教材出版服务</w:t>
            </w:r>
          </w:p>
        </w:tc>
        <w:tc>
          <w:tcPr>
            <w:tcW w:w="750" w:type="dxa"/>
            <w:gridSpan w:val="2"/>
            <w:vAlign w:val="center"/>
          </w:tcPr>
          <w:p w14:paraId="5F5791C7">
            <w:pPr>
              <w:widowControl/>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部</w:t>
            </w:r>
          </w:p>
        </w:tc>
        <w:tc>
          <w:tcPr>
            <w:tcW w:w="4988" w:type="dxa"/>
            <w:vAlign w:val="center"/>
          </w:tcPr>
          <w:p w14:paraId="765205F4">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该项目为出版电子教材，基于学校已有的数字化教学资源出版为电子教材。</w:t>
            </w:r>
          </w:p>
          <w:p w14:paraId="2275A3FD">
            <w:pPr>
              <w:numPr>
                <w:ilvl w:val="0"/>
                <w:numId w:val="0"/>
              </w:num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（一）数字教材与在线课程结合，丰富教材的内涵</w:t>
            </w:r>
          </w:p>
          <w:p w14:paraId="50DDE088">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需要配套较为完整的数字化教学资源，数字化教学资源部分以单个任务为单位组织教学，使得在线课程部分可承载PPT、活动、音视频、动画、图片、讨论、章节测验、拓展阅读、作业、考试等内容资源，打造富媒体化、可交互式学习内容。多样化的内容呈现形式可满足不同个体的学习需求。</w:t>
            </w:r>
          </w:p>
          <w:p w14:paraId="545FA38C">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（二）大数据人工智能+专业编辑审校，保护知识产权</w:t>
            </w:r>
          </w:p>
          <w:p w14:paraId="111C79E7">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为教材提供ISBN号，在教材出版前提供审核校对。具体如下：</w:t>
            </w:r>
          </w:p>
          <w:p w14:paraId="557AF9E3">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1.教材编写培训：项目负责人对项目参建人员进行教材建设整体要求、教材内容及体例要求、教材具体建设流程及平台使用的培训，做好顶层设计。</w:t>
            </w:r>
          </w:p>
          <w:p w14:paraId="4CCCF1A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预审稿件：责任编辑审阅教材目录、样章、资源样例，根据《普通高等学校教材管理办法》等文件要求，给出整体修改意见，完善教材内容。预审人员具备相关专业素养，能够确认书稿名称、知识点及篇幅安排是否符合普通高等学校国家专业教学标准，同时能够确认书稿体例、样章是否符合相关出版要求。</w:t>
            </w:r>
          </w:p>
          <w:p w14:paraId="6C53630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编辑加工（一审）：责任编辑审读全书稿件，负责三审中的第一个审次，使稿件的内容更完善，体例更严谨，材料更准确，语言文字更通达，逻辑更严密，消除一般性差错，防止出现原则性错误。在教材及资源内容的政治性、知识性、文字规范性、体例格式统一性等方面把好关。</w:t>
            </w:r>
          </w:p>
          <w:p w14:paraId="7E5E949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二三审：二审应根据书稿内容质量、重点难点和一审加工情况，审读100%的正文和全部插图，对书稿质量及一审报告提出二审意见解决一审提出的问题。二审人员原则上须具有大学本科以上（含本科）学历，具有副编审以上（含副编审）专业技术职务或拥有被授予的二审权。三审根据书稿内容质量、重点难点和一、二审加工情况，有针对性地重点审读20%～100%的正文和50%插图。三审人员原则上须具有大学本科以上（含本科）学历，担任过二审工作，具有副编审以上（含副编审）专业技术职务或拥有被授予的三审权。出版社严格执行一审之后的复审与终审，并由相应加工记录留存。</w:t>
            </w:r>
          </w:p>
          <w:p w14:paraId="00E7E32E">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5.数字资源审核：责任编辑审核全书配套数字资源，对资源内容的政治思想性、科学性、适用性以及社会价值和文化学术价值进行审查，把好政治关、知识关。</w:t>
            </w:r>
          </w:p>
          <w:p w14:paraId="2B9FF8B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校对：责任校对按国家对图书出版“三审三校”的要求，完成三次校对工作，提升书稿整体质量，再次降低差错率。出版社具备规范的校对流程和较大规模的专职校对人员，能够完成一校、二校和三校的三校流程，并在每个环节都有相应的记录留存。二、数字教材设计排版。1.正文设计与排版：版式设计根据书稿内容及责任编辑提出的要求，从版式库中选取或自行设计版式。版式设计要统一、合理、美观、实用。出版社具备规范的排版流程和一定规模的专职设计排版人员，能够完成各类稿件的排版设计。</w:t>
            </w:r>
          </w:p>
          <w:p w14:paraId="40EAF42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7.提供教材、课程内容内审报告，确保课程内容达到混合式教学的需求。</w:t>
            </w:r>
          </w:p>
          <w:p w14:paraId="0E13F13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8.绘图：绘图工作包括审图、图稿加工和整理等环节。</w:t>
            </w:r>
          </w:p>
          <w:p w14:paraId="1A857E76">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（1）出版社具备规范的图片重绘流程和一定规模的专职绘图人员，能够完成线条图、截屏图等图片的单色、双色、四色处理。</w:t>
            </w:r>
          </w:p>
          <w:p w14:paraId="70775B03">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（2）照片、截屏图上的图注和指示线需在矢量文件中分层加工标注；双色和四色图片上的图注，根据具体情况做叠印处理，加工后的图片影像清晰，色彩层次丰富。</w:t>
            </w:r>
          </w:p>
          <w:p w14:paraId="7BB871E2">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封面设计：封面设计应由具有相应专业技术职务的美术编辑担任，在坚持思想性、科学性、艺术性统一的原则下进行封面设计工作，封面图案应无政治、民族、宗教、国际关系、版权等问题，不允许出现知识性、常识性和文字差错。出版社具备规范的封面设计流程和一定规模的专职美编人员，能够完成各类封面的设计制作。</w:t>
            </w:r>
          </w:p>
          <w:p w14:paraId="1A9776EA">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（三）多终端、多角色连通，满足线上线下多场景教学需求</w:t>
            </w:r>
          </w:p>
          <w:p w14:paraId="091503A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配套的线上课程可在多终端建设和使用，满足信息化教学的多终端需求。在教学实践过程中，线上课程根据教学设计，可借助网络教学平台在课前学习、课堂教学、课后复习中与纸质教材配套使用。教师可以通过多终端发送学习内容和资料，学生可在不同终端实时接收学习任务，学校管理者可在管理端查看教学数据。同时，数字教材除适用于混合式教学模式外，也可用于辅助教学、纯网络教学等多种网络教学模式。</w:t>
            </w:r>
          </w:p>
          <w:p w14:paraId="1F6A6578">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（四）高效、可持续建设和维护机制</w:t>
            </w:r>
          </w:p>
          <w:p w14:paraId="2B05394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数字教材开发完成后，能够随技术进步、岗位要求变化、学情变化、培养目标调整进行调整和更新。修改的内容经过出版社审校后，能够随时根据教学需要基于平台进行内容的调整。</w:t>
            </w:r>
          </w:p>
          <w:p w14:paraId="703674ED">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（五）新型的教材内容体例，引领新型教学模式</w:t>
            </w:r>
          </w:p>
          <w:p w14:paraId="2D96B7AC">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在学情分析的基础上，需要按照“以学生为中心、以学习成果为导向、注重学生综合素质的培养”为思路来进行教学设计，以工作任务为导向，突出数字教材的“学习资料”功能。数字教材在教学应用时依托融合式教学信息化平台，可充分发挥在线教学的优势，按照德技并修，全面可持续发展的理念，形成以教师为主导、学生为主体的新型教学模式，在此过程中培养和强化学生自主学习、探究式学习和协作学习的能力，根据工作流程学习和掌握操作步骤，培养高素质的技术技能人才。</w:t>
            </w:r>
          </w:p>
          <w:p w14:paraId="3C312524">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（六）学、练、测、互动于一体，课内外学习于一体</w:t>
            </w:r>
          </w:p>
          <w:p w14:paraId="0DE84CC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资源部分包含丰富的PPT、音视频、动画、图片、讨论、测验、拓展阅读、考试等，任务点内容和练习测验紧密结合，可强化学习效果。学生在学习过程中可在线做笔记，问题探究与课程互动不受时间和空间的限制，淡化课内和课外的界限，随时随地自主学习。教学配套资源由学校提供，由中标公司负责审核修改。</w:t>
            </w:r>
          </w:p>
          <w:p w14:paraId="401F2CF8">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（七）教学资源和行为大数据化、精准记录并促进教学效果提升</w:t>
            </w:r>
          </w:p>
          <w:p w14:paraId="6C431331">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线上课程部分各类型资源等可精准统计，教师的教学行为和学生的学习行为都可被记录，通过课程平台的教学预警功能，形成良性督学机制。管理者也可通过管理端了解学校整体教学数据，全面把控教学质量。</w:t>
            </w:r>
          </w:p>
          <w:p w14:paraId="3DF807D0">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在融合式教学信息化平台，如超星学习通，智慧职教等公开信息化教学平台，能够实现自动采集学生学习大数据，8个大数据维度全方位考察和评价学生，形成多维度课程学习报告，课堂互动、签到、课程音视频、测验、讨论、作业、分组任务（PBL）及线上考试等的完成情况和成绩都可被采集，线下学习行为和数据也可纳入成绩体系，形成多维度的课程学习评价体系和成绩统计体系。</w:t>
            </w:r>
          </w:p>
          <w:p w14:paraId="4DD52CFB">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（九）在配套融合式教学信息化平台实现教材与课堂的深度结合</w:t>
            </w:r>
          </w:p>
          <w:p w14:paraId="6607BBB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数字教材的配套数字资源部分应用于课堂教学时，可以建立多个以班级为单位的学习组，有课堂签到，课后作业等课堂教学功能，从而实现教材与课堂的深度融合。</w:t>
            </w:r>
          </w:p>
          <w:p w14:paraId="62AF381B">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（十）能够实现学生自主学习、加入班学习等学习模式</w:t>
            </w:r>
          </w:p>
          <w:p w14:paraId="089BC00A">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学生购买数字教材并激活课程资源后，可根据教材上获取配套资源的指引，支持自主学或加入任课老师基于教材创建的班级进行跟班同步学习。    </w:t>
            </w:r>
          </w:p>
          <w:p w14:paraId="5BF09B58">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（十一）提供教材配套数字资源引用详情的查询入口</w:t>
            </w:r>
          </w:p>
          <w:p w14:paraId="0E4D5D68">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数字教材出版后，为师生提供教材配套数字资源详情和使用数据查询的入口激活码。教材作者可查询教材配套资源基于平台的总的开课数量、过程数据等数据</w:t>
            </w:r>
          </w:p>
          <w:p w14:paraId="4015076C">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（十二）能够实现教材配套资源定价销售</w:t>
            </w:r>
          </w:p>
          <w:p w14:paraId="200742D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数字教材的配套资源可依据需求和具体情况，设置为定价销售。定价销售的教材需学生付费购买后使用。支持教师通过常通信工具（微信、QQ等）分享推荐学生学习使用。</w:t>
            </w:r>
          </w:p>
          <w:p w14:paraId="73899EB8">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（十三）教材资源制作及应用推广服务</w:t>
            </w:r>
          </w:p>
          <w:p w14:paraId="2A5E4C6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教材出版后，由成交供应商根据书稿最终审校完毕的定稿制作教材配套的课件（不少于200页），2套试卷（含选择题、判断题和简单题），1套课外延伸案例（每章或每项目至少2个最近三年内的相关案例），并交主编审核确认。</w:t>
            </w:r>
          </w:p>
          <w:p w14:paraId="72974D6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2.成交供应商须向全国推广应用教材，并收集教材使用反馈意见，及时反馈采购人，以便修订时优化。反馈意见需提供3年，每年1次反馈，每年调研数据不少于100份。</w:t>
            </w:r>
          </w:p>
          <w:p w14:paraId="5951034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成交供应商需全力支持教材的奖项申报工作，包括省（直辖市）级规划教材、国家级规划教材等奖项申报，申报次数不少于1次，积极提供教材相关佐证材料，包括教材发行数据、教材质量检查表、审校人员政审材料等，并协助主编邀请不少于1名学术专家（正高级职称）提供教材审核意见不少于1次。</w:t>
            </w:r>
          </w:p>
        </w:tc>
        <w:tc>
          <w:tcPr>
            <w:tcW w:w="962" w:type="dxa"/>
            <w:vAlign w:val="center"/>
          </w:tcPr>
          <w:p w14:paraId="31D0FCE3">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w:t>
            </w:r>
          </w:p>
        </w:tc>
        <w:tc>
          <w:tcPr>
            <w:tcW w:w="983" w:type="dxa"/>
            <w:vAlign w:val="center"/>
          </w:tcPr>
          <w:p w14:paraId="7A4386B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9.5</w:t>
            </w:r>
          </w:p>
        </w:tc>
      </w:tr>
      <w:tr w14:paraId="6400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24378C31">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5" w:type="dxa"/>
            <w:vAlign w:val="center"/>
          </w:tcPr>
          <w:p w14:paraId="0A04CC27">
            <w:pPr>
              <w:widowControl/>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非遗环幕视频与动画制作</w:t>
            </w:r>
          </w:p>
        </w:tc>
        <w:tc>
          <w:tcPr>
            <w:tcW w:w="750" w:type="dxa"/>
            <w:gridSpan w:val="2"/>
            <w:vAlign w:val="center"/>
          </w:tcPr>
          <w:p w14:paraId="3AE592BB">
            <w:pPr>
              <w:widowControl/>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w:t>
            </w:r>
          </w:p>
        </w:tc>
        <w:tc>
          <w:tcPr>
            <w:tcW w:w="4988" w:type="dxa"/>
            <w:vAlign w:val="center"/>
          </w:tcPr>
          <w:p w14:paraId="02B00F1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一、视频与动画内容要求  </w:t>
            </w:r>
          </w:p>
          <w:p w14:paraId="29A3866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（一）环幕视频制作需与现场的投射幕布相匹配，视频分辨率满足环幕展示清晰度。</w:t>
            </w:r>
          </w:p>
          <w:p w14:paraId="78C052D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（二）视频内容不少于3分钟，视频采用视频与后期制作的方式进行开展。视频内容顺畅，画面连续，不得有明显拼接痕迹。</w:t>
            </w:r>
          </w:p>
          <w:p w14:paraId="5639AF6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视频内容为介绍四个部分，第一部分缘起老友，关于老友历史和发展。第二部分，老友粉说，提升老友文化内涵。第三部分，解密老友，从食品加工，营养与功效角度，解析老友价值。第四部分，老友创新，关于老友饺子老友饼之类的老友文化创新产品的研发。</w:t>
            </w:r>
          </w:p>
          <w:p w14:paraId="6B2A138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（四）视频脚本由供应商编写和修改，修改次数不低于2次且直到采购方满意和进行审核确认后，由供应商开展拍摄制作。</w:t>
            </w:r>
          </w:p>
          <w:p w14:paraId="2A182B3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视频内部分采用二维动画表现，动画内容部分占比不少于总视频时长的1/5，且需无缝嵌入视频中，需分镜脚本与视频叙事逻辑衔接，重点表现“老友文化内涵”及“创新产品研发”章节，‌视频最终呈现内容依据实际制作效果。</w:t>
            </w:r>
          </w:p>
          <w:p w14:paraId="6BD9A00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（六）视频播放应顺畅，不掉帧，同时影片匹配专业的音效与配音，影片画面整体大气。</w:t>
            </w:r>
          </w:p>
          <w:p w14:paraId="6D1029F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（七）为保证视频最终呈现效果，采购方根据提供样片提出修改建议，但修改次数不得超过2次.</w:t>
            </w:r>
          </w:p>
          <w:p w14:paraId="62A88AD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（八）视频部分内容需要实拍，实拍场地，烹饪人员，食材需要采购方提供，供应商提供拍摄人员，以及专业器材进行拍摄。 </w:t>
            </w:r>
          </w:p>
          <w:p w14:paraId="080A36C3">
            <w:pPr>
              <w:spacing w:line="400" w:lineRule="exact"/>
              <w:rPr>
                <w:rFonts w:hint="eastAsia" w:ascii="宋体" w:hAnsi="宋体" w:eastAsia="宋体" w:cs="宋体"/>
                <w:color w:val="auto"/>
                <w:sz w:val="24"/>
                <w:szCs w:val="24"/>
                <w:highlight w:val="none"/>
              </w:rPr>
            </w:pPr>
          </w:p>
          <w:p w14:paraId="2E022A9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二、视频技术标准与要求</w:t>
            </w:r>
          </w:p>
          <w:p w14:paraId="419AEDB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（一）分辨率与格式  </w:t>
            </w:r>
          </w:p>
          <w:p w14:paraId="085DA5E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基础要求：  </w:t>
            </w:r>
          </w:p>
          <w:p w14:paraId="307DDB0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分辨率：3840×2160-4096×2160，帧率可选24/25/30/50/60fps，帧率按实际需求配置。  </w:t>
            </w:r>
          </w:p>
          <w:p w14:paraId="51EB10D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编码格式：  </w:t>
            </w:r>
          </w:p>
          <w:p w14:paraId="7AE00AC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H.265（HEVC）或 H.264（MP4），码率≥50Mbps。  </w:t>
            </w:r>
          </w:p>
          <w:p w14:paraId="538B09C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拍摄设备  </w:t>
            </w:r>
          </w:p>
          <w:p w14:paraId="2BB6BDA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摄影机：  </w:t>
            </w:r>
          </w:p>
          <w:p w14:paraId="1E0A6A0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需使用ARRI Alexa Mini LF 或 RED KOMODO 6K及以上机型，搭配全画幅电影镜头。  </w:t>
            </w:r>
          </w:p>
          <w:p w14:paraId="4AFF90F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动态范围：  </w:t>
            </w:r>
          </w:p>
          <w:p w14:paraId="35946AA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提供未调色原始素材及调色后成片。  </w:t>
            </w:r>
          </w:p>
          <w:p w14:paraId="16751A2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 影调与色彩  </w:t>
            </w:r>
          </w:p>
          <w:p w14:paraId="5211D4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主色调：琥珀色（高光）+ 墨绿色（阴影），食物镜头需强化“油润感”（环形灯补光+后期HDR增强）。  </w:t>
            </w:r>
          </w:p>
          <w:p w14:paraId="429959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质量控制：成片需无色彩断层、噪点可控，暗部细节清晰。</w:t>
            </w:r>
          </w:p>
          <w:p w14:paraId="367C1A1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（四）提供视频编辑的源文件，供采购方存档与后续修改。 </w:t>
            </w:r>
          </w:p>
          <w:p w14:paraId="29260356">
            <w:pPr>
              <w:spacing w:line="400" w:lineRule="exact"/>
              <w:rPr>
                <w:rFonts w:hint="eastAsia" w:ascii="宋体" w:hAnsi="宋体" w:eastAsia="宋体" w:cs="宋体"/>
                <w:color w:val="auto"/>
                <w:sz w:val="24"/>
                <w:szCs w:val="24"/>
                <w:highlight w:val="none"/>
              </w:rPr>
            </w:pPr>
          </w:p>
          <w:p w14:paraId="3A30FB7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三、音频技术标准  </w:t>
            </w:r>
          </w:p>
          <w:p w14:paraId="5B404D4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（一）录音设备：  </w:t>
            </w:r>
          </w:p>
          <w:p w14:paraId="7F476F2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同期声：枪麦+多轨录制（收录烹饪环境音）。  </w:t>
            </w:r>
          </w:p>
          <w:p w14:paraId="3108718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人声：无线麦克风（支持降噪与防风处理）。  </w:t>
            </w:r>
          </w:p>
          <w:p w14:paraId="3644CF8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（二）音频质量：  </w:t>
            </w:r>
          </w:p>
          <w:p w14:paraId="0DB8F07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采样率：48kHz（广播级）或96kHz（高保真），位深度24bit。  </w:t>
            </w:r>
          </w:p>
          <w:p w14:paraId="407F8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动态范围：人声峰值≤1dB，背景音乐≤8dB，不压盖人声。  </w:t>
            </w:r>
          </w:p>
          <w:p w14:paraId="2ED5E9B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（三）旁白要求：  </w:t>
            </w:r>
          </w:p>
          <w:p w14:paraId="2FCD272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男声配音（可带轻微方言腔调），音色需符合文旅类温暖亲切风格。  </w:t>
            </w:r>
          </w:p>
          <w:p w14:paraId="73FCE87A">
            <w:pPr>
              <w:spacing w:line="400" w:lineRule="exact"/>
              <w:rPr>
                <w:rFonts w:hint="eastAsia" w:ascii="宋体" w:hAnsi="宋体" w:eastAsia="宋体" w:cs="宋体"/>
                <w:color w:val="auto"/>
                <w:sz w:val="24"/>
                <w:szCs w:val="24"/>
                <w:highlight w:val="none"/>
              </w:rPr>
            </w:pPr>
          </w:p>
          <w:p w14:paraId="3A8A530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四、动画技术标准与要求</w:t>
            </w:r>
          </w:p>
          <w:p w14:paraId="0F41997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（一）分辨率与格式：动画序列帧或视频输出分辨率不低于3840×2160（4K），帧率与视频保持一致（24/25/30fps及以上），保障后期合成质量。  </w:t>
            </w:r>
          </w:p>
          <w:p w14:paraId="4E58474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（二）动画风格：二维矢量或手绘风格，需提供风格设定稿（角色、场景、道具），色彩系统需与视频主色调（琥珀色+墨绿色）协调。  </w:t>
            </w:r>
          </w:p>
          <w:p w14:paraId="4352835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（三）动画流畅度：动作流畅自然，关键帧与中间帧需符合动画12法则，无跳帧、闪烁等技术瑕疵。</w:t>
            </w:r>
          </w:p>
          <w:p w14:paraId="47E624B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（四）原画与分镜：提供完整分镜头脚本和动画动态预览，经采购方确认后进入制作。</w:t>
            </w:r>
          </w:p>
          <w:p w14:paraId="161F387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（五）音频同步：动画部分配音、音效需与视频音频标准一致。  </w:t>
            </w:r>
          </w:p>
          <w:p w14:paraId="1791241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（六）输出层级：需提供带透明通道的动画序列（含特效层），便于后期合成与调色。</w:t>
            </w:r>
          </w:p>
          <w:p w14:paraId="286DC0A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（七）色彩管理：动画部分需支持HDR调色，色彩深度不低于10bit，避免色彩断层。</w:t>
            </w:r>
          </w:p>
          <w:p w14:paraId="0476354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（八）提供动画工程文件（如AE、TVPaint、Toon Boom等），二维动画部分需提供矢量源文件（如AI/SVG），动态图形需标注运动曲线参数‌，供采购方存档与后续修改。 </w:t>
            </w:r>
          </w:p>
          <w:p w14:paraId="3FE962D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（九）面数控制‌：影视级动画模型面数≤20万（需提供LOD分级方案），场景道具模型需优化至实时渲染级别‌</w:t>
            </w:r>
          </w:p>
        </w:tc>
        <w:tc>
          <w:tcPr>
            <w:tcW w:w="962" w:type="dxa"/>
            <w:vAlign w:val="center"/>
          </w:tcPr>
          <w:p w14:paraId="5DAD2B4C">
            <w:pPr>
              <w:pStyle w:val="14"/>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w:t>
            </w:r>
          </w:p>
        </w:tc>
        <w:tc>
          <w:tcPr>
            <w:tcW w:w="983" w:type="dxa"/>
            <w:vAlign w:val="center"/>
          </w:tcPr>
          <w:p w14:paraId="2436E8DC">
            <w:pPr>
              <w:pStyle w:val="14"/>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w:t>
            </w:r>
          </w:p>
        </w:tc>
      </w:tr>
      <w:tr w14:paraId="64FEB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67" w:type="dxa"/>
            <w:gridSpan w:val="7"/>
            <w:tcBorders>
              <w:top w:val="single" w:color="auto" w:sz="4" w:space="0"/>
              <w:left w:val="single" w:color="auto" w:sz="4" w:space="0"/>
              <w:bottom w:val="single" w:color="auto" w:sz="4" w:space="0"/>
              <w:right w:val="single" w:color="auto" w:sz="4" w:space="0"/>
            </w:tcBorders>
          </w:tcPr>
          <w:p w14:paraId="0D68701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商务要求</w:t>
            </w:r>
          </w:p>
        </w:tc>
      </w:tr>
      <w:tr w14:paraId="7033C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178F802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713390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自成交通知书发出之日起25日内。</w:t>
            </w:r>
          </w:p>
        </w:tc>
      </w:tr>
      <w:tr w14:paraId="76F9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7BBEC2E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交付时间及地点</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7D6B0F1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1.交付时间：自签订合同之日起</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日内提交服务成果并验收完毕，满足使用条件。</w:t>
            </w:r>
          </w:p>
          <w:p w14:paraId="04D0A50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2.交付地点：广西区内采购人指定地点。</w:t>
            </w:r>
          </w:p>
        </w:tc>
      </w:tr>
      <w:tr w14:paraId="53E0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98C2D56">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付款方式</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2101AB6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%。验收通过</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0%。合同签订后十五个工作日内，采购人支付合同总金额的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%；中标人通过验收后十五个工作日内即支付合同总金额的</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%每次付款前，成交供应商需提供请款函及该支付金额的合法有效发票。</w:t>
            </w:r>
          </w:p>
        </w:tc>
      </w:tr>
      <w:tr w14:paraId="7F552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89AF87D">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3E051A4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1.所有的</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建设均按采购人要求进行，服务成果须按采购人要求修改完善，直至采购人验收合格。</w:t>
            </w:r>
          </w:p>
          <w:p w14:paraId="3B1BEF0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2.质保期2年，质保期内成交供应商免费按采购人要求调整或修改。</w:t>
            </w:r>
          </w:p>
          <w:p w14:paraId="7ACB0A7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3.质保期内供应商免费负责为采购人提供以下技术支持和服务：</w:t>
            </w:r>
          </w:p>
          <w:p w14:paraId="34F1028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（1）提供上门服务或远程技术服务。成交供应商为采购人提供技术援助以电话、QQ、Email、微信等，解答采购人在使用中遇到的问题，提供7天×12小时服务，及时为采购人提出解决问题的建议。</w:t>
            </w:r>
          </w:p>
          <w:p w14:paraId="463EAA4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（2）现场响应：采购人遇到使用及技术问题，电话咨询不能解决的，成交供应商须在2小时内到达现场进行处理，4小时内解决问题，确保正常运行。</w:t>
            </w:r>
          </w:p>
          <w:p w14:paraId="69D7215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4.质保期外供应商须持续免费为采购人提供远程线上咨询服务，或以成本价为采购人提供后续升级或其他技术支撑服务。</w:t>
            </w:r>
          </w:p>
        </w:tc>
      </w:tr>
      <w:tr w14:paraId="0FDE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7E38F1B8">
            <w:pPr>
              <w:pStyle w:val="4"/>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061AB0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1.要求履约过程中所有服务行为、软件、成果文件等均不涉及任何法律纠纷。</w:t>
            </w:r>
          </w:p>
          <w:p w14:paraId="242C870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时由采购人或邀请有资质的第三方机构对照采购文件的技术指标全面核对检验，如不符合采购文件的技术需求或提供虚假承诺的，采购人有权拒绝验收，成交供应商承担所有责任和费用，采购人有权解除合同并保留进一步追究责任的权利。</w:t>
            </w:r>
          </w:p>
          <w:p w14:paraId="5FEB483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3.本项目须严格执行国家、地方及行业相关验收标准及规范。</w:t>
            </w:r>
          </w:p>
          <w:p w14:paraId="0599DF8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4.验收过程中所产生的一切费用均由成交供应商承担，报价时应考虑相关费用。</w:t>
            </w:r>
          </w:p>
        </w:tc>
      </w:tr>
      <w:tr w14:paraId="05855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339A80F7">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报价要求</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4BE76D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成交金额为完成项目所有服务所需的费用，包括但不限于劳务费、软硬件设备、机具材料费、交通费等、数据处理、成果文件编制出版、质量检查、培训等各种费用和售后服务、税金及其它所有成本费用的总和。合同履约期间采购人不再支付其他费用。</w:t>
            </w:r>
          </w:p>
        </w:tc>
      </w:tr>
      <w:tr w14:paraId="0A39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7691F21">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履约保证金的收取与退付</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35E58B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tc>
      </w:tr>
      <w:tr w14:paraId="1FB3E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bottom w:val="single" w:color="auto" w:sz="4" w:space="0"/>
              <w:right w:val="single" w:color="auto" w:sz="4" w:space="0"/>
            </w:tcBorders>
            <w:vAlign w:val="center"/>
          </w:tcPr>
          <w:p w14:paraId="273D98C7">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其他要求</w:t>
            </w:r>
          </w:p>
        </w:tc>
        <w:tc>
          <w:tcPr>
            <w:tcW w:w="7085" w:type="dxa"/>
            <w:gridSpan w:val="4"/>
            <w:tcBorders>
              <w:top w:val="single" w:color="auto" w:sz="4" w:space="0"/>
              <w:left w:val="single" w:color="auto" w:sz="4" w:space="0"/>
              <w:bottom w:val="single" w:color="auto" w:sz="4" w:space="0"/>
            </w:tcBorders>
            <w:vAlign w:val="center"/>
          </w:tcPr>
          <w:p w14:paraId="0E27032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必须经采购人确认后方可进行开发和制作，并根据采购人意见进行完善，否则由此造成的损失由成交供应商自行承担。</w:t>
            </w:r>
          </w:p>
          <w:p w14:paraId="7540136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2.成交供应商须为本项目服务实施投入充足的服务人员和硬件设备，并确保竞标文件中的人员信息真实、有效。响应文件承诺的人员、设备必须如实投入到项目实施中，未经采购人同意不允许更换。</w:t>
            </w:r>
          </w:p>
          <w:p w14:paraId="5524F1D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3.服务成果知识产权归采购人所有，未经采购人允许，不得使用或以其它方式给任何第三方提供本项目的相关信息或数据或服务成果文件。</w:t>
            </w:r>
          </w:p>
          <w:p w14:paraId="32DB2540">
            <w:pPr>
              <w:pStyle w:val="15"/>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4.采购人使用成交供应商提供的产品及服务时免受第三方提出的侵犯其专利权或其它知识产权的起诉。如果第三方提出侵权指控，成交供应商应承担由此而引起的一切法律责任和费用。</w:t>
            </w:r>
          </w:p>
        </w:tc>
      </w:tr>
    </w:tbl>
    <w:p w14:paraId="77648E4F">
      <w:pPr>
        <w:spacing w:line="360" w:lineRule="auto"/>
        <w:ind w:right="2" w:rightChars="1"/>
        <w:outlineLvl w:val="0"/>
        <w:rPr>
          <w:rFonts w:hint="default" w:ascii="宋体" w:hAnsi="宋体" w:eastAsia="宋体" w:cs="宋体"/>
          <w:color w:val="auto"/>
          <w:sz w:val="24"/>
          <w:highlight w:val="none"/>
          <w:u w:val="none"/>
          <w:lang w:val="en-US" w:eastAsia="zh-CN"/>
        </w:rPr>
      </w:pPr>
      <w:r>
        <w:rPr>
          <w:rFonts w:hint="eastAsia" w:hAnsi="宋体" w:cs="宋体"/>
          <w:bCs/>
          <w:color w:val="auto"/>
          <w:sz w:val="24"/>
          <w:highlight w:val="none"/>
          <w:u w:val="single"/>
        </w:rPr>
        <w:br w:type="page"/>
      </w:r>
      <w:r>
        <w:rPr>
          <w:rFonts w:hint="eastAsia" w:ascii="宋体" w:hAnsi="宋体" w:cs="宋体"/>
          <w:b/>
          <w:bCs/>
          <w:color w:val="auto"/>
          <w:sz w:val="28"/>
          <w:szCs w:val="28"/>
          <w:highlight w:val="none"/>
          <w:u w:val="none"/>
          <w:lang w:val="en-US" w:eastAsia="zh-CN"/>
        </w:rPr>
        <w:t>2分标：</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925"/>
        <w:gridCol w:w="525"/>
        <w:gridCol w:w="73"/>
        <w:gridCol w:w="5140"/>
        <w:gridCol w:w="962"/>
        <w:gridCol w:w="983"/>
      </w:tblGrid>
      <w:tr w14:paraId="4071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342C2AB5">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25" w:type="dxa"/>
            <w:vAlign w:val="center"/>
          </w:tcPr>
          <w:p w14:paraId="700D11D6">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服务</w:t>
            </w:r>
          </w:p>
          <w:p w14:paraId="14C6563D">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525" w:type="dxa"/>
            <w:vAlign w:val="center"/>
          </w:tcPr>
          <w:p w14:paraId="7D9848EF">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数量及单位</w:t>
            </w:r>
          </w:p>
        </w:tc>
        <w:tc>
          <w:tcPr>
            <w:tcW w:w="5213" w:type="dxa"/>
            <w:gridSpan w:val="2"/>
            <w:vAlign w:val="center"/>
          </w:tcPr>
          <w:p w14:paraId="16F99251">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服务要求</w:t>
            </w:r>
          </w:p>
        </w:tc>
        <w:tc>
          <w:tcPr>
            <w:tcW w:w="962" w:type="dxa"/>
            <w:vAlign w:val="center"/>
          </w:tcPr>
          <w:p w14:paraId="723A494E">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预算单价（万元</w:t>
            </w:r>
            <w:r>
              <w:rPr>
                <w:rFonts w:ascii="宋体" w:hAnsi="宋体" w:cs="宋体"/>
                <w:b/>
                <w:color w:val="auto"/>
                <w:sz w:val="24"/>
                <w:szCs w:val="24"/>
                <w:highlight w:val="none"/>
              </w:rPr>
              <w:t>/人民币</w:t>
            </w:r>
            <w:r>
              <w:rPr>
                <w:rFonts w:hint="eastAsia" w:ascii="宋体" w:hAnsi="宋体" w:cs="宋体"/>
                <w:b/>
                <w:color w:val="auto"/>
                <w:sz w:val="24"/>
                <w:szCs w:val="24"/>
                <w:highlight w:val="none"/>
              </w:rPr>
              <w:t>）</w:t>
            </w:r>
          </w:p>
        </w:tc>
        <w:tc>
          <w:tcPr>
            <w:tcW w:w="983" w:type="dxa"/>
          </w:tcPr>
          <w:p w14:paraId="7A766076">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单项预算合计（万元</w:t>
            </w:r>
            <w:r>
              <w:rPr>
                <w:rFonts w:ascii="宋体" w:hAnsi="宋体" w:cs="宋体"/>
                <w:b/>
                <w:color w:val="auto"/>
                <w:sz w:val="24"/>
                <w:szCs w:val="24"/>
                <w:highlight w:val="none"/>
              </w:rPr>
              <w:t>/</w:t>
            </w:r>
            <w:r>
              <w:rPr>
                <w:rFonts w:hint="eastAsia" w:ascii="宋体" w:hAnsi="宋体" w:cs="宋体"/>
                <w:b/>
                <w:color w:val="auto"/>
                <w:sz w:val="24"/>
                <w:szCs w:val="24"/>
                <w:highlight w:val="none"/>
              </w:rPr>
              <w:t>人民币）</w:t>
            </w:r>
          </w:p>
        </w:tc>
      </w:tr>
      <w:tr w14:paraId="3855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59" w:type="dxa"/>
            <w:vMerge w:val="restart"/>
            <w:vAlign w:val="center"/>
          </w:tcPr>
          <w:p w14:paraId="3D1AEBA7">
            <w:pPr>
              <w:tabs>
                <w:tab w:val="left" w:pos="180"/>
                <w:tab w:val="left" w:pos="162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25" w:type="dxa"/>
            <w:vMerge w:val="restart"/>
            <w:vAlign w:val="center"/>
          </w:tcPr>
          <w:p w14:paraId="3169C2A1">
            <w:pPr>
              <w:widowControl/>
              <w:snapToGri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虚拟仿真综合管理实训和展示平台</w:t>
            </w:r>
          </w:p>
        </w:tc>
        <w:tc>
          <w:tcPr>
            <w:tcW w:w="525" w:type="dxa"/>
            <w:vMerge w:val="restart"/>
            <w:vAlign w:val="center"/>
          </w:tcPr>
          <w:p w14:paraId="593784BB">
            <w:pPr>
              <w:widowControl/>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1套</w:t>
            </w:r>
          </w:p>
        </w:tc>
        <w:tc>
          <w:tcPr>
            <w:tcW w:w="5213" w:type="dxa"/>
            <w:gridSpan w:val="2"/>
            <w:vAlign w:val="center"/>
          </w:tcPr>
          <w:p w14:paraId="21DEDE64">
            <w:pPr>
              <w:spacing w:line="400" w:lineRule="exact"/>
              <w:rPr>
                <w:rFonts w:hint="eastAsia"/>
                <w:b w:val="0"/>
                <w:bCs w:val="0"/>
                <w:color w:val="auto"/>
                <w:sz w:val="24"/>
                <w:szCs w:val="24"/>
                <w:highlight w:val="none"/>
              </w:rPr>
            </w:pPr>
            <w:r>
              <w:rPr>
                <w:rFonts w:hint="eastAsia"/>
                <w:b w:val="0"/>
                <w:bCs w:val="0"/>
                <w:color w:val="auto"/>
                <w:sz w:val="24"/>
                <w:szCs w:val="24"/>
                <w:highlight w:val="none"/>
              </w:rPr>
              <w:t>一、数字孪生虚拟仿真实训基地交互展示系统：</w:t>
            </w:r>
          </w:p>
          <w:p w14:paraId="289824DB">
            <w:pPr>
              <w:spacing w:line="400" w:lineRule="exact"/>
              <w:rPr>
                <w:rFonts w:hint="eastAsia"/>
                <w:b w:val="0"/>
                <w:bCs w:val="0"/>
                <w:color w:val="auto"/>
                <w:sz w:val="24"/>
                <w:szCs w:val="24"/>
                <w:highlight w:val="none"/>
              </w:rPr>
            </w:pPr>
            <w:r>
              <w:rPr>
                <w:rFonts w:hint="eastAsia"/>
                <w:b w:val="0"/>
                <w:bCs w:val="0"/>
                <w:color w:val="auto"/>
                <w:sz w:val="24"/>
                <w:szCs w:val="24"/>
                <w:highlight w:val="none"/>
              </w:rPr>
              <w:t>（一）教学交互展示</w:t>
            </w:r>
          </w:p>
          <w:p w14:paraId="36B4A6E3">
            <w:pPr>
              <w:spacing w:line="400" w:lineRule="exact"/>
              <w:rPr>
                <w:rFonts w:hint="eastAsia"/>
                <w:b w:val="0"/>
                <w:bCs w:val="0"/>
                <w:color w:val="auto"/>
                <w:sz w:val="24"/>
                <w:szCs w:val="24"/>
                <w:highlight w:val="none"/>
              </w:rPr>
            </w:pPr>
            <w:r>
              <w:rPr>
                <w:rFonts w:hint="eastAsia"/>
                <w:b w:val="0"/>
                <w:bCs w:val="0"/>
                <w:color w:val="auto"/>
                <w:sz w:val="24"/>
                <w:szCs w:val="24"/>
                <w:highlight w:val="none"/>
              </w:rPr>
              <w:t>本部分为定制AI教学交互展示功能的描述，基于可视化信息门户，通过自定义UI定制，展现学校特色。通过后台管理系统，管理员可配置栏目、发布内容，并构建多级组织架构，实现用户、资源的动态关联。系统支持多角色登录（如管理员、教师、学生），不同角色享有差异化功能界面。教师可管理课程、批改报告、发布成绩，学生则可参与实训项目、查看开放资源及个人学情数据。</w:t>
            </w:r>
          </w:p>
          <w:p w14:paraId="2F91BCF1">
            <w:pPr>
              <w:spacing w:line="400" w:lineRule="exact"/>
              <w:rPr>
                <w:rFonts w:hint="eastAsia"/>
                <w:b w:val="0"/>
                <w:bCs w:val="0"/>
                <w:color w:val="auto"/>
                <w:sz w:val="24"/>
                <w:szCs w:val="24"/>
                <w:highlight w:val="none"/>
              </w:rPr>
            </w:pPr>
            <w:r>
              <w:rPr>
                <w:rFonts w:hint="eastAsia"/>
                <w:b w:val="0"/>
                <w:bCs w:val="0"/>
                <w:color w:val="auto"/>
                <w:sz w:val="24"/>
                <w:szCs w:val="24"/>
                <w:highlight w:val="none"/>
              </w:rPr>
              <w:t>核心功能涵盖全流程教学管理，包括课程开设、虚拟仿真资源维护、成绩导入与统计分析。平台内置智能学情评估，通过多维数据（如成绩分段、错误率排行、学习时长）生成学生画像，并支持班级、专业层面的可视化对比。教师还能利用AI数字人克隆技术，上传照片与语音生成高度拟真的虚拟形象（相似度≥90%），结合多模型对话（集成豆包AI、Deepseek等大模型），为学生提供智能答疑、案例润色等辅助功能，显著提升课堂互动性。</w:t>
            </w:r>
          </w:p>
          <w:p w14:paraId="3DDA8430">
            <w:pPr>
              <w:spacing w:line="400" w:lineRule="exact"/>
              <w:rPr>
                <w:rFonts w:hint="eastAsia"/>
                <w:b w:val="0"/>
                <w:bCs w:val="0"/>
                <w:color w:val="auto"/>
                <w:sz w:val="24"/>
                <w:szCs w:val="24"/>
                <w:highlight w:val="none"/>
              </w:rPr>
            </w:pPr>
            <w:r>
              <w:rPr>
                <w:rFonts w:hint="eastAsia"/>
                <w:b w:val="0"/>
                <w:bCs w:val="0"/>
                <w:color w:val="auto"/>
                <w:sz w:val="24"/>
                <w:szCs w:val="24"/>
                <w:highlight w:val="none"/>
              </w:rPr>
              <w:t>1.提供信息共享展示门户，界面满足学校特色需求，采用可视化形式展示，布局合理，整体风格、布局及内容，可结合学校的特色、建设需求进行UI及页面设计。</w:t>
            </w:r>
          </w:p>
          <w:p w14:paraId="7E5DE1B5">
            <w:pPr>
              <w:spacing w:line="400" w:lineRule="exact"/>
              <w:rPr>
                <w:rFonts w:hint="eastAsia"/>
                <w:b w:val="0"/>
                <w:bCs w:val="0"/>
                <w:color w:val="auto"/>
                <w:sz w:val="24"/>
                <w:szCs w:val="24"/>
                <w:highlight w:val="none"/>
              </w:rPr>
            </w:pPr>
            <w:r>
              <w:rPr>
                <w:rFonts w:hint="eastAsia"/>
                <w:b w:val="0"/>
                <w:bCs w:val="0"/>
                <w:color w:val="auto"/>
                <w:sz w:val="24"/>
                <w:szCs w:val="24"/>
                <w:highlight w:val="none"/>
              </w:rPr>
              <w:t>2.栏目及网站内容可通过后台设置，自定义信息栏目和内容发布。</w:t>
            </w:r>
          </w:p>
          <w:p w14:paraId="752B9376">
            <w:pPr>
              <w:spacing w:line="400" w:lineRule="exact"/>
              <w:rPr>
                <w:rFonts w:hint="eastAsia"/>
                <w:b w:val="0"/>
                <w:bCs w:val="0"/>
                <w:color w:val="auto"/>
                <w:sz w:val="24"/>
                <w:szCs w:val="24"/>
                <w:highlight w:val="none"/>
              </w:rPr>
            </w:pPr>
            <w:r>
              <w:rPr>
                <w:rFonts w:hint="eastAsia"/>
                <w:b w:val="0"/>
                <w:bCs w:val="0"/>
                <w:color w:val="auto"/>
                <w:sz w:val="24"/>
                <w:szCs w:val="24"/>
                <w:highlight w:val="none"/>
              </w:rPr>
              <w:t>3.用户可以通过门户开放的入口登录进入各自角色的实训环境。根据用户级别不同， 登录之后显示不同的功能界面。</w:t>
            </w:r>
          </w:p>
          <w:p w14:paraId="5EF1192F">
            <w:pPr>
              <w:spacing w:line="400" w:lineRule="exact"/>
              <w:rPr>
                <w:rFonts w:hint="eastAsia"/>
                <w:b w:val="0"/>
                <w:bCs w:val="0"/>
                <w:color w:val="auto"/>
                <w:sz w:val="24"/>
                <w:szCs w:val="24"/>
                <w:highlight w:val="none"/>
              </w:rPr>
            </w:pPr>
            <w:r>
              <w:rPr>
                <w:rFonts w:hint="eastAsia"/>
                <w:b w:val="0"/>
                <w:bCs w:val="0"/>
                <w:color w:val="auto"/>
                <w:sz w:val="24"/>
                <w:szCs w:val="24"/>
                <w:highlight w:val="none"/>
              </w:rPr>
              <w:t>4.</w:t>
            </w:r>
            <w:r>
              <w:rPr>
                <w:rFonts w:hint="eastAsia"/>
                <w:b w:val="0"/>
                <w:bCs w:val="0"/>
                <w:color w:val="auto"/>
                <w:sz w:val="24"/>
                <w:szCs w:val="24"/>
                <w:highlight w:val="none"/>
                <w:lang w:eastAsia="zh-CN"/>
              </w:rPr>
              <w:t>登录</w:t>
            </w:r>
            <w:r>
              <w:rPr>
                <w:rFonts w:hint="eastAsia"/>
                <w:b w:val="0"/>
                <w:bCs w:val="0"/>
                <w:color w:val="auto"/>
                <w:sz w:val="24"/>
                <w:szCs w:val="24"/>
                <w:highlight w:val="none"/>
              </w:rPr>
              <w:t>实训门户之后，管理者用户可以进行门户的相关管理和配置，进入基础管理、系统管理模块功能，可以查看整个实训平台的整体情况，可视化展示。</w:t>
            </w:r>
          </w:p>
          <w:p w14:paraId="11C3F940">
            <w:pPr>
              <w:spacing w:line="400" w:lineRule="exact"/>
              <w:rPr>
                <w:rFonts w:hint="eastAsia"/>
                <w:b w:val="0"/>
                <w:bCs w:val="0"/>
                <w:color w:val="auto"/>
                <w:sz w:val="24"/>
                <w:szCs w:val="24"/>
                <w:highlight w:val="none"/>
              </w:rPr>
            </w:pPr>
            <w:r>
              <w:rPr>
                <w:rFonts w:hint="eastAsia"/>
                <w:b w:val="0"/>
                <w:bCs w:val="0"/>
                <w:color w:val="auto"/>
                <w:sz w:val="24"/>
                <w:szCs w:val="24"/>
                <w:highlight w:val="none"/>
              </w:rPr>
              <w:t>5.</w:t>
            </w:r>
            <w:r>
              <w:rPr>
                <w:rFonts w:hint="eastAsia"/>
                <w:b w:val="0"/>
                <w:bCs w:val="0"/>
                <w:color w:val="auto"/>
                <w:sz w:val="24"/>
                <w:szCs w:val="24"/>
                <w:highlight w:val="none"/>
                <w:lang w:eastAsia="zh-CN"/>
              </w:rPr>
              <w:t>登录</w:t>
            </w:r>
            <w:r>
              <w:rPr>
                <w:rFonts w:hint="eastAsia"/>
                <w:b w:val="0"/>
                <w:bCs w:val="0"/>
                <w:color w:val="auto"/>
                <w:sz w:val="24"/>
                <w:szCs w:val="24"/>
                <w:highlight w:val="none"/>
              </w:rPr>
              <w:t>实训门户之后，学生用户可以查看所属的实训课程和公开的实训课程，可以查看具有开放权限的实训资源。</w:t>
            </w:r>
          </w:p>
          <w:p w14:paraId="4E426112">
            <w:pPr>
              <w:spacing w:line="400" w:lineRule="exact"/>
              <w:rPr>
                <w:rFonts w:hint="eastAsia"/>
                <w:b w:val="0"/>
                <w:bCs w:val="0"/>
                <w:color w:val="auto"/>
                <w:sz w:val="24"/>
                <w:szCs w:val="24"/>
                <w:highlight w:val="none"/>
              </w:rPr>
            </w:pPr>
            <w:r>
              <w:rPr>
                <w:rFonts w:hint="eastAsia"/>
                <w:b w:val="0"/>
                <w:bCs w:val="0"/>
                <w:color w:val="auto"/>
                <w:sz w:val="24"/>
                <w:szCs w:val="24"/>
                <w:highlight w:val="none"/>
              </w:rPr>
              <w:t>6.实训门户系统的功能要包含通知公告、登录入口、实训项目推荐、课程管理、数据展示与分析等主要模块。</w:t>
            </w:r>
          </w:p>
          <w:p w14:paraId="44AC86DD">
            <w:pPr>
              <w:spacing w:line="400" w:lineRule="exact"/>
              <w:rPr>
                <w:rFonts w:hint="eastAsia"/>
                <w:b w:val="0"/>
                <w:bCs w:val="0"/>
                <w:color w:val="auto"/>
                <w:sz w:val="24"/>
                <w:szCs w:val="24"/>
                <w:highlight w:val="none"/>
              </w:rPr>
            </w:pPr>
            <w:r>
              <w:rPr>
                <w:rFonts w:hint="eastAsia"/>
                <w:b w:val="0"/>
                <w:bCs w:val="0"/>
                <w:color w:val="auto"/>
                <w:sz w:val="24"/>
                <w:szCs w:val="24"/>
                <w:highlight w:val="none"/>
              </w:rPr>
              <w:t>7.支持自定义组织架构，支持定义多级组织架构，组织构架可与用户数据、资源数据形成关联与联动。</w:t>
            </w:r>
          </w:p>
          <w:p w14:paraId="3984AC97">
            <w:pPr>
              <w:spacing w:line="400" w:lineRule="exact"/>
              <w:rPr>
                <w:rFonts w:hint="eastAsia"/>
                <w:b w:val="0"/>
                <w:bCs w:val="0"/>
                <w:color w:val="auto"/>
                <w:sz w:val="24"/>
                <w:szCs w:val="24"/>
                <w:highlight w:val="none"/>
              </w:rPr>
            </w:pPr>
            <w:r>
              <w:rPr>
                <w:rFonts w:hint="eastAsia"/>
                <w:b w:val="0"/>
                <w:bCs w:val="0"/>
                <w:color w:val="auto"/>
                <w:sz w:val="24"/>
                <w:szCs w:val="24"/>
                <w:highlight w:val="none"/>
              </w:rPr>
              <w:t>8.基础信息可以通过系统导入，也可以通过手工维护或文件批量导入。</w:t>
            </w:r>
          </w:p>
          <w:p w14:paraId="148CBC3B">
            <w:pPr>
              <w:spacing w:line="400" w:lineRule="exact"/>
              <w:rPr>
                <w:rFonts w:hint="eastAsia"/>
                <w:b w:val="0"/>
                <w:bCs w:val="0"/>
                <w:color w:val="auto"/>
                <w:sz w:val="24"/>
                <w:szCs w:val="24"/>
                <w:highlight w:val="none"/>
              </w:rPr>
            </w:pPr>
            <w:r>
              <w:rPr>
                <w:rFonts w:hint="eastAsia"/>
                <w:b w:val="0"/>
                <w:bCs w:val="0"/>
                <w:color w:val="auto"/>
                <w:sz w:val="24"/>
                <w:szCs w:val="24"/>
                <w:highlight w:val="none"/>
              </w:rPr>
              <w:t>9.提供系统管理功能，包括功能管理、角色管理、角色权限管理、用户管理、日志管理。</w:t>
            </w:r>
          </w:p>
          <w:p w14:paraId="560C6335">
            <w:pPr>
              <w:spacing w:line="400" w:lineRule="exact"/>
              <w:rPr>
                <w:rFonts w:hint="eastAsia"/>
                <w:b w:val="0"/>
                <w:bCs w:val="0"/>
                <w:color w:val="auto"/>
                <w:sz w:val="24"/>
                <w:szCs w:val="24"/>
                <w:highlight w:val="none"/>
              </w:rPr>
            </w:pPr>
            <w:r>
              <w:rPr>
                <w:rFonts w:hint="eastAsia"/>
                <w:b w:val="0"/>
                <w:bCs w:val="0"/>
                <w:color w:val="auto"/>
                <w:sz w:val="24"/>
                <w:szCs w:val="24"/>
                <w:highlight w:val="none"/>
              </w:rPr>
              <w:t>10.人员角色可自定义，系统默认有系统管理员、系部管理员、教师，学生用户角色，配置不同的功能权限、使用界面、使用模块。层级应包括管理员、二级学院、教学督导、教师、学生等。</w:t>
            </w:r>
          </w:p>
          <w:p w14:paraId="57596AEF">
            <w:pPr>
              <w:spacing w:line="400" w:lineRule="exact"/>
              <w:rPr>
                <w:rFonts w:hint="eastAsia"/>
                <w:b w:val="0"/>
                <w:bCs w:val="0"/>
                <w:color w:val="auto"/>
                <w:sz w:val="24"/>
                <w:szCs w:val="24"/>
                <w:highlight w:val="none"/>
              </w:rPr>
            </w:pPr>
            <w:r>
              <w:rPr>
                <w:rFonts w:hint="eastAsia"/>
                <w:b w:val="0"/>
                <w:bCs w:val="0"/>
                <w:color w:val="auto"/>
                <w:sz w:val="24"/>
                <w:szCs w:val="24"/>
                <w:highlight w:val="none"/>
              </w:rPr>
              <w:t>11.支持角色管理和权限管理，可添加教工、学生账户，提供对用户数据的禁用、启用基本功能。</w:t>
            </w:r>
          </w:p>
          <w:p w14:paraId="72441A31">
            <w:pPr>
              <w:spacing w:line="400" w:lineRule="exact"/>
              <w:rPr>
                <w:rFonts w:hint="eastAsia"/>
                <w:b w:val="0"/>
                <w:bCs w:val="0"/>
                <w:color w:val="auto"/>
                <w:sz w:val="24"/>
                <w:szCs w:val="24"/>
                <w:highlight w:val="none"/>
              </w:rPr>
            </w:pPr>
            <w:r>
              <w:rPr>
                <w:rFonts w:hint="eastAsia"/>
                <w:b w:val="0"/>
                <w:bCs w:val="0"/>
                <w:color w:val="auto"/>
                <w:sz w:val="24"/>
                <w:szCs w:val="24"/>
                <w:highlight w:val="none"/>
              </w:rPr>
              <w:t>12.课程开课管理，针对全日制学生可以通过可视化形式进行对自己所学专业的内容进行内容学习。</w:t>
            </w:r>
          </w:p>
          <w:p w14:paraId="5C2E783B">
            <w:pPr>
              <w:spacing w:line="400" w:lineRule="exact"/>
              <w:rPr>
                <w:rFonts w:hint="eastAsia"/>
                <w:b w:val="0"/>
                <w:bCs w:val="0"/>
                <w:color w:val="auto"/>
                <w:sz w:val="24"/>
                <w:szCs w:val="24"/>
                <w:highlight w:val="none"/>
              </w:rPr>
            </w:pPr>
            <w:r>
              <w:rPr>
                <w:rFonts w:hint="eastAsia"/>
                <w:b w:val="0"/>
                <w:bCs w:val="0"/>
                <w:color w:val="auto"/>
                <w:sz w:val="24"/>
                <w:szCs w:val="24"/>
                <w:highlight w:val="none"/>
              </w:rPr>
              <w:t>13.支持虚拟仿真教学资源维护与管理，支持实训资源管理，包括对包含实训信息、资源简介等内容信息的维护。</w:t>
            </w:r>
          </w:p>
          <w:p w14:paraId="5DA187E3">
            <w:pPr>
              <w:spacing w:line="400" w:lineRule="exact"/>
              <w:rPr>
                <w:rFonts w:hint="eastAsia"/>
                <w:b w:val="0"/>
                <w:bCs w:val="0"/>
                <w:color w:val="auto"/>
                <w:sz w:val="24"/>
                <w:szCs w:val="24"/>
                <w:highlight w:val="none"/>
              </w:rPr>
            </w:pPr>
            <w:r>
              <w:rPr>
                <w:rFonts w:hint="eastAsia"/>
                <w:b w:val="0"/>
                <w:bCs w:val="0"/>
                <w:color w:val="auto"/>
                <w:sz w:val="24"/>
                <w:szCs w:val="24"/>
                <w:highlight w:val="none"/>
              </w:rPr>
              <w:t>14.支持上传、导入实训课程的成绩信息，支持调整和维护实训课程成绩信息。</w:t>
            </w:r>
          </w:p>
          <w:p w14:paraId="4B0B28C5">
            <w:pPr>
              <w:spacing w:line="400" w:lineRule="exact"/>
              <w:rPr>
                <w:rFonts w:hint="eastAsia"/>
                <w:b w:val="0"/>
                <w:bCs w:val="0"/>
                <w:color w:val="auto"/>
                <w:sz w:val="24"/>
                <w:szCs w:val="24"/>
                <w:highlight w:val="none"/>
              </w:rPr>
            </w:pPr>
            <w:r>
              <w:rPr>
                <w:rFonts w:hint="eastAsia"/>
                <w:b w:val="0"/>
                <w:bCs w:val="0"/>
                <w:color w:val="auto"/>
                <w:sz w:val="24"/>
                <w:szCs w:val="24"/>
                <w:highlight w:val="none"/>
              </w:rPr>
              <w:t>15.提供实训成绩统计结果的查询功能:可以以实训为单位统计班级成绩情况。教师发布成绩后，学生可查看成绩。实训成绩可按单个实训项目导出，也可选择多个实训导出</w:t>
            </w:r>
          </w:p>
          <w:p w14:paraId="6CF41829">
            <w:pPr>
              <w:spacing w:line="400" w:lineRule="exact"/>
              <w:rPr>
                <w:rFonts w:hint="eastAsia"/>
                <w:b w:val="0"/>
                <w:bCs w:val="0"/>
                <w:color w:val="auto"/>
                <w:sz w:val="24"/>
                <w:szCs w:val="24"/>
                <w:highlight w:val="none"/>
              </w:rPr>
            </w:pPr>
            <w:r>
              <w:rPr>
                <w:rFonts w:hint="eastAsia"/>
                <w:b w:val="0"/>
                <w:bCs w:val="0"/>
                <w:color w:val="auto"/>
                <w:sz w:val="24"/>
                <w:szCs w:val="24"/>
                <w:highlight w:val="none"/>
              </w:rPr>
              <w:t>16.支持以项目为单位开展理论学习、实训操作、报告提交、问答讨论、项目评价教学管理。</w:t>
            </w:r>
          </w:p>
          <w:p w14:paraId="7F7C2E5C">
            <w:pPr>
              <w:spacing w:line="400" w:lineRule="exact"/>
              <w:rPr>
                <w:rFonts w:hint="eastAsia"/>
                <w:b w:val="0"/>
                <w:bCs w:val="0"/>
                <w:color w:val="auto"/>
                <w:sz w:val="24"/>
                <w:szCs w:val="24"/>
                <w:highlight w:val="none"/>
              </w:rPr>
            </w:pPr>
            <w:r>
              <w:rPr>
                <w:rFonts w:hint="eastAsia"/>
                <w:b w:val="0"/>
                <w:bCs w:val="0"/>
                <w:color w:val="auto"/>
                <w:sz w:val="24"/>
                <w:szCs w:val="24"/>
                <w:highlight w:val="none"/>
              </w:rPr>
              <w:t>17.支持教师在线批改报告、成绩评定、报告导出、项目成绩、课程成绩导出。</w:t>
            </w:r>
          </w:p>
          <w:p w14:paraId="4674CA97">
            <w:pPr>
              <w:spacing w:line="400" w:lineRule="exact"/>
              <w:rPr>
                <w:rFonts w:hint="eastAsia"/>
                <w:b w:val="0"/>
                <w:bCs w:val="0"/>
                <w:color w:val="auto"/>
                <w:sz w:val="24"/>
                <w:szCs w:val="24"/>
                <w:highlight w:val="none"/>
              </w:rPr>
            </w:pPr>
            <w:r>
              <w:rPr>
                <w:rFonts w:hint="eastAsia"/>
                <w:b w:val="0"/>
                <w:bCs w:val="0"/>
                <w:color w:val="auto"/>
                <w:sz w:val="24"/>
                <w:szCs w:val="24"/>
                <w:highlight w:val="none"/>
              </w:rPr>
              <w:t>18.提供问答讨论功能，用户发起讨论主题，其他人员可回复。</w:t>
            </w:r>
          </w:p>
          <w:p w14:paraId="48A1DB63">
            <w:pPr>
              <w:spacing w:line="400" w:lineRule="exact"/>
              <w:rPr>
                <w:rFonts w:hint="eastAsia"/>
                <w:b w:val="0"/>
                <w:bCs w:val="0"/>
                <w:color w:val="auto"/>
                <w:sz w:val="24"/>
                <w:szCs w:val="24"/>
                <w:highlight w:val="none"/>
              </w:rPr>
            </w:pPr>
            <w:r>
              <w:rPr>
                <w:rFonts w:hint="eastAsia"/>
                <w:b w:val="0"/>
                <w:bCs w:val="0"/>
                <w:color w:val="auto"/>
                <w:sz w:val="24"/>
                <w:szCs w:val="24"/>
                <w:highlight w:val="none"/>
              </w:rPr>
              <w:t>19.班级、专业、学院等学生成绩、学习时间汇总，以图形等形式反馈，进行个人画像综合展示，根据学生成绩进行对比并且进行成绩分段统计展示。</w:t>
            </w:r>
          </w:p>
          <w:p w14:paraId="1F94A012">
            <w:pPr>
              <w:spacing w:line="400" w:lineRule="exact"/>
              <w:rPr>
                <w:rFonts w:hint="eastAsia"/>
                <w:b w:val="0"/>
                <w:bCs w:val="0"/>
                <w:color w:val="auto"/>
                <w:sz w:val="24"/>
                <w:szCs w:val="24"/>
                <w:highlight w:val="none"/>
              </w:rPr>
            </w:pPr>
            <w:r>
              <w:rPr>
                <w:rFonts w:hint="eastAsia"/>
                <w:b w:val="0"/>
                <w:bCs w:val="0"/>
                <w:color w:val="auto"/>
                <w:sz w:val="24"/>
                <w:szCs w:val="24"/>
                <w:highlight w:val="none"/>
              </w:rPr>
              <w:t>20.提供各学院对于虚拟仿真实训教学资源使用情况分析，包括各课程下实训安排次数、实训使用率等统计分析。</w:t>
            </w:r>
          </w:p>
          <w:p w14:paraId="124045EB">
            <w:pPr>
              <w:spacing w:line="400" w:lineRule="exact"/>
              <w:rPr>
                <w:rFonts w:hint="eastAsia"/>
                <w:b w:val="0"/>
                <w:bCs w:val="0"/>
                <w:color w:val="auto"/>
                <w:sz w:val="24"/>
                <w:szCs w:val="24"/>
                <w:highlight w:val="none"/>
              </w:rPr>
            </w:pPr>
            <w:r>
              <w:rPr>
                <w:rFonts w:hint="eastAsia"/>
                <w:b w:val="0"/>
                <w:bCs w:val="0"/>
                <w:color w:val="auto"/>
                <w:sz w:val="24"/>
                <w:szCs w:val="24"/>
                <w:highlight w:val="none"/>
              </w:rPr>
              <w:t>21.提供实训课程数据分析，包括实训课程授课数据分析，在线实训过程数据统计，实训资源数据统计等。</w:t>
            </w:r>
          </w:p>
          <w:p w14:paraId="2BE0E240">
            <w:pPr>
              <w:spacing w:line="400" w:lineRule="exact"/>
              <w:rPr>
                <w:rFonts w:hint="eastAsia"/>
                <w:b w:val="0"/>
                <w:bCs w:val="0"/>
                <w:color w:val="auto"/>
                <w:sz w:val="24"/>
                <w:szCs w:val="24"/>
                <w:highlight w:val="none"/>
              </w:rPr>
            </w:pPr>
            <w:r>
              <w:rPr>
                <w:rFonts w:hint="eastAsia"/>
                <w:b w:val="0"/>
                <w:bCs w:val="0"/>
                <w:color w:val="auto"/>
                <w:sz w:val="24"/>
                <w:szCs w:val="24"/>
                <w:highlight w:val="none"/>
              </w:rPr>
              <w:t>22.提供教师资源维护、实训安排、批改结果、课程评价管理等统计分析。</w:t>
            </w:r>
          </w:p>
          <w:p w14:paraId="3A5F8885">
            <w:pPr>
              <w:spacing w:line="400" w:lineRule="exact"/>
              <w:rPr>
                <w:rFonts w:hint="eastAsia"/>
                <w:b w:val="0"/>
                <w:bCs w:val="0"/>
                <w:color w:val="auto"/>
                <w:sz w:val="24"/>
                <w:szCs w:val="24"/>
                <w:highlight w:val="none"/>
              </w:rPr>
            </w:pPr>
            <w:r>
              <w:rPr>
                <w:rFonts w:hint="eastAsia"/>
                <w:b w:val="0"/>
                <w:bCs w:val="0"/>
                <w:color w:val="auto"/>
                <w:sz w:val="24"/>
                <w:szCs w:val="24"/>
                <w:highlight w:val="none"/>
              </w:rPr>
              <w:t>23.提供仿真资源数量、共享量、访问量、每年更新量信息进行综合统计。</w:t>
            </w:r>
          </w:p>
          <w:p w14:paraId="636D5BC9">
            <w:pPr>
              <w:spacing w:line="400" w:lineRule="exact"/>
              <w:rPr>
                <w:rFonts w:hint="eastAsia"/>
                <w:b w:val="0"/>
                <w:bCs w:val="0"/>
                <w:color w:val="auto"/>
                <w:sz w:val="24"/>
                <w:szCs w:val="24"/>
                <w:highlight w:val="none"/>
              </w:rPr>
            </w:pPr>
            <w:r>
              <w:rPr>
                <w:rFonts w:hint="eastAsia"/>
                <w:b w:val="0"/>
                <w:bCs w:val="0"/>
                <w:color w:val="auto"/>
                <w:sz w:val="24"/>
                <w:szCs w:val="24"/>
                <w:highlight w:val="none"/>
              </w:rPr>
              <w:t>24.同时对学生个人学习情况也可以统计并对学情进行分析包括课程成绩分析、学生能力分析等。设置多维评价和统计，如某学生单一题型分析，如正确率、完成时间、得分等。</w:t>
            </w:r>
          </w:p>
          <w:p w14:paraId="1D9D72CE">
            <w:pPr>
              <w:spacing w:line="400" w:lineRule="exact"/>
              <w:rPr>
                <w:rFonts w:hint="eastAsia"/>
                <w:b w:val="0"/>
                <w:bCs w:val="0"/>
                <w:color w:val="auto"/>
                <w:sz w:val="24"/>
                <w:szCs w:val="24"/>
                <w:highlight w:val="none"/>
              </w:rPr>
            </w:pPr>
            <w:r>
              <w:rPr>
                <w:rFonts w:hint="eastAsia"/>
                <w:b w:val="0"/>
                <w:bCs w:val="0"/>
                <w:color w:val="auto"/>
                <w:sz w:val="24"/>
                <w:szCs w:val="24"/>
                <w:highlight w:val="none"/>
              </w:rPr>
              <w:t>25.提供平台运行访问、用户活跃度情况统计。</w:t>
            </w:r>
          </w:p>
          <w:p w14:paraId="71612589">
            <w:pPr>
              <w:spacing w:line="400" w:lineRule="exact"/>
              <w:rPr>
                <w:rFonts w:hint="eastAsia"/>
                <w:b w:val="0"/>
                <w:bCs w:val="0"/>
                <w:color w:val="auto"/>
                <w:sz w:val="24"/>
                <w:szCs w:val="24"/>
                <w:highlight w:val="none"/>
              </w:rPr>
            </w:pPr>
            <w:r>
              <w:rPr>
                <w:rFonts w:hint="eastAsia"/>
                <w:b w:val="0"/>
                <w:bCs w:val="0"/>
                <w:color w:val="auto"/>
                <w:sz w:val="24"/>
                <w:szCs w:val="24"/>
                <w:highlight w:val="none"/>
              </w:rPr>
              <w:t>26.根据学生完成考试情况进行试题数统计，对学生答题情况进行数据分析包括试题错误率排行及成绩得分细节等。提供学生学习成绩进步的统计和评价，如学生成绩增量。</w:t>
            </w:r>
          </w:p>
          <w:p w14:paraId="64BF9290">
            <w:pPr>
              <w:spacing w:line="400" w:lineRule="exact"/>
              <w:rPr>
                <w:rFonts w:hint="eastAsia"/>
                <w:b w:val="0"/>
                <w:bCs w:val="0"/>
                <w:color w:val="auto"/>
                <w:sz w:val="24"/>
                <w:szCs w:val="24"/>
                <w:highlight w:val="none"/>
              </w:rPr>
            </w:pPr>
            <w:r>
              <w:rPr>
                <w:rFonts w:hint="eastAsia"/>
                <w:b w:val="0"/>
                <w:bCs w:val="0"/>
                <w:color w:val="auto"/>
                <w:sz w:val="24"/>
                <w:szCs w:val="24"/>
                <w:highlight w:val="none"/>
              </w:rPr>
              <w:t>27.数字人克隆：教师上传照片/录音后，24小时内生成虚拟形象，语音合成相似度≥90%。</w:t>
            </w:r>
          </w:p>
          <w:p w14:paraId="21AE0623">
            <w:pPr>
              <w:spacing w:line="400" w:lineRule="exact"/>
              <w:rPr>
                <w:rFonts w:hint="eastAsia"/>
                <w:b w:val="0"/>
                <w:bCs w:val="0"/>
                <w:color w:val="auto"/>
                <w:sz w:val="24"/>
                <w:szCs w:val="24"/>
                <w:highlight w:val="none"/>
              </w:rPr>
            </w:pPr>
            <w:r>
              <w:rPr>
                <w:rFonts w:hint="eastAsia"/>
                <w:b w:val="0"/>
                <w:bCs w:val="0"/>
                <w:color w:val="auto"/>
                <w:sz w:val="24"/>
                <w:szCs w:val="24"/>
                <w:highlight w:val="none"/>
              </w:rPr>
              <w:t>28.多模型对话：集成豆包AI、Deepseek等大模型，提供导游词智能润色、案例分析等功能。</w:t>
            </w:r>
          </w:p>
          <w:p w14:paraId="3DC872BF">
            <w:pPr>
              <w:spacing w:line="400" w:lineRule="exact"/>
              <w:rPr>
                <w:rFonts w:hint="eastAsia"/>
                <w:b w:val="0"/>
                <w:bCs w:val="0"/>
                <w:color w:val="auto"/>
                <w:sz w:val="24"/>
                <w:szCs w:val="24"/>
                <w:highlight w:val="none"/>
              </w:rPr>
            </w:pPr>
            <w:r>
              <w:rPr>
                <w:rFonts w:hint="eastAsia"/>
                <w:b w:val="0"/>
                <w:bCs w:val="0"/>
                <w:color w:val="auto"/>
                <w:sz w:val="24"/>
                <w:szCs w:val="24"/>
                <w:highlight w:val="none"/>
              </w:rPr>
              <w:t>29.资源集成多个主流AI大模型，如豆包AI、Deepseek、通义千问等。用户可在对话页面轻松选择多个AI模型进行对话，参考不同模型的回答，帮助用户进行自主学习和知识深化。</w:t>
            </w:r>
          </w:p>
          <w:p w14:paraId="5FB7184B">
            <w:pPr>
              <w:spacing w:line="400" w:lineRule="exact"/>
              <w:rPr>
                <w:rFonts w:hint="eastAsia"/>
                <w:b w:val="0"/>
                <w:bCs w:val="0"/>
                <w:color w:val="auto"/>
                <w:sz w:val="24"/>
                <w:szCs w:val="24"/>
                <w:highlight w:val="none"/>
              </w:rPr>
            </w:pPr>
            <w:r>
              <w:rPr>
                <w:rFonts w:hint="eastAsia"/>
                <w:b w:val="0"/>
                <w:bCs w:val="0"/>
                <w:color w:val="auto"/>
                <w:sz w:val="24"/>
                <w:szCs w:val="24"/>
                <w:highlight w:val="none"/>
              </w:rPr>
              <w:t>30.资源创新性的搭配数字人板块，专为虚拟仿真教学打造的虚拟</w:t>
            </w:r>
            <w:r>
              <w:rPr>
                <w:rFonts w:hint="eastAsia"/>
                <w:b w:val="0"/>
                <w:bCs w:val="0"/>
                <w:color w:val="auto"/>
                <w:sz w:val="24"/>
                <w:szCs w:val="24"/>
                <w:highlight w:val="none"/>
                <w:lang w:val="en-US" w:eastAsia="zh-CN"/>
              </w:rPr>
              <w:t>人物</w:t>
            </w:r>
            <w:r>
              <w:rPr>
                <w:rFonts w:hint="eastAsia"/>
                <w:b w:val="0"/>
                <w:bCs w:val="0"/>
                <w:color w:val="auto"/>
                <w:sz w:val="24"/>
                <w:szCs w:val="24"/>
                <w:highlight w:val="none"/>
              </w:rPr>
              <w:t>形象模块，结合形象克隆、声音克隆和语音合成功能，利用先进的人工智能技术，为教师提供个性化的教学体验，增强课堂互动性和学习效果。</w:t>
            </w:r>
          </w:p>
          <w:p w14:paraId="2A29F93A">
            <w:pPr>
              <w:spacing w:line="400" w:lineRule="exact"/>
              <w:rPr>
                <w:rFonts w:hint="eastAsia"/>
                <w:b w:val="0"/>
                <w:bCs w:val="0"/>
                <w:color w:val="auto"/>
                <w:sz w:val="24"/>
                <w:szCs w:val="24"/>
                <w:highlight w:val="none"/>
              </w:rPr>
            </w:pPr>
            <w:r>
              <w:rPr>
                <w:rFonts w:hint="eastAsia"/>
                <w:b w:val="0"/>
                <w:bCs w:val="0"/>
                <w:color w:val="auto"/>
                <w:sz w:val="24"/>
                <w:szCs w:val="24"/>
                <w:highlight w:val="none"/>
              </w:rPr>
              <w:t>31.教师可以上传自己的照片，通过高精度的形象克隆技术生成与学生相似的虚拟形象。通过对面部特征、发型、衣着等细节的精准处理，教师可以创建个性化的虚拟人物，成为自己在虚拟课堂中的“分身”，这个虚拟形象可以在各种学习场景中作为教师的化身，增强互动感。</w:t>
            </w:r>
          </w:p>
          <w:p w14:paraId="732BE7B3">
            <w:pPr>
              <w:spacing w:line="400" w:lineRule="exact"/>
              <w:rPr>
                <w:rFonts w:hint="eastAsia"/>
                <w:b w:val="0"/>
                <w:bCs w:val="0"/>
                <w:color w:val="auto"/>
                <w:sz w:val="24"/>
                <w:szCs w:val="24"/>
                <w:highlight w:val="none"/>
              </w:rPr>
            </w:pPr>
            <w:r>
              <w:rPr>
                <w:rFonts w:hint="eastAsia"/>
                <w:b w:val="0"/>
                <w:bCs w:val="0"/>
                <w:color w:val="auto"/>
                <w:sz w:val="24"/>
                <w:szCs w:val="24"/>
                <w:highlight w:val="none"/>
              </w:rPr>
              <w:t>32.声音克隆：教师还可以通过声音克隆技术录制自己的声音，数字人会根据教师的声音特征，包括语调、语速、口音等，精准模拟出学生的声音。这样，教师不仅能拥有自己的虚拟形象，还能与其虚拟形象进行真实的语音互动。</w:t>
            </w:r>
          </w:p>
          <w:p w14:paraId="2D088B7C">
            <w:pPr>
              <w:spacing w:line="400" w:lineRule="exact"/>
              <w:rPr>
                <w:rFonts w:hint="eastAsia"/>
                <w:b w:val="0"/>
                <w:bCs w:val="0"/>
                <w:color w:val="auto"/>
                <w:sz w:val="24"/>
                <w:szCs w:val="24"/>
                <w:highlight w:val="none"/>
              </w:rPr>
            </w:pPr>
            <w:r>
              <w:rPr>
                <w:rFonts w:hint="eastAsia"/>
                <w:b w:val="0"/>
                <w:bCs w:val="0"/>
                <w:color w:val="auto"/>
                <w:sz w:val="24"/>
                <w:szCs w:val="24"/>
                <w:highlight w:val="none"/>
              </w:rPr>
              <w:t>33.语音合成：借助语音合成技术，虚拟学习伙伴可以将文本转化为教师的声音进行语音输出。无论是课本内容讲解、知识点复述，还是课后辅导，虚拟学习伙伴都能通过教师的声音进行讲解，帮助学生更好地理解课程内容。</w:t>
            </w:r>
          </w:p>
          <w:p w14:paraId="35C895B3">
            <w:pPr>
              <w:spacing w:line="400" w:lineRule="exact"/>
              <w:rPr>
                <w:rFonts w:hint="eastAsia"/>
                <w:b w:val="0"/>
                <w:bCs w:val="0"/>
                <w:color w:val="auto"/>
                <w:sz w:val="24"/>
                <w:szCs w:val="24"/>
                <w:highlight w:val="none"/>
              </w:rPr>
            </w:pPr>
          </w:p>
          <w:p w14:paraId="1761148B">
            <w:pPr>
              <w:spacing w:line="400" w:lineRule="exact"/>
              <w:rPr>
                <w:rFonts w:hint="eastAsia"/>
                <w:b w:val="0"/>
                <w:bCs w:val="0"/>
                <w:color w:val="auto"/>
                <w:sz w:val="24"/>
                <w:szCs w:val="24"/>
                <w:highlight w:val="none"/>
              </w:rPr>
            </w:pPr>
            <w:r>
              <w:rPr>
                <w:rFonts w:hint="eastAsia"/>
                <w:b w:val="0"/>
                <w:bCs w:val="0"/>
                <w:color w:val="auto"/>
                <w:sz w:val="24"/>
                <w:szCs w:val="24"/>
                <w:highlight w:val="none"/>
              </w:rPr>
              <w:t>（二）技术保障</w:t>
            </w:r>
          </w:p>
          <w:p w14:paraId="497727D9">
            <w:pPr>
              <w:spacing w:line="400" w:lineRule="exact"/>
              <w:rPr>
                <w:rFonts w:hint="eastAsia"/>
                <w:b w:val="0"/>
                <w:bCs w:val="0"/>
                <w:color w:val="auto"/>
                <w:sz w:val="24"/>
                <w:szCs w:val="24"/>
                <w:highlight w:val="none"/>
              </w:rPr>
            </w:pPr>
            <w:r>
              <w:rPr>
                <w:rFonts w:hint="eastAsia"/>
                <w:b w:val="0"/>
                <w:bCs w:val="0"/>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6053ED4C">
            <w:pPr>
              <w:spacing w:line="400" w:lineRule="exact"/>
              <w:rPr>
                <w:rFonts w:hint="eastAsia"/>
                <w:b w:val="0"/>
                <w:bCs w:val="0"/>
                <w:color w:val="auto"/>
                <w:sz w:val="24"/>
                <w:szCs w:val="24"/>
                <w:highlight w:val="none"/>
              </w:rPr>
            </w:pPr>
            <w:r>
              <w:rPr>
                <w:rFonts w:hint="eastAsia"/>
                <w:b w:val="0"/>
                <w:bCs w:val="0"/>
                <w:color w:val="auto"/>
                <w:sz w:val="24"/>
                <w:szCs w:val="24"/>
                <w:highlight w:val="none"/>
              </w:rPr>
              <w:t>2.提供防火墙隔离策略，划分DMZ区隔离外网访问与核心教学数据区，外网请求需通过身份验证网关。</w:t>
            </w:r>
          </w:p>
          <w:p w14:paraId="27959937">
            <w:pPr>
              <w:spacing w:line="400" w:lineRule="exact"/>
              <w:rPr>
                <w:rFonts w:hint="eastAsia"/>
                <w:b w:val="0"/>
                <w:bCs w:val="0"/>
                <w:color w:val="auto"/>
                <w:sz w:val="24"/>
                <w:szCs w:val="24"/>
                <w:highlight w:val="none"/>
              </w:rPr>
            </w:pPr>
            <w:r>
              <w:rPr>
                <w:rFonts w:hint="eastAsia"/>
                <w:b w:val="0"/>
                <w:bCs w:val="0"/>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3A631CF9">
            <w:pPr>
              <w:spacing w:line="400" w:lineRule="exact"/>
              <w:rPr>
                <w:rFonts w:hint="eastAsia"/>
                <w:b w:val="0"/>
                <w:bCs w:val="0"/>
                <w:color w:val="auto"/>
                <w:sz w:val="24"/>
                <w:szCs w:val="24"/>
                <w:highlight w:val="none"/>
              </w:rPr>
            </w:pPr>
            <w:r>
              <w:rPr>
                <w:rFonts w:hint="eastAsia"/>
                <w:b w:val="0"/>
                <w:bCs w:val="0"/>
                <w:color w:val="auto"/>
                <w:sz w:val="24"/>
                <w:szCs w:val="24"/>
                <w:highlight w:val="none"/>
              </w:rPr>
              <w:t>4.内置数据脱敏功能，学生成绩、教师评语等敏感信息展示时自动隐藏关键字段（如身份证号）。</w:t>
            </w:r>
          </w:p>
          <w:p w14:paraId="4D29C15C">
            <w:pPr>
              <w:spacing w:line="400" w:lineRule="exact"/>
              <w:rPr>
                <w:rFonts w:hint="eastAsia"/>
                <w:b w:val="0"/>
                <w:bCs w:val="0"/>
                <w:color w:val="auto"/>
                <w:sz w:val="24"/>
                <w:szCs w:val="24"/>
                <w:highlight w:val="none"/>
              </w:rPr>
            </w:pPr>
            <w:r>
              <w:rPr>
                <w:rFonts w:hint="eastAsia"/>
                <w:b w:val="0"/>
                <w:bCs w:val="0"/>
                <w:color w:val="auto"/>
                <w:sz w:val="24"/>
                <w:szCs w:val="24"/>
                <w:highlight w:val="none"/>
              </w:rPr>
              <w:t>5.支持操作日志全量审计，记录用户登录、资源访问、数据导出等行为，日志保留≥180天。</w:t>
            </w:r>
          </w:p>
          <w:p w14:paraId="4FA9EDB9">
            <w:pPr>
              <w:spacing w:line="400" w:lineRule="exact"/>
              <w:rPr>
                <w:rFonts w:hint="eastAsia"/>
                <w:b w:val="0"/>
                <w:bCs w:val="0"/>
                <w:color w:val="auto"/>
                <w:sz w:val="24"/>
                <w:szCs w:val="24"/>
                <w:highlight w:val="none"/>
              </w:rPr>
            </w:pPr>
            <w:r>
              <w:rPr>
                <w:rFonts w:hint="eastAsia"/>
                <w:b w:val="0"/>
                <w:bCs w:val="0"/>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1F279704">
            <w:pPr>
              <w:spacing w:line="400" w:lineRule="exact"/>
              <w:rPr>
                <w:rFonts w:hint="eastAsia"/>
                <w:b w:val="0"/>
                <w:bCs w:val="0"/>
                <w:color w:val="auto"/>
                <w:sz w:val="24"/>
                <w:szCs w:val="24"/>
                <w:highlight w:val="none"/>
              </w:rPr>
            </w:pPr>
            <w:r>
              <w:rPr>
                <w:rFonts w:hint="eastAsia"/>
                <w:b w:val="0"/>
                <w:bCs w:val="0"/>
                <w:color w:val="auto"/>
                <w:sz w:val="24"/>
                <w:szCs w:val="24"/>
                <w:highlight w:val="none"/>
              </w:rPr>
              <w:t>7.平台为本地部署，提供五年的免费技术服务及免费升级服务，提供不低于1名技术工程师驻点一年服务（驻点服务按实际项目需求确定）。</w:t>
            </w:r>
          </w:p>
          <w:p w14:paraId="6B57B5BD">
            <w:pPr>
              <w:spacing w:line="400" w:lineRule="exact"/>
              <w:rPr>
                <w:rFonts w:hint="eastAsia"/>
                <w:b w:val="0"/>
                <w:bCs w:val="0"/>
                <w:color w:val="auto"/>
                <w:sz w:val="24"/>
                <w:szCs w:val="24"/>
                <w:highlight w:val="none"/>
              </w:rPr>
            </w:pPr>
          </w:p>
          <w:p w14:paraId="5BBC372C">
            <w:pPr>
              <w:spacing w:line="400" w:lineRule="exact"/>
              <w:rPr>
                <w:rFonts w:hint="eastAsia"/>
                <w:b w:val="0"/>
                <w:bCs w:val="0"/>
                <w:color w:val="auto"/>
                <w:sz w:val="24"/>
                <w:szCs w:val="24"/>
                <w:highlight w:val="none"/>
              </w:rPr>
            </w:pPr>
            <w:r>
              <w:rPr>
                <w:rFonts w:hint="eastAsia"/>
                <w:b w:val="0"/>
                <w:bCs w:val="0"/>
                <w:color w:val="auto"/>
                <w:sz w:val="24"/>
                <w:szCs w:val="24"/>
                <w:highlight w:val="none"/>
              </w:rPr>
              <w:t>（三）系统部署与服务支持要求</w:t>
            </w:r>
          </w:p>
          <w:p w14:paraId="0AD7421C">
            <w:pPr>
              <w:spacing w:line="400" w:lineRule="exact"/>
              <w:rPr>
                <w:rFonts w:hint="eastAsia"/>
                <w:b w:val="0"/>
                <w:bCs w:val="0"/>
                <w:color w:val="auto"/>
                <w:sz w:val="24"/>
                <w:szCs w:val="24"/>
                <w:highlight w:val="none"/>
              </w:rPr>
            </w:pPr>
            <w:r>
              <w:rPr>
                <w:rFonts w:hint="eastAsia"/>
                <w:b w:val="0"/>
                <w:bCs w:val="0"/>
                <w:color w:val="auto"/>
                <w:sz w:val="24"/>
                <w:szCs w:val="24"/>
                <w:highlight w:val="none"/>
              </w:rPr>
              <w:t>1. 系统部署方式：需为本地化部署，所有软件及数据应部署于采购方指定的校内服务器。</w:t>
            </w:r>
          </w:p>
          <w:p w14:paraId="2C309744">
            <w:pPr>
              <w:spacing w:line="400" w:lineRule="exact"/>
              <w:rPr>
                <w:rFonts w:hint="eastAsia"/>
                <w:b w:val="0"/>
                <w:bCs w:val="0"/>
                <w:color w:val="auto"/>
                <w:sz w:val="24"/>
                <w:szCs w:val="24"/>
                <w:highlight w:val="none"/>
              </w:rPr>
            </w:pPr>
            <w:r>
              <w:rPr>
                <w:rFonts w:hint="eastAsia"/>
                <w:b w:val="0"/>
                <w:bCs w:val="0"/>
                <w:color w:val="auto"/>
                <w:sz w:val="24"/>
                <w:szCs w:val="24"/>
                <w:highlight w:val="none"/>
              </w:rPr>
              <w:t>2. 授权与使用限制：系统部署后应终身免费使用，不限制用户数，无需额外支付授权费用。</w:t>
            </w:r>
          </w:p>
          <w:p w14:paraId="17CEFF2B">
            <w:pPr>
              <w:spacing w:line="400" w:lineRule="exact"/>
              <w:rPr>
                <w:rFonts w:hint="eastAsia"/>
                <w:b w:val="0"/>
                <w:bCs w:val="0"/>
                <w:color w:val="auto"/>
                <w:sz w:val="24"/>
                <w:szCs w:val="24"/>
                <w:highlight w:val="none"/>
              </w:rPr>
            </w:pPr>
            <w:r>
              <w:rPr>
                <w:rFonts w:hint="eastAsia"/>
                <w:b w:val="0"/>
                <w:bCs w:val="0"/>
                <w:color w:val="auto"/>
                <w:sz w:val="24"/>
                <w:szCs w:val="24"/>
                <w:highlight w:val="none"/>
              </w:rPr>
              <w:t>3. 质保与维护服务：提供不少于5年的免费质保与系统维护服务。质保期内须提供功能更新、漏洞修复及技术支援。</w:t>
            </w:r>
          </w:p>
          <w:p w14:paraId="2274C142">
            <w:pPr>
              <w:spacing w:line="400" w:lineRule="exact"/>
              <w:rPr>
                <w:rFonts w:hint="eastAsia"/>
                <w:b w:val="0"/>
                <w:bCs w:val="0"/>
                <w:color w:val="auto"/>
                <w:sz w:val="24"/>
                <w:szCs w:val="24"/>
                <w:highlight w:val="none"/>
              </w:rPr>
            </w:pPr>
            <w:r>
              <w:rPr>
                <w:rFonts w:hint="eastAsia"/>
                <w:b w:val="0"/>
                <w:bCs w:val="0"/>
                <w:color w:val="auto"/>
                <w:sz w:val="24"/>
                <w:szCs w:val="24"/>
                <w:highlight w:val="none"/>
              </w:rPr>
              <w:t>4. 期满后续服务：质保期满后，应可继续提供有偿技术服务，收费标准不高于该平台金额的10%/年，具体服务内容由双方协商确定。</w:t>
            </w:r>
          </w:p>
          <w:p w14:paraId="4589900C">
            <w:pPr>
              <w:spacing w:line="400" w:lineRule="exact"/>
              <w:rPr>
                <w:rFonts w:hint="eastAsia"/>
                <w:b w:val="0"/>
                <w:bCs w:val="0"/>
                <w:color w:val="auto"/>
                <w:sz w:val="24"/>
                <w:szCs w:val="24"/>
                <w:highlight w:val="none"/>
              </w:rPr>
            </w:pPr>
          </w:p>
          <w:p w14:paraId="270EBA93">
            <w:pPr>
              <w:spacing w:line="400" w:lineRule="exact"/>
              <w:rPr>
                <w:rFonts w:hint="eastAsia"/>
                <w:b w:val="0"/>
                <w:bCs w:val="0"/>
                <w:color w:val="auto"/>
                <w:sz w:val="24"/>
                <w:szCs w:val="24"/>
                <w:highlight w:val="none"/>
              </w:rPr>
            </w:pPr>
            <w:r>
              <w:rPr>
                <w:rFonts w:hint="eastAsia"/>
                <w:b w:val="0"/>
                <w:bCs w:val="0"/>
                <w:color w:val="auto"/>
                <w:sz w:val="24"/>
                <w:szCs w:val="24"/>
                <w:highlight w:val="none"/>
              </w:rPr>
              <w:t>（四）系统对接要求</w:t>
            </w:r>
          </w:p>
          <w:p w14:paraId="75E95FFC">
            <w:pPr>
              <w:spacing w:line="400" w:lineRule="exact"/>
              <w:rPr>
                <w:rFonts w:hint="eastAsia"/>
                <w:b w:val="0"/>
                <w:bCs w:val="0"/>
                <w:color w:val="auto"/>
                <w:sz w:val="24"/>
                <w:szCs w:val="24"/>
                <w:highlight w:val="none"/>
              </w:rPr>
            </w:pPr>
            <w:r>
              <w:rPr>
                <w:rFonts w:hint="eastAsia"/>
                <w:b w:val="0"/>
                <w:bCs w:val="0"/>
                <w:color w:val="auto"/>
                <w:sz w:val="24"/>
                <w:szCs w:val="24"/>
                <w:highlight w:val="none"/>
              </w:rPr>
              <w:t>1. 数据回传接口：需提供稳定可靠的数据库连接方式或采购方认可的数据接口，并附有完整数据字典，确保数据有效、完整、接口性能达标。</w:t>
            </w:r>
          </w:p>
          <w:p w14:paraId="31CFAEBD">
            <w:pPr>
              <w:spacing w:line="400" w:lineRule="exact"/>
              <w:rPr>
                <w:rFonts w:hint="eastAsia"/>
                <w:b w:val="0"/>
                <w:bCs w:val="0"/>
                <w:color w:val="auto"/>
                <w:sz w:val="24"/>
                <w:szCs w:val="24"/>
                <w:highlight w:val="none"/>
              </w:rPr>
            </w:pPr>
            <w:r>
              <w:rPr>
                <w:rFonts w:hint="eastAsia"/>
                <w:b w:val="0"/>
                <w:bCs w:val="0"/>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3529B065">
            <w:pPr>
              <w:spacing w:line="400" w:lineRule="exact"/>
              <w:rPr>
                <w:rFonts w:hint="eastAsia"/>
                <w:b w:val="0"/>
                <w:bCs w:val="0"/>
                <w:color w:val="auto"/>
                <w:sz w:val="24"/>
                <w:szCs w:val="24"/>
                <w:highlight w:val="none"/>
              </w:rPr>
            </w:pPr>
            <w:r>
              <w:rPr>
                <w:rFonts w:hint="eastAsia"/>
                <w:b w:val="0"/>
                <w:bCs w:val="0"/>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596E0E64">
            <w:pPr>
              <w:pStyle w:val="1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25.3</w:t>
            </w:r>
          </w:p>
        </w:tc>
        <w:tc>
          <w:tcPr>
            <w:tcW w:w="983" w:type="dxa"/>
            <w:vAlign w:val="center"/>
          </w:tcPr>
          <w:p w14:paraId="16B7E562">
            <w:pPr>
              <w:pStyle w:val="14"/>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25.3</w:t>
            </w:r>
          </w:p>
        </w:tc>
      </w:tr>
      <w:tr w14:paraId="4963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265234CA">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925" w:type="dxa"/>
            <w:vMerge w:val="continue"/>
            <w:vAlign w:val="center"/>
          </w:tcPr>
          <w:p w14:paraId="27701783">
            <w:pPr>
              <w:widowControl/>
              <w:snapToGrid w:val="0"/>
              <w:spacing w:line="400" w:lineRule="exact"/>
              <w:jc w:val="center"/>
              <w:rPr>
                <w:rFonts w:hint="eastAsia" w:ascii="宋体" w:hAnsi="宋体" w:cs="宋体"/>
                <w:color w:val="auto"/>
                <w:sz w:val="24"/>
                <w:szCs w:val="24"/>
                <w:highlight w:val="none"/>
                <w:lang w:val="en-US" w:eastAsia="zh-CN"/>
              </w:rPr>
            </w:pPr>
          </w:p>
        </w:tc>
        <w:tc>
          <w:tcPr>
            <w:tcW w:w="525" w:type="dxa"/>
            <w:vMerge w:val="continue"/>
            <w:vAlign w:val="center"/>
          </w:tcPr>
          <w:p w14:paraId="540850D5">
            <w:pPr>
              <w:widowControl/>
              <w:snapToGrid w:val="0"/>
              <w:spacing w:line="400" w:lineRule="exact"/>
              <w:rPr>
                <w:rFonts w:hint="eastAsia" w:ascii="宋体" w:hAnsi="宋体" w:cs="宋体"/>
                <w:color w:val="auto"/>
                <w:sz w:val="24"/>
                <w:szCs w:val="24"/>
                <w:highlight w:val="none"/>
              </w:rPr>
            </w:pPr>
          </w:p>
        </w:tc>
        <w:tc>
          <w:tcPr>
            <w:tcW w:w="5213" w:type="dxa"/>
            <w:gridSpan w:val="2"/>
            <w:vAlign w:val="center"/>
          </w:tcPr>
          <w:p w14:paraId="6174907C">
            <w:pPr>
              <w:spacing w:line="400" w:lineRule="exact"/>
              <w:rPr>
                <w:rFonts w:hint="eastAsia"/>
                <w:color w:val="auto"/>
                <w:sz w:val="24"/>
                <w:szCs w:val="24"/>
                <w:highlight w:val="none"/>
              </w:rPr>
            </w:pPr>
            <w:r>
              <w:rPr>
                <w:rFonts w:hint="eastAsia"/>
                <w:color w:val="auto"/>
                <w:sz w:val="24"/>
                <w:szCs w:val="24"/>
                <w:highlight w:val="none"/>
              </w:rPr>
              <w:t>二、虚仿实验资源综合管理平台</w:t>
            </w:r>
          </w:p>
          <w:p w14:paraId="2C99D92F">
            <w:pPr>
              <w:spacing w:line="400" w:lineRule="exact"/>
              <w:rPr>
                <w:rFonts w:hint="eastAsia"/>
                <w:color w:val="auto"/>
                <w:sz w:val="24"/>
                <w:szCs w:val="24"/>
                <w:highlight w:val="none"/>
              </w:rPr>
            </w:pPr>
            <w:r>
              <w:rPr>
                <w:rFonts w:hint="eastAsia"/>
                <w:color w:val="auto"/>
                <w:sz w:val="24"/>
                <w:szCs w:val="24"/>
                <w:highlight w:val="none"/>
              </w:rPr>
              <w:t xml:space="preserve">（一）平台功能要求  </w:t>
            </w:r>
          </w:p>
          <w:p w14:paraId="29FC38A5">
            <w:pPr>
              <w:spacing w:line="400" w:lineRule="exact"/>
              <w:rPr>
                <w:rFonts w:hint="eastAsia"/>
                <w:color w:val="auto"/>
                <w:sz w:val="24"/>
                <w:szCs w:val="24"/>
                <w:highlight w:val="none"/>
              </w:rPr>
            </w:pPr>
            <w:r>
              <w:rPr>
                <w:rFonts w:hint="eastAsia"/>
                <w:color w:val="auto"/>
                <w:sz w:val="24"/>
                <w:szCs w:val="24"/>
                <w:highlight w:val="none"/>
              </w:rPr>
              <w:t xml:space="preserve">该平台需实现对虚拟仿真教学资源的全生命周期管理，支持多终端访问，具备资源上传、分类展示、权限管理等核心功能模块。具体包括：  </w:t>
            </w:r>
          </w:p>
          <w:p w14:paraId="422319CE">
            <w:pPr>
              <w:spacing w:line="400" w:lineRule="exact"/>
              <w:rPr>
                <w:rFonts w:hint="eastAsia"/>
                <w:color w:val="auto"/>
                <w:sz w:val="24"/>
                <w:szCs w:val="24"/>
                <w:highlight w:val="none"/>
              </w:rPr>
            </w:pPr>
            <w:r>
              <w:rPr>
                <w:rFonts w:hint="eastAsia"/>
                <w:color w:val="auto"/>
                <w:sz w:val="24"/>
                <w:szCs w:val="24"/>
                <w:highlight w:val="none"/>
              </w:rPr>
              <w:t xml:space="preserve">1. 支持上传3D模型、全景视频、交互式课件、文档、仿真数据包等多种教学资源格式。  </w:t>
            </w:r>
          </w:p>
          <w:p w14:paraId="6182DB90">
            <w:pPr>
              <w:spacing w:line="400" w:lineRule="exact"/>
              <w:rPr>
                <w:rFonts w:hint="eastAsia"/>
                <w:color w:val="auto"/>
                <w:sz w:val="24"/>
                <w:szCs w:val="24"/>
                <w:highlight w:val="none"/>
              </w:rPr>
            </w:pPr>
            <w:r>
              <w:rPr>
                <w:rFonts w:hint="eastAsia"/>
                <w:color w:val="auto"/>
                <w:sz w:val="24"/>
                <w:szCs w:val="24"/>
                <w:highlight w:val="none"/>
              </w:rPr>
              <w:t xml:space="preserve">2. 提供资源元数据标准化录入界面，包含资源名称、所属课程、适用专业、技术参数（如多边形面数、纹理分辨率）、版权信息等15个必填字段。  </w:t>
            </w:r>
          </w:p>
          <w:p w14:paraId="4F6F25DF">
            <w:pPr>
              <w:spacing w:line="400" w:lineRule="exact"/>
              <w:rPr>
                <w:rFonts w:hint="eastAsia"/>
                <w:color w:val="auto"/>
                <w:sz w:val="24"/>
                <w:szCs w:val="24"/>
                <w:highlight w:val="none"/>
              </w:rPr>
            </w:pPr>
            <w:r>
              <w:rPr>
                <w:rFonts w:hint="eastAsia"/>
                <w:color w:val="auto"/>
                <w:sz w:val="24"/>
                <w:szCs w:val="24"/>
                <w:highlight w:val="none"/>
              </w:rPr>
              <w:t xml:space="preserve">3. 支持通过EXCEL模板批量导入资源信息，支持ZIP包解压与自动归类。  </w:t>
            </w:r>
          </w:p>
          <w:p w14:paraId="668D0622">
            <w:pPr>
              <w:spacing w:line="400" w:lineRule="exact"/>
              <w:rPr>
                <w:rFonts w:hint="eastAsia"/>
                <w:color w:val="auto"/>
                <w:sz w:val="24"/>
                <w:szCs w:val="24"/>
                <w:highlight w:val="none"/>
              </w:rPr>
            </w:pPr>
            <w:r>
              <w:rPr>
                <w:rFonts w:hint="eastAsia"/>
                <w:color w:val="auto"/>
                <w:sz w:val="24"/>
                <w:szCs w:val="24"/>
                <w:highlight w:val="none"/>
              </w:rPr>
              <w:t xml:space="preserve">4. 管理员可一键将资源分配至指定专业课程。  </w:t>
            </w:r>
          </w:p>
          <w:p w14:paraId="3817397B">
            <w:pPr>
              <w:spacing w:line="400" w:lineRule="exact"/>
              <w:rPr>
                <w:rFonts w:hint="eastAsia"/>
                <w:color w:val="auto"/>
                <w:sz w:val="24"/>
                <w:szCs w:val="24"/>
                <w:highlight w:val="none"/>
              </w:rPr>
            </w:pPr>
            <w:r>
              <w:rPr>
                <w:rFonts w:hint="eastAsia"/>
                <w:color w:val="auto"/>
                <w:sz w:val="24"/>
                <w:szCs w:val="24"/>
                <w:highlight w:val="none"/>
              </w:rPr>
              <w:t xml:space="preserve">5. 提供按资源类型（操作类/演示类/考核类）与难度等级（初/中/高）的矩阵筛选导航。  </w:t>
            </w:r>
          </w:p>
          <w:p w14:paraId="48844AA8">
            <w:pPr>
              <w:spacing w:line="400" w:lineRule="exact"/>
              <w:rPr>
                <w:rFonts w:hint="eastAsia"/>
                <w:color w:val="auto"/>
                <w:sz w:val="24"/>
                <w:szCs w:val="24"/>
                <w:highlight w:val="none"/>
              </w:rPr>
            </w:pPr>
            <w:r>
              <w:rPr>
                <w:rFonts w:hint="eastAsia"/>
                <w:color w:val="auto"/>
                <w:sz w:val="24"/>
                <w:szCs w:val="24"/>
                <w:highlight w:val="none"/>
              </w:rPr>
              <w:t xml:space="preserve">6. 内置三维虚拟展馆，支持第一人称漫游，可查看热门资源，具备热点跳转与语音解说功能。  </w:t>
            </w:r>
          </w:p>
          <w:p w14:paraId="09EC41C8">
            <w:pPr>
              <w:spacing w:line="400" w:lineRule="exact"/>
              <w:rPr>
                <w:rFonts w:hint="eastAsia"/>
                <w:color w:val="auto"/>
                <w:sz w:val="24"/>
                <w:szCs w:val="24"/>
                <w:highlight w:val="none"/>
              </w:rPr>
            </w:pPr>
            <w:r>
              <w:rPr>
                <w:rFonts w:hint="eastAsia"/>
                <w:color w:val="auto"/>
                <w:sz w:val="24"/>
                <w:szCs w:val="24"/>
                <w:highlight w:val="none"/>
              </w:rPr>
              <w:t xml:space="preserve">7. 提供仿真实验5分钟试玩模式（无需登录），含操作指引动画。  </w:t>
            </w:r>
          </w:p>
          <w:p w14:paraId="79784C0A">
            <w:pPr>
              <w:spacing w:line="400" w:lineRule="exact"/>
              <w:rPr>
                <w:rFonts w:hint="eastAsia"/>
                <w:color w:val="auto"/>
                <w:sz w:val="24"/>
                <w:szCs w:val="24"/>
                <w:highlight w:val="none"/>
              </w:rPr>
            </w:pPr>
          </w:p>
          <w:p w14:paraId="062AF3EF">
            <w:pPr>
              <w:spacing w:line="400" w:lineRule="exact"/>
              <w:rPr>
                <w:rFonts w:hint="eastAsia"/>
                <w:color w:val="auto"/>
                <w:sz w:val="24"/>
                <w:szCs w:val="24"/>
                <w:highlight w:val="none"/>
              </w:rPr>
            </w:pPr>
            <w:r>
              <w:rPr>
                <w:rFonts w:hint="eastAsia"/>
                <w:color w:val="auto"/>
                <w:sz w:val="24"/>
                <w:szCs w:val="24"/>
                <w:highlight w:val="none"/>
              </w:rPr>
              <w:t xml:space="preserve">（二）嵌套资源接口要求  </w:t>
            </w:r>
          </w:p>
          <w:p w14:paraId="518B39AE">
            <w:pPr>
              <w:spacing w:line="400" w:lineRule="exact"/>
              <w:rPr>
                <w:rFonts w:hint="eastAsia"/>
                <w:color w:val="auto"/>
                <w:sz w:val="24"/>
                <w:szCs w:val="24"/>
                <w:highlight w:val="none"/>
              </w:rPr>
            </w:pPr>
            <w:r>
              <w:rPr>
                <w:rFonts w:hint="eastAsia"/>
                <w:color w:val="auto"/>
                <w:sz w:val="24"/>
                <w:szCs w:val="24"/>
                <w:highlight w:val="none"/>
              </w:rPr>
              <w:t xml:space="preserve">平台需提供标准API接口与数据规范，支持第三方资源无缝接入，具体要求如下：  </w:t>
            </w:r>
          </w:p>
          <w:p w14:paraId="16D3402A">
            <w:pPr>
              <w:spacing w:line="400" w:lineRule="exact"/>
              <w:rPr>
                <w:rFonts w:hint="eastAsia"/>
                <w:color w:val="auto"/>
                <w:sz w:val="24"/>
                <w:szCs w:val="24"/>
                <w:highlight w:val="none"/>
              </w:rPr>
            </w:pPr>
            <w:r>
              <w:rPr>
                <w:rFonts w:hint="eastAsia"/>
                <w:color w:val="auto"/>
                <w:sz w:val="24"/>
                <w:szCs w:val="24"/>
                <w:highlight w:val="none"/>
              </w:rPr>
              <w:t xml:space="preserve"> 资源需支持WebGL或H5等格式，可在平台内嵌页面中直接运行。  </w:t>
            </w:r>
          </w:p>
          <w:p w14:paraId="60385845">
            <w:pPr>
              <w:spacing w:line="400" w:lineRule="exact"/>
              <w:rPr>
                <w:rFonts w:hint="eastAsia"/>
                <w:color w:val="auto"/>
                <w:sz w:val="24"/>
                <w:szCs w:val="24"/>
                <w:highlight w:val="none"/>
              </w:rPr>
            </w:pPr>
            <w:r>
              <w:rPr>
                <w:rFonts w:hint="eastAsia"/>
                <w:color w:val="auto"/>
                <w:sz w:val="24"/>
                <w:szCs w:val="24"/>
                <w:highlight w:val="none"/>
              </w:rPr>
              <w:t xml:space="preserve"> 资源元数据需符合平台定义的JSON等格式，包含资源ID、类型、适用课程、技术参数等字段。  </w:t>
            </w:r>
          </w:p>
          <w:p w14:paraId="261F490F">
            <w:pPr>
              <w:spacing w:line="400" w:lineRule="exact"/>
              <w:rPr>
                <w:rFonts w:hint="eastAsia"/>
                <w:color w:val="auto"/>
                <w:sz w:val="24"/>
                <w:szCs w:val="24"/>
                <w:highlight w:val="none"/>
              </w:rPr>
            </w:pPr>
            <w:r>
              <w:rPr>
                <w:rFonts w:hint="eastAsia"/>
                <w:color w:val="auto"/>
                <w:sz w:val="24"/>
                <w:szCs w:val="24"/>
                <w:highlight w:val="none"/>
              </w:rPr>
              <w:t xml:space="preserve"> 虚拟展馆资源需支持热点跳转与语音解说接口，可与平台用户权限系统对接。  </w:t>
            </w:r>
          </w:p>
          <w:p w14:paraId="66B7CCE4">
            <w:pPr>
              <w:spacing w:line="400" w:lineRule="exact"/>
              <w:rPr>
                <w:rFonts w:hint="eastAsia"/>
                <w:color w:val="auto"/>
                <w:sz w:val="24"/>
                <w:szCs w:val="24"/>
                <w:highlight w:val="none"/>
              </w:rPr>
            </w:pPr>
            <w:r>
              <w:rPr>
                <w:rFonts w:hint="eastAsia"/>
                <w:color w:val="auto"/>
                <w:sz w:val="24"/>
                <w:szCs w:val="24"/>
                <w:highlight w:val="none"/>
              </w:rPr>
              <w:t xml:space="preserve"> 仿真实验资源需支持试玩模式调用接口，支持操作记录与成绩回传。  </w:t>
            </w:r>
          </w:p>
          <w:p w14:paraId="75535BF8">
            <w:pPr>
              <w:spacing w:line="400" w:lineRule="exact"/>
              <w:rPr>
                <w:rFonts w:hint="eastAsia"/>
                <w:color w:val="auto"/>
                <w:sz w:val="24"/>
                <w:szCs w:val="24"/>
                <w:highlight w:val="none"/>
              </w:rPr>
            </w:pPr>
          </w:p>
          <w:p w14:paraId="1458682F">
            <w:pPr>
              <w:spacing w:line="400" w:lineRule="exact"/>
              <w:rPr>
                <w:rFonts w:hint="eastAsia"/>
                <w:color w:val="auto"/>
                <w:sz w:val="24"/>
                <w:szCs w:val="24"/>
                <w:highlight w:val="none"/>
              </w:rPr>
            </w:pPr>
            <w:r>
              <w:rPr>
                <w:rFonts w:hint="eastAsia"/>
                <w:color w:val="auto"/>
                <w:sz w:val="24"/>
                <w:szCs w:val="24"/>
                <w:highlight w:val="none"/>
              </w:rPr>
              <w:t xml:space="preserve">（三）技术参数  </w:t>
            </w:r>
          </w:p>
          <w:p w14:paraId="7EC045B1">
            <w:pPr>
              <w:spacing w:line="400" w:lineRule="exact"/>
              <w:rPr>
                <w:rFonts w:hint="eastAsia"/>
                <w:color w:val="auto"/>
                <w:sz w:val="24"/>
                <w:szCs w:val="24"/>
                <w:highlight w:val="none"/>
              </w:rPr>
            </w:pPr>
            <w:r>
              <w:rPr>
                <w:rFonts w:hint="eastAsia"/>
                <w:color w:val="auto"/>
                <w:sz w:val="24"/>
                <w:szCs w:val="24"/>
                <w:highlight w:val="none"/>
              </w:rPr>
              <w:t xml:space="preserve"> 平台需支持Windows、Linux服务器部署，支持MySQL或PostgreSQL数据库。  </w:t>
            </w:r>
          </w:p>
          <w:p w14:paraId="5DE2E341">
            <w:pPr>
              <w:spacing w:line="400" w:lineRule="exact"/>
              <w:rPr>
                <w:rFonts w:hint="eastAsia"/>
                <w:color w:val="auto"/>
                <w:sz w:val="24"/>
                <w:szCs w:val="24"/>
                <w:highlight w:val="none"/>
              </w:rPr>
            </w:pPr>
            <w:r>
              <w:rPr>
                <w:rFonts w:hint="eastAsia"/>
                <w:color w:val="auto"/>
                <w:sz w:val="24"/>
                <w:szCs w:val="24"/>
                <w:highlight w:val="none"/>
              </w:rPr>
              <w:t xml:space="preserve"> 前端支持HTML5、WebGL，兼容主流浏览器（Chrome、Firefox、Edge等）。  </w:t>
            </w:r>
          </w:p>
          <w:p w14:paraId="57B52741">
            <w:pPr>
              <w:spacing w:line="400" w:lineRule="exact"/>
              <w:rPr>
                <w:rFonts w:hint="eastAsia"/>
                <w:color w:val="auto"/>
                <w:sz w:val="24"/>
                <w:szCs w:val="24"/>
                <w:highlight w:val="none"/>
              </w:rPr>
            </w:pPr>
            <w:r>
              <w:rPr>
                <w:rFonts w:hint="eastAsia"/>
                <w:color w:val="auto"/>
                <w:sz w:val="24"/>
                <w:szCs w:val="24"/>
                <w:highlight w:val="none"/>
              </w:rPr>
              <w:t xml:space="preserve"> 提供RESTful API等接口文档，支持二次开发与定制化扩展。  </w:t>
            </w:r>
          </w:p>
          <w:p w14:paraId="0F76382D">
            <w:pPr>
              <w:spacing w:line="400" w:lineRule="exact"/>
              <w:rPr>
                <w:rFonts w:hint="eastAsia"/>
                <w:color w:val="auto"/>
                <w:sz w:val="24"/>
                <w:szCs w:val="24"/>
                <w:highlight w:val="none"/>
              </w:rPr>
            </w:pPr>
          </w:p>
          <w:p w14:paraId="02EEDBEC">
            <w:pPr>
              <w:spacing w:line="400" w:lineRule="exact"/>
              <w:rPr>
                <w:rFonts w:hint="eastAsia"/>
                <w:color w:val="auto"/>
                <w:sz w:val="24"/>
                <w:szCs w:val="24"/>
                <w:highlight w:val="none"/>
              </w:rPr>
            </w:pPr>
            <w:r>
              <w:rPr>
                <w:rFonts w:hint="eastAsia"/>
                <w:color w:val="auto"/>
                <w:sz w:val="24"/>
                <w:szCs w:val="24"/>
                <w:highlight w:val="none"/>
              </w:rPr>
              <w:t>（四）技术保障</w:t>
            </w:r>
          </w:p>
          <w:p w14:paraId="012FAA48">
            <w:pPr>
              <w:spacing w:line="400" w:lineRule="exact"/>
              <w:rPr>
                <w:rFonts w:hint="eastAsia"/>
                <w:color w:val="auto"/>
                <w:sz w:val="24"/>
                <w:szCs w:val="24"/>
                <w:highlight w:val="none"/>
              </w:rPr>
            </w:pPr>
            <w:r>
              <w:rPr>
                <w:rFonts w:hint="eastAsia"/>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7662FCFF">
            <w:pPr>
              <w:spacing w:line="400" w:lineRule="exact"/>
              <w:rPr>
                <w:rFonts w:hint="eastAsia"/>
                <w:color w:val="auto"/>
                <w:sz w:val="24"/>
                <w:szCs w:val="24"/>
                <w:highlight w:val="none"/>
              </w:rPr>
            </w:pPr>
            <w:r>
              <w:rPr>
                <w:rFonts w:hint="eastAsia"/>
                <w:color w:val="auto"/>
                <w:sz w:val="24"/>
                <w:szCs w:val="24"/>
                <w:highlight w:val="none"/>
              </w:rPr>
              <w:t>2.提供防火墙隔离策略，划分DMZ区隔离外网访问与核心教学数据区，外网请求需通过身份验证网关。</w:t>
            </w:r>
          </w:p>
          <w:p w14:paraId="525B8BA1">
            <w:pPr>
              <w:spacing w:line="400" w:lineRule="exact"/>
              <w:rPr>
                <w:rFonts w:hint="eastAsia"/>
                <w:color w:val="auto"/>
                <w:sz w:val="24"/>
                <w:szCs w:val="24"/>
                <w:highlight w:val="none"/>
              </w:rPr>
            </w:pPr>
            <w:r>
              <w:rPr>
                <w:rFonts w:hint="eastAsia"/>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4A1D18D0">
            <w:pPr>
              <w:spacing w:line="400" w:lineRule="exact"/>
              <w:rPr>
                <w:rFonts w:hint="eastAsia"/>
                <w:color w:val="auto"/>
                <w:sz w:val="24"/>
                <w:szCs w:val="24"/>
                <w:highlight w:val="none"/>
              </w:rPr>
            </w:pPr>
            <w:r>
              <w:rPr>
                <w:rFonts w:hint="eastAsia"/>
                <w:color w:val="auto"/>
                <w:sz w:val="24"/>
                <w:szCs w:val="24"/>
                <w:highlight w:val="none"/>
              </w:rPr>
              <w:t>4.内置数据脱敏功能，学生成绩、教师评语等敏感信息展示时自动隐藏关键字段（如身份证号）。</w:t>
            </w:r>
          </w:p>
          <w:p w14:paraId="0338CD7D">
            <w:pPr>
              <w:spacing w:line="400" w:lineRule="exact"/>
              <w:rPr>
                <w:rFonts w:hint="eastAsia"/>
                <w:color w:val="auto"/>
                <w:sz w:val="24"/>
                <w:szCs w:val="24"/>
                <w:highlight w:val="none"/>
              </w:rPr>
            </w:pPr>
            <w:r>
              <w:rPr>
                <w:rFonts w:hint="eastAsia"/>
                <w:color w:val="auto"/>
                <w:sz w:val="24"/>
                <w:szCs w:val="24"/>
                <w:highlight w:val="none"/>
              </w:rPr>
              <w:t>5.支持操作日志全量审计，记录用户登录、资源访问、数据导出等行为，日志保留≥180天。</w:t>
            </w:r>
          </w:p>
          <w:p w14:paraId="07A7F349">
            <w:pPr>
              <w:spacing w:line="400" w:lineRule="exact"/>
              <w:rPr>
                <w:rFonts w:hint="eastAsia"/>
                <w:color w:val="auto"/>
                <w:sz w:val="24"/>
                <w:szCs w:val="24"/>
                <w:highlight w:val="none"/>
              </w:rPr>
            </w:pPr>
            <w:r>
              <w:rPr>
                <w:rFonts w:hint="eastAsia"/>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054645C8">
            <w:pPr>
              <w:spacing w:line="400" w:lineRule="exact"/>
              <w:rPr>
                <w:rFonts w:hint="eastAsia"/>
                <w:color w:val="auto"/>
                <w:sz w:val="24"/>
                <w:szCs w:val="24"/>
                <w:highlight w:val="none"/>
              </w:rPr>
            </w:pPr>
            <w:r>
              <w:rPr>
                <w:rFonts w:hint="eastAsia"/>
                <w:color w:val="auto"/>
                <w:sz w:val="24"/>
                <w:szCs w:val="24"/>
                <w:highlight w:val="none"/>
              </w:rPr>
              <w:t>7.平台为本地部署，提供五年的免费技术服务及免费升级服务，提供不低于1名技术工程师驻点一年服务（驻点服务按实际项目需求确定）。</w:t>
            </w:r>
          </w:p>
          <w:p w14:paraId="3667B33B">
            <w:pPr>
              <w:spacing w:line="400" w:lineRule="exact"/>
              <w:rPr>
                <w:rFonts w:hint="eastAsia"/>
                <w:color w:val="auto"/>
                <w:sz w:val="24"/>
                <w:szCs w:val="24"/>
                <w:highlight w:val="none"/>
              </w:rPr>
            </w:pPr>
          </w:p>
          <w:p w14:paraId="78104722">
            <w:pPr>
              <w:spacing w:line="400" w:lineRule="exact"/>
              <w:rPr>
                <w:rFonts w:hint="eastAsia"/>
                <w:color w:val="auto"/>
                <w:sz w:val="24"/>
                <w:szCs w:val="24"/>
                <w:highlight w:val="none"/>
              </w:rPr>
            </w:pPr>
            <w:r>
              <w:rPr>
                <w:rFonts w:hint="eastAsia"/>
                <w:color w:val="auto"/>
                <w:sz w:val="24"/>
                <w:szCs w:val="24"/>
                <w:highlight w:val="none"/>
              </w:rPr>
              <w:t>（五）系统部署与服务支持要求</w:t>
            </w:r>
          </w:p>
          <w:p w14:paraId="05A64C4C">
            <w:pPr>
              <w:spacing w:line="400" w:lineRule="exact"/>
              <w:rPr>
                <w:rFonts w:hint="eastAsia"/>
                <w:color w:val="auto"/>
                <w:sz w:val="24"/>
                <w:szCs w:val="24"/>
                <w:highlight w:val="none"/>
              </w:rPr>
            </w:pPr>
            <w:r>
              <w:rPr>
                <w:rFonts w:hint="eastAsia"/>
                <w:color w:val="auto"/>
                <w:sz w:val="24"/>
                <w:szCs w:val="24"/>
                <w:highlight w:val="none"/>
              </w:rPr>
              <w:t>1. 系统部署方式：需为本地化部署，所有软件及数据应部署于采购方指定的校内服务器。</w:t>
            </w:r>
          </w:p>
          <w:p w14:paraId="320EA8E5">
            <w:pPr>
              <w:spacing w:line="400" w:lineRule="exact"/>
              <w:rPr>
                <w:rFonts w:hint="eastAsia"/>
                <w:color w:val="auto"/>
                <w:sz w:val="24"/>
                <w:szCs w:val="24"/>
                <w:highlight w:val="none"/>
              </w:rPr>
            </w:pPr>
            <w:r>
              <w:rPr>
                <w:rFonts w:hint="eastAsia"/>
                <w:color w:val="auto"/>
                <w:sz w:val="24"/>
                <w:szCs w:val="24"/>
                <w:highlight w:val="none"/>
              </w:rPr>
              <w:t>2. 授权与使用限制：系统部署后应终身免费使用，不限制用户数，无需额外支付授权费用。</w:t>
            </w:r>
          </w:p>
          <w:p w14:paraId="7E578BA3">
            <w:pPr>
              <w:spacing w:line="400" w:lineRule="exact"/>
              <w:rPr>
                <w:rFonts w:hint="eastAsia"/>
                <w:color w:val="auto"/>
                <w:sz w:val="24"/>
                <w:szCs w:val="24"/>
                <w:highlight w:val="none"/>
              </w:rPr>
            </w:pPr>
            <w:r>
              <w:rPr>
                <w:rFonts w:hint="eastAsia"/>
                <w:color w:val="auto"/>
                <w:sz w:val="24"/>
                <w:szCs w:val="24"/>
                <w:highlight w:val="none"/>
              </w:rPr>
              <w:t>3. 质保与维护服务：提供不少于5年的免费质保与系统维护服务。质保期内须提供功能更新、漏洞修复及技术支援。</w:t>
            </w:r>
          </w:p>
          <w:p w14:paraId="629B641C">
            <w:pPr>
              <w:spacing w:line="400" w:lineRule="exact"/>
              <w:rPr>
                <w:rFonts w:hint="eastAsia"/>
                <w:color w:val="auto"/>
                <w:sz w:val="24"/>
                <w:szCs w:val="24"/>
                <w:highlight w:val="none"/>
              </w:rPr>
            </w:pPr>
            <w:r>
              <w:rPr>
                <w:rFonts w:hint="eastAsia"/>
                <w:color w:val="auto"/>
                <w:sz w:val="24"/>
                <w:szCs w:val="24"/>
                <w:highlight w:val="none"/>
              </w:rPr>
              <w:t>4. 期满后续服务：质保期满后，应可继续提供有偿技术服务，收费标准不高于原合该平台金额的10%/年，具体服务内容由双方协商确定。</w:t>
            </w:r>
          </w:p>
          <w:p w14:paraId="1CB0E8D5">
            <w:pPr>
              <w:spacing w:line="400" w:lineRule="exact"/>
              <w:rPr>
                <w:rFonts w:hint="eastAsia"/>
                <w:color w:val="auto"/>
                <w:sz w:val="24"/>
                <w:szCs w:val="24"/>
                <w:highlight w:val="none"/>
              </w:rPr>
            </w:pPr>
          </w:p>
          <w:p w14:paraId="02C47F1D">
            <w:pPr>
              <w:spacing w:line="400" w:lineRule="exact"/>
              <w:rPr>
                <w:rFonts w:hint="eastAsia"/>
                <w:color w:val="auto"/>
                <w:sz w:val="24"/>
                <w:szCs w:val="24"/>
                <w:highlight w:val="none"/>
              </w:rPr>
            </w:pPr>
            <w:r>
              <w:rPr>
                <w:rFonts w:hint="eastAsia"/>
                <w:color w:val="auto"/>
                <w:sz w:val="24"/>
                <w:szCs w:val="24"/>
                <w:highlight w:val="none"/>
              </w:rPr>
              <w:t>（六）系统对接要求</w:t>
            </w:r>
          </w:p>
          <w:p w14:paraId="02E25DE6">
            <w:pPr>
              <w:spacing w:line="400" w:lineRule="exact"/>
              <w:rPr>
                <w:rFonts w:hint="eastAsia"/>
                <w:color w:val="auto"/>
                <w:sz w:val="24"/>
                <w:szCs w:val="24"/>
                <w:highlight w:val="none"/>
              </w:rPr>
            </w:pPr>
            <w:r>
              <w:rPr>
                <w:rFonts w:hint="eastAsia"/>
                <w:color w:val="auto"/>
                <w:sz w:val="24"/>
                <w:szCs w:val="24"/>
                <w:highlight w:val="none"/>
              </w:rPr>
              <w:t>1. 数据回传接口：需提供稳定可靠的数据库连接方式或采购方认可的数据接口，并附有完整数据字典，确保数据有效、完整、接口性能达标。</w:t>
            </w:r>
          </w:p>
          <w:p w14:paraId="1D910F7C">
            <w:pPr>
              <w:spacing w:line="400" w:lineRule="exact"/>
              <w:rPr>
                <w:rFonts w:hint="eastAsia"/>
                <w:color w:val="auto"/>
                <w:sz w:val="24"/>
                <w:szCs w:val="24"/>
                <w:highlight w:val="none"/>
              </w:rPr>
            </w:pPr>
            <w:r>
              <w:rPr>
                <w:rFonts w:hint="eastAsia"/>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10044CD7">
            <w:pPr>
              <w:spacing w:line="400" w:lineRule="exact"/>
              <w:rPr>
                <w:rFonts w:hint="eastAsia"/>
                <w:color w:val="auto"/>
                <w:sz w:val="24"/>
                <w:szCs w:val="24"/>
                <w:highlight w:val="none"/>
              </w:rPr>
            </w:pPr>
            <w:r>
              <w:rPr>
                <w:rFonts w:hint="eastAsia"/>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4CF6143A">
            <w:pPr>
              <w:pStyle w:val="1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983" w:type="dxa"/>
            <w:vAlign w:val="center"/>
          </w:tcPr>
          <w:p w14:paraId="10290932">
            <w:pPr>
              <w:pStyle w:val="1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r>
      <w:tr w14:paraId="5095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12DD7811">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925" w:type="dxa"/>
            <w:vMerge w:val="continue"/>
            <w:vAlign w:val="center"/>
          </w:tcPr>
          <w:p w14:paraId="39A5AC5D">
            <w:pPr>
              <w:widowControl/>
              <w:snapToGrid w:val="0"/>
              <w:spacing w:line="400" w:lineRule="exact"/>
              <w:jc w:val="center"/>
              <w:rPr>
                <w:rFonts w:hint="eastAsia" w:ascii="宋体" w:hAnsi="宋体" w:cs="宋体"/>
                <w:color w:val="auto"/>
                <w:sz w:val="24"/>
                <w:szCs w:val="24"/>
                <w:highlight w:val="none"/>
                <w:lang w:val="en-US" w:eastAsia="zh-CN"/>
              </w:rPr>
            </w:pPr>
          </w:p>
        </w:tc>
        <w:tc>
          <w:tcPr>
            <w:tcW w:w="525" w:type="dxa"/>
            <w:vMerge w:val="continue"/>
            <w:vAlign w:val="center"/>
          </w:tcPr>
          <w:p w14:paraId="6D860DFF">
            <w:pPr>
              <w:widowControl/>
              <w:snapToGrid w:val="0"/>
              <w:spacing w:line="400" w:lineRule="exact"/>
              <w:rPr>
                <w:rFonts w:hint="eastAsia" w:ascii="宋体" w:hAnsi="宋体" w:cs="宋体"/>
                <w:color w:val="auto"/>
                <w:sz w:val="24"/>
                <w:szCs w:val="24"/>
                <w:highlight w:val="none"/>
              </w:rPr>
            </w:pPr>
          </w:p>
        </w:tc>
        <w:tc>
          <w:tcPr>
            <w:tcW w:w="5213" w:type="dxa"/>
            <w:gridSpan w:val="2"/>
            <w:vAlign w:val="center"/>
          </w:tcPr>
          <w:p w14:paraId="1C3CD089">
            <w:pPr>
              <w:spacing w:line="400" w:lineRule="exact"/>
              <w:rPr>
                <w:rFonts w:hint="eastAsia"/>
                <w:color w:val="auto"/>
                <w:sz w:val="24"/>
                <w:szCs w:val="24"/>
                <w:highlight w:val="none"/>
              </w:rPr>
            </w:pPr>
            <w:r>
              <w:rPr>
                <w:rFonts w:hint="eastAsia"/>
                <w:color w:val="auto"/>
                <w:sz w:val="24"/>
                <w:szCs w:val="24"/>
                <w:highlight w:val="none"/>
              </w:rPr>
              <w:t>三、虚拟仿真中心统一工作云平台：</w:t>
            </w:r>
          </w:p>
          <w:p w14:paraId="13862F86">
            <w:pPr>
              <w:spacing w:line="400" w:lineRule="exact"/>
              <w:rPr>
                <w:rFonts w:hint="eastAsia"/>
                <w:color w:val="auto"/>
                <w:sz w:val="24"/>
                <w:szCs w:val="24"/>
                <w:highlight w:val="none"/>
              </w:rPr>
            </w:pPr>
            <w:r>
              <w:rPr>
                <w:rFonts w:hint="eastAsia"/>
                <w:color w:val="auto"/>
                <w:sz w:val="24"/>
                <w:szCs w:val="24"/>
                <w:highlight w:val="none"/>
              </w:rPr>
              <w:t>（一）设备任务管理</w:t>
            </w:r>
          </w:p>
          <w:p w14:paraId="170AA020">
            <w:pPr>
              <w:spacing w:line="400" w:lineRule="exact"/>
              <w:rPr>
                <w:rFonts w:hint="eastAsia"/>
                <w:color w:val="auto"/>
                <w:sz w:val="24"/>
                <w:szCs w:val="24"/>
                <w:highlight w:val="none"/>
              </w:rPr>
            </w:pPr>
            <w:r>
              <w:rPr>
                <w:rFonts w:hint="eastAsia"/>
                <w:color w:val="auto"/>
                <w:sz w:val="24"/>
                <w:szCs w:val="24"/>
                <w:highlight w:val="none"/>
              </w:rPr>
              <w:t>1.支持对接硬件设备，使本系统可应用于硬件，可使硬件联通虚拟仿真资源。</w:t>
            </w:r>
          </w:p>
          <w:p w14:paraId="03454612">
            <w:pPr>
              <w:spacing w:line="400" w:lineRule="exact"/>
              <w:rPr>
                <w:rFonts w:hint="eastAsia"/>
                <w:color w:val="auto"/>
                <w:sz w:val="24"/>
                <w:szCs w:val="24"/>
                <w:highlight w:val="none"/>
              </w:rPr>
            </w:pPr>
            <w:r>
              <w:rPr>
                <w:rFonts w:hint="eastAsia"/>
                <w:color w:val="auto"/>
                <w:sz w:val="24"/>
                <w:szCs w:val="24"/>
                <w:highlight w:val="none"/>
              </w:rPr>
              <w:t xml:space="preserve">2.提供软件拓扑图，可视化展示对应虚拟仿真资源在各设备上的安装情况 </w:t>
            </w:r>
          </w:p>
          <w:p w14:paraId="07CCCF91">
            <w:pPr>
              <w:spacing w:line="400" w:lineRule="exact"/>
              <w:rPr>
                <w:rFonts w:hint="eastAsia"/>
                <w:color w:val="auto"/>
                <w:sz w:val="24"/>
                <w:szCs w:val="24"/>
                <w:highlight w:val="none"/>
              </w:rPr>
            </w:pPr>
            <w:r>
              <w:rPr>
                <w:rFonts w:hint="eastAsia"/>
                <w:color w:val="auto"/>
                <w:sz w:val="24"/>
                <w:szCs w:val="24"/>
                <w:highlight w:val="none"/>
              </w:rPr>
              <w:t xml:space="preserve">3.支持设备预约管理，教师或管理员可提前预约设备使用时段，避免冲突。  </w:t>
            </w:r>
          </w:p>
          <w:p w14:paraId="0BE6B6FC">
            <w:pPr>
              <w:spacing w:line="400" w:lineRule="exact"/>
              <w:rPr>
                <w:rFonts w:hint="eastAsia"/>
                <w:color w:val="auto"/>
                <w:sz w:val="24"/>
                <w:szCs w:val="24"/>
                <w:highlight w:val="none"/>
              </w:rPr>
            </w:pPr>
            <w:r>
              <w:rPr>
                <w:rFonts w:hint="eastAsia"/>
                <w:color w:val="auto"/>
                <w:sz w:val="24"/>
                <w:szCs w:val="24"/>
                <w:highlight w:val="none"/>
              </w:rPr>
              <w:t xml:space="preserve">4.提供设备使用日志记录功能，可查询历史使用记录（使用者、时长、操作内容等）。  </w:t>
            </w:r>
          </w:p>
          <w:p w14:paraId="3BC88B7A">
            <w:pPr>
              <w:spacing w:line="400" w:lineRule="exact"/>
              <w:rPr>
                <w:rFonts w:hint="eastAsia"/>
                <w:color w:val="auto"/>
                <w:sz w:val="24"/>
                <w:szCs w:val="24"/>
                <w:highlight w:val="none"/>
              </w:rPr>
            </w:pPr>
            <w:r>
              <w:rPr>
                <w:rFonts w:hint="eastAsia"/>
                <w:color w:val="auto"/>
                <w:sz w:val="24"/>
                <w:szCs w:val="24"/>
                <w:highlight w:val="none"/>
              </w:rPr>
              <w:t xml:space="preserve">5.支持设备维护计划制定与提醒，包括定期检修、耗材更换等。  </w:t>
            </w:r>
          </w:p>
          <w:p w14:paraId="2AE99CF0">
            <w:pPr>
              <w:spacing w:line="400" w:lineRule="exact"/>
              <w:rPr>
                <w:rFonts w:hint="eastAsia"/>
                <w:color w:val="auto"/>
                <w:sz w:val="24"/>
                <w:szCs w:val="24"/>
                <w:highlight w:val="none"/>
              </w:rPr>
            </w:pPr>
            <w:r>
              <w:rPr>
                <w:rFonts w:hint="eastAsia"/>
                <w:color w:val="auto"/>
                <w:sz w:val="24"/>
                <w:szCs w:val="24"/>
                <w:highlight w:val="none"/>
              </w:rPr>
              <w:t xml:space="preserve">6.提供故障报修流程，用户可提交故障申请，管理员分配维修任务并跟踪进度。  </w:t>
            </w:r>
          </w:p>
          <w:p w14:paraId="42FC76AF">
            <w:pPr>
              <w:spacing w:line="400" w:lineRule="exact"/>
              <w:rPr>
                <w:rFonts w:hint="eastAsia"/>
                <w:color w:val="auto"/>
                <w:sz w:val="24"/>
                <w:szCs w:val="24"/>
                <w:highlight w:val="none"/>
              </w:rPr>
            </w:pPr>
            <w:r>
              <w:rPr>
                <w:rFonts w:hint="eastAsia"/>
                <w:color w:val="auto"/>
                <w:sz w:val="24"/>
                <w:szCs w:val="24"/>
                <w:highlight w:val="none"/>
              </w:rPr>
              <w:t xml:space="preserve">7.支持设备资产信息管理，包括采购日期、保修期、供应商等信息的录入与查询。    </w:t>
            </w:r>
          </w:p>
          <w:p w14:paraId="25143A47">
            <w:pPr>
              <w:spacing w:line="400" w:lineRule="exact"/>
              <w:rPr>
                <w:rFonts w:hint="eastAsia"/>
                <w:color w:val="auto"/>
                <w:sz w:val="24"/>
                <w:szCs w:val="24"/>
                <w:highlight w:val="none"/>
              </w:rPr>
            </w:pPr>
            <w:r>
              <w:rPr>
                <w:rFonts w:hint="eastAsia"/>
                <w:color w:val="auto"/>
                <w:sz w:val="24"/>
                <w:szCs w:val="24"/>
                <w:highlight w:val="none"/>
              </w:rPr>
              <w:t xml:space="preserve">8.系统支持角色分工，默认角色包括：超级管理员、设备管理员、教师、学生、访客，支持自定义角色。  </w:t>
            </w:r>
          </w:p>
          <w:p w14:paraId="522551AA">
            <w:pPr>
              <w:spacing w:line="400" w:lineRule="exact"/>
              <w:rPr>
                <w:rFonts w:hint="eastAsia"/>
                <w:color w:val="auto"/>
                <w:sz w:val="24"/>
                <w:szCs w:val="24"/>
                <w:highlight w:val="none"/>
              </w:rPr>
            </w:pPr>
            <w:r>
              <w:rPr>
                <w:rFonts w:hint="eastAsia"/>
                <w:color w:val="auto"/>
                <w:sz w:val="24"/>
                <w:szCs w:val="24"/>
                <w:highlight w:val="none"/>
              </w:rPr>
              <w:t xml:space="preserve">9.角色权限层级分为：中心级、学院级、专业级、班级级，实现分级管理。  </w:t>
            </w:r>
          </w:p>
          <w:p w14:paraId="77427FA2">
            <w:pPr>
              <w:spacing w:line="400" w:lineRule="exact"/>
              <w:rPr>
                <w:rFonts w:hint="eastAsia"/>
                <w:color w:val="auto"/>
                <w:sz w:val="24"/>
                <w:szCs w:val="24"/>
                <w:highlight w:val="none"/>
              </w:rPr>
            </w:pPr>
            <w:r>
              <w:rPr>
                <w:rFonts w:hint="eastAsia"/>
                <w:color w:val="auto"/>
                <w:sz w:val="24"/>
                <w:szCs w:val="24"/>
                <w:highlight w:val="none"/>
              </w:rPr>
              <w:t xml:space="preserve">10.支持功能权限分配（如数据导出、用户管理等）。  </w:t>
            </w:r>
          </w:p>
          <w:p w14:paraId="354F3113">
            <w:pPr>
              <w:spacing w:line="400" w:lineRule="exact"/>
              <w:rPr>
                <w:rFonts w:hint="eastAsia"/>
                <w:color w:val="auto"/>
                <w:sz w:val="24"/>
                <w:szCs w:val="24"/>
                <w:highlight w:val="none"/>
              </w:rPr>
            </w:pPr>
            <w:r>
              <w:rPr>
                <w:rFonts w:hint="eastAsia"/>
                <w:color w:val="auto"/>
                <w:sz w:val="24"/>
                <w:szCs w:val="24"/>
                <w:highlight w:val="none"/>
              </w:rPr>
              <w:t xml:space="preserve">11.支持数据权限分配（如数据使用范围、资源访问范围等）。  </w:t>
            </w:r>
          </w:p>
          <w:p w14:paraId="31884E4E">
            <w:pPr>
              <w:spacing w:line="400" w:lineRule="exact"/>
              <w:rPr>
                <w:rFonts w:hint="eastAsia"/>
                <w:color w:val="auto"/>
                <w:sz w:val="24"/>
                <w:szCs w:val="24"/>
                <w:highlight w:val="none"/>
              </w:rPr>
            </w:pPr>
            <w:r>
              <w:rPr>
                <w:rFonts w:hint="eastAsia"/>
                <w:color w:val="auto"/>
                <w:sz w:val="24"/>
                <w:szCs w:val="24"/>
                <w:highlight w:val="none"/>
              </w:rPr>
              <w:t xml:space="preserve">12.支持操作权限分配（如仅查看、可编辑、可审批等）。  </w:t>
            </w:r>
          </w:p>
          <w:p w14:paraId="416B148E">
            <w:pPr>
              <w:spacing w:line="400" w:lineRule="exact"/>
              <w:rPr>
                <w:rFonts w:hint="eastAsia"/>
                <w:color w:val="auto"/>
                <w:sz w:val="24"/>
                <w:szCs w:val="24"/>
                <w:highlight w:val="none"/>
              </w:rPr>
            </w:pPr>
            <w:r>
              <w:rPr>
                <w:rFonts w:hint="eastAsia"/>
                <w:color w:val="auto"/>
                <w:sz w:val="24"/>
                <w:szCs w:val="24"/>
                <w:highlight w:val="none"/>
              </w:rPr>
              <w:t>13.支持批量导入用户信息</w:t>
            </w:r>
          </w:p>
          <w:p w14:paraId="7189F2DB">
            <w:pPr>
              <w:spacing w:line="400" w:lineRule="exact"/>
              <w:rPr>
                <w:rFonts w:hint="eastAsia"/>
                <w:color w:val="auto"/>
                <w:sz w:val="24"/>
                <w:szCs w:val="24"/>
                <w:highlight w:val="none"/>
              </w:rPr>
            </w:pPr>
            <w:r>
              <w:rPr>
                <w:rFonts w:hint="eastAsia"/>
                <w:color w:val="auto"/>
                <w:sz w:val="24"/>
                <w:szCs w:val="24"/>
                <w:highlight w:val="none"/>
              </w:rPr>
              <w:t xml:space="preserve">14.提供用户状态管理（启用/禁用）、密码重置、个人信息维护等功能。  </w:t>
            </w:r>
          </w:p>
          <w:p w14:paraId="16D369B4">
            <w:pPr>
              <w:spacing w:line="400" w:lineRule="exact"/>
              <w:rPr>
                <w:rFonts w:hint="eastAsia"/>
                <w:color w:val="auto"/>
                <w:sz w:val="24"/>
                <w:szCs w:val="24"/>
                <w:highlight w:val="none"/>
              </w:rPr>
            </w:pPr>
            <w:r>
              <w:rPr>
                <w:rFonts w:hint="eastAsia"/>
                <w:color w:val="auto"/>
                <w:sz w:val="24"/>
                <w:szCs w:val="24"/>
                <w:highlight w:val="none"/>
              </w:rPr>
              <w:t xml:space="preserve">15.支持实训资源分类管理（如教学视频、3D模型、实验数据等）。  </w:t>
            </w:r>
          </w:p>
          <w:p w14:paraId="6330496F">
            <w:pPr>
              <w:spacing w:line="400" w:lineRule="exact"/>
              <w:rPr>
                <w:rFonts w:hint="eastAsia"/>
                <w:color w:val="auto"/>
                <w:sz w:val="24"/>
                <w:szCs w:val="24"/>
                <w:highlight w:val="none"/>
              </w:rPr>
            </w:pPr>
            <w:r>
              <w:rPr>
                <w:rFonts w:hint="eastAsia"/>
                <w:color w:val="auto"/>
                <w:sz w:val="24"/>
                <w:szCs w:val="24"/>
                <w:highlight w:val="none"/>
              </w:rPr>
              <w:t xml:space="preserve">16.提供资源发布功能，管理员可设置资源的开放范围（校内公开、部分可见、访客可见）。  </w:t>
            </w:r>
          </w:p>
          <w:p w14:paraId="3EEF8C95">
            <w:pPr>
              <w:spacing w:line="400" w:lineRule="exact"/>
              <w:rPr>
                <w:rFonts w:hint="eastAsia"/>
                <w:color w:val="auto"/>
                <w:sz w:val="24"/>
                <w:szCs w:val="24"/>
                <w:highlight w:val="none"/>
              </w:rPr>
            </w:pPr>
            <w:r>
              <w:rPr>
                <w:rFonts w:hint="eastAsia"/>
                <w:color w:val="auto"/>
                <w:sz w:val="24"/>
                <w:szCs w:val="24"/>
                <w:highlight w:val="none"/>
              </w:rPr>
              <w:t xml:space="preserve">17.支持资源标签管理，便于检索与推荐。  </w:t>
            </w:r>
          </w:p>
          <w:p w14:paraId="006517EB">
            <w:pPr>
              <w:spacing w:line="400" w:lineRule="exact"/>
              <w:rPr>
                <w:rFonts w:hint="eastAsia"/>
                <w:color w:val="auto"/>
                <w:sz w:val="24"/>
                <w:szCs w:val="24"/>
                <w:highlight w:val="none"/>
              </w:rPr>
            </w:pPr>
            <w:r>
              <w:rPr>
                <w:rFonts w:hint="eastAsia"/>
                <w:color w:val="auto"/>
                <w:sz w:val="24"/>
                <w:szCs w:val="24"/>
                <w:highlight w:val="none"/>
              </w:rPr>
              <w:t xml:space="preserve">18.访客权限限制：仅可查看标记为“公开”的资源，禁止操作设备或下载敏感数据。  </w:t>
            </w:r>
          </w:p>
          <w:p w14:paraId="555F019E">
            <w:pPr>
              <w:spacing w:line="400" w:lineRule="exact"/>
              <w:rPr>
                <w:rFonts w:hint="eastAsia"/>
                <w:color w:val="auto"/>
                <w:sz w:val="24"/>
                <w:szCs w:val="24"/>
                <w:highlight w:val="none"/>
              </w:rPr>
            </w:pPr>
            <w:r>
              <w:rPr>
                <w:rFonts w:hint="eastAsia"/>
                <w:color w:val="auto"/>
                <w:sz w:val="24"/>
                <w:szCs w:val="24"/>
                <w:highlight w:val="none"/>
              </w:rPr>
              <w:t xml:space="preserve">19.支持访客行为记录，包括访问时长、浏览内容等统计分析。  </w:t>
            </w:r>
          </w:p>
          <w:p w14:paraId="0A37A934">
            <w:pPr>
              <w:spacing w:line="400" w:lineRule="exact"/>
              <w:rPr>
                <w:rFonts w:hint="eastAsia"/>
                <w:color w:val="auto"/>
                <w:sz w:val="24"/>
                <w:szCs w:val="24"/>
                <w:highlight w:val="none"/>
              </w:rPr>
            </w:pPr>
            <w:r>
              <w:rPr>
                <w:rFonts w:hint="eastAsia"/>
                <w:color w:val="auto"/>
                <w:sz w:val="24"/>
                <w:szCs w:val="24"/>
                <w:highlight w:val="none"/>
              </w:rPr>
              <w:t xml:space="preserve">20.提供多条件组合检索功能（按类型、关键词、发布时间等）。  </w:t>
            </w:r>
          </w:p>
          <w:p w14:paraId="4F575202">
            <w:pPr>
              <w:spacing w:line="400" w:lineRule="exact"/>
              <w:rPr>
                <w:rFonts w:hint="eastAsia"/>
                <w:color w:val="auto"/>
                <w:sz w:val="24"/>
                <w:szCs w:val="24"/>
                <w:highlight w:val="none"/>
              </w:rPr>
            </w:pPr>
            <w:r>
              <w:rPr>
                <w:rFonts w:hint="eastAsia"/>
                <w:color w:val="auto"/>
                <w:sz w:val="24"/>
                <w:szCs w:val="24"/>
                <w:highlight w:val="none"/>
              </w:rPr>
              <w:t xml:space="preserve">21.支持资源在线预览（如PDF、视频、3D模型等格式）。  </w:t>
            </w:r>
          </w:p>
          <w:p w14:paraId="5D488D99">
            <w:pPr>
              <w:spacing w:line="400" w:lineRule="exact"/>
              <w:rPr>
                <w:rFonts w:hint="eastAsia"/>
                <w:color w:val="auto"/>
                <w:sz w:val="24"/>
                <w:szCs w:val="24"/>
                <w:highlight w:val="none"/>
              </w:rPr>
            </w:pPr>
            <w:r>
              <w:rPr>
                <w:rFonts w:hint="eastAsia"/>
                <w:color w:val="auto"/>
                <w:sz w:val="24"/>
                <w:szCs w:val="24"/>
                <w:highlight w:val="none"/>
              </w:rPr>
              <w:t xml:space="preserve">22.支持文件共享与协作编辑（如实训报告、项目文档等）。  </w:t>
            </w:r>
          </w:p>
          <w:p w14:paraId="27C8E0EA">
            <w:pPr>
              <w:spacing w:line="400" w:lineRule="exact"/>
              <w:rPr>
                <w:rFonts w:hint="eastAsia"/>
                <w:color w:val="auto"/>
                <w:sz w:val="24"/>
                <w:szCs w:val="24"/>
                <w:highlight w:val="none"/>
              </w:rPr>
            </w:pPr>
            <w:r>
              <w:rPr>
                <w:rFonts w:hint="eastAsia"/>
                <w:color w:val="auto"/>
                <w:sz w:val="24"/>
                <w:szCs w:val="24"/>
                <w:highlight w:val="none"/>
              </w:rPr>
              <w:t xml:space="preserve">23.提供多维评价功能，包括教师评分、小组互评、系统自动评分等。  </w:t>
            </w:r>
          </w:p>
          <w:p w14:paraId="6231607B">
            <w:pPr>
              <w:spacing w:line="400" w:lineRule="exact"/>
              <w:rPr>
                <w:rFonts w:hint="eastAsia"/>
                <w:color w:val="auto"/>
                <w:sz w:val="24"/>
                <w:szCs w:val="24"/>
                <w:highlight w:val="none"/>
              </w:rPr>
            </w:pPr>
            <w:r>
              <w:rPr>
                <w:rFonts w:hint="eastAsia"/>
                <w:color w:val="auto"/>
                <w:sz w:val="24"/>
                <w:szCs w:val="24"/>
                <w:highlight w:val="none"/>
              </w:rPr>
              <w:t xml:space="preserve">24.统计设备利用率、使用时段分布等数据，生成可视化报表。  </w:t>
            </w:r>
          </w:p>
          <w:p w14:paraId="1504C5A0">
            <w:pPr>
              <w:spacing w:line="400" w:lineRule="exact"/>
              <w:rPr>
                <w:rFonts w:hint="eastAsia"/>
                <w:color w:val="auto"/>
                <w:sz w:val="24"/>
                <w:szCs w:val="24"/>
                <w:highlight w:val="none"/>
              </w:rPr>
            </w:pPr>
            <w:r>
              <w:rPr>
                <w:rFonts w:hint="eastAsia"/>
                <w:color w:val="auto"/>
                <w:sz w:val="24"/>
                <w:szCs w:val="24"/>
                <w:highlight w:val="none"/>
              </w:rPr>
              <w:t xml:space="preserve">25.统计资源访问量、下载量、用户评价等数据，生成热门资源排行。  </w:t>
            </w:r>
          </w:p>
          <w:p w14:paraId="2B4104FC">
            <w:pPr>
              <w:spacing w:line="400" w:lineRule="exact"/>
              <w:rPr>
                <w:rFonts w:hint="eastAsia"/>
                <w:color w:val="auto"/>
                <w:sz w:val="24"/>
                <w:szCs w:val="24"/>
                <w:highlight w:val="none"/>
              </w:rPr>
            </w:pPr>
            <w:r>
              <w:rPr>
                <w:rFonts w:hint="eastAsia"/>
                <w:color w:val="auto"/>
                <w:sz w:val="24"/>
                <w:szCs w:val="24"/>
                <w:highlight w:val="none"/>
              </w:rPr>
              <w:t xml:space="preserve">26.分析资源更新频率与教学需求匹配度。  </w:t>
            </w:r>
          </w:p>
          <w:p w14:paraId="50F4BDC1">
            <w:pPr>
              <w:spacing w:line="400" w:lineRule="exact"/>
              <w:rPr>
                <w:rFonts w:hint="eastAsia"/>
                <w:color w:val="auto"/>
                <w:sz w:val="24"/>
                <w:szCs w:val="24"/>
                <w:highlight w:val="none"/>
              </w:rPr>
            </w:pPr>
            <w:r>
              <w:rPr>
                <w:rFonts w:hint="eastAsia"/>
                <w:color w:val="auto"/>
                <w:sz w:val="24"/>
                <w:szCs w:val="24"/>
                <w:highlight w:val="none"/>
              </w:rPr>
              <w:t xml:space="preserve">27.统计教师工作量（如实训任务发布数、批改报告数等）。  </w:t>
            </w:r>
          </w:p>
          <w:p w14:paraId="4557BE68">
            <w:pPr>
              <w:spacing w:line="400" w:lineRule="exact"/>
              <w:rPr>
                <w:rFonts w:hint="eastAsia"/>
                <w:color w:val="auto"/>
                <w:sz w:val="24"/>
                <w:szCs w:val="24"/>
                <w:highlight w:val="none"/>
              </w:rPr>
            </w:pPr>
            <w:r>
              <w:rPr>
                <w:rFonts w:hint="eastAsia"/>
                <w:color w:val="auto"/>
                <w:sz w:val="24"/>
                <w:szCs w:val="24"/>
                <w:highlight w:val="none"/>
              </w:rPr>
              <w:t xml:space="preserve">28.分析学生活跃度、实训完成率、成绩分布等学情数据。 </w:t>
            </w:r>
          </w:p>
          <w:p w14:paraId="73A40A55">
            <w:pPr>
              <w:spacing w:line="400" w:lineRule="exact"/>
              <w:rPr>
                <w:rFonts w:hint="eastAsia"/>
                <w:color w:val="auto"/>
                <w:sz w:val="24"/>
                <w:szCs w:val="24"/>
                <w:highlight w:val="none"/>
              </w:rPr>
            </w:pPr>
          </w:p>
          <w:p w14:paraId="3502880E">
            <w:pPr>
              <w:spacing w:line="400" w:lineRule="exact"/>
              <w:rPr>
                <w:rFonts w:hint="eastAsia"/>
                <w:color w:val="auto"/>
                <w:sz w:val="24"/>
                <w:szCs w:val="24"/>
                <w:highlight w:val="none"/>
              </w:rPr>
            </w:pPr>
            <w:r>
              <w:rPr>
                <w:rFonts w:hint="eastAsia"/>
                <w:color w:val="auto"/>
                <w:sz w:val="24"/>
                <w:szCs w:val="24"/>
                <w:highlight w:val="none"/>
              </w:rPr>
              <w:t>（二）虚拟运营</w:t>
            </w:r>
          </w:p>
          <w:p w14:paraId="33B59C52">
            <w:pPr>
              <w:spacing w:line="400" w:lineRule="exact"/>
              <w:rPr>
                <w:rFonts w:hint="eastAsia"/>
                <w:color w:val="auto"/>
                <w:sz w:val="24"/>
                <w:szCs w:val="24"/>
                <w:highlight w:val="none"/>
              </w:rPr>
            </w:pPr>
            <w:r>
              <w:rPr>
                <w:rFonts w:hint="eastAsia"/>
                <w:color w:val="auto"/>
                <w:sz w:val="24"/>
                <w:szCs w:val="24"/>
                <w:highlight w:val="none"/>
              </w:rPr>
              <w:t>▲1.运营管理支持创建触点的投放渠道，支持链接及二维码的投放类型，支持对投放方式的管理，支持选择对应的自动化营销规则，自动统计当前投放渠道的浏览量/浏览人数及浏览时长，自动生成投放计划的结果分析报告；同时支持根据任务描述上传自由词；模拟搜索引擎的推广，对推广的广告计划及推广数据进行分析。支持商城的产品管理、营销管理、订单管理等功能。</w:t>
            </w:r>
          </w:p>
          <w:p w14:paraId="7ED02217">
            <w:pPr>
              <w:spacing w:line="400" w:lineRule="exact"/>
              <w:rPr>
                <w:rFonts w:hint="eastAsia"/>
                <w:color w:val="auto"/>
                <w:sz w:val="24"/>
                <w:szCs w:val="24"/>
                <w:highlight w:val="none"/>
              </w:rPr>
            </w:pPr>
            <w:r>
              <w:rPr>
                <w:rFonts w:hint="eastAsia"/>
                <w:color w:val="auto"/>
                <w:sz w:val="24"/>
                <w:szCs w:val="24"/>
                <w:highlight w:val="none"/>
              </w:rPr>
              <w:t>▲2.系统支持对公众号的管理进行实训，每组学生支持创建独立的公众号，支持跳转到公众号的页面，学生可对公众号的文章进行管理及发布，对公众号的基础信息进行完善，设置公众号的自定义菜单，设置公众号的被添加自动回复的文字编辑，支持完善公众号关键词的自动回复功能，支持创建短信和微信的模板消息，支持对模板消息进行管理，支持管理当前公众号的粉丝，统计与该粉丝的微信消息及未读消息，展示当前粉丝的最近登录时间及创建时间，支持为当前公众号新增粉丝，系统自动同步当前公众号的粉丝，并对粉丝的性别、年龄、地区进行统计。支持商城微信的对接管理及轮播图、导航图、推荐图及主题活动等广告图片的管理。</w:t>
            </w:r>
          </w:p>
          <w:p w14:paraId="0B563AF0">
            <w:pPr>
              <w:spacing w:line="400" w:lineRule="exact"/>
              <w:rPr>
                <w:rFonts w:hint="eastAsia"/>
                <w:color w:val="auto"/>
                <w:sz w:val="24"/>
                <w:szCs w:val="24"/>
                <w:highlight w:val="none"/>
              </w:rPr>
            </w:pPr>
            <w:r>
              <w:rPr>
                <w:rFonts w:hint="eastAsia"/>
                <w:color w:val="auto"/>
                <w:sz w:val="24"/>
                <w:szCs w:val="24"/>
                <w:highlight w:val="none"/>
              </w:rPr>
              <w:t>▲3.支持模拟搜索引擎的推广；通过设定的参数建立推广广告计划，支持创建对应的推广计划，选择下载的链接，设置广告的受众（支持对目标受众年龄段、时间段、网络环境、APP行为、兴趣分布、使用的网络、使用的手机品牌等信息的设定），设置广告预算和出价，支持全天投放及时间段进行投放，支持按照点击或展示进行计费的模式；支持查看当前搜索引擎的推广数据的展示（包含投放的效果、时间段趋势、投放地域的展现量或点击量、人群属性、兴趣分布、关键词分布、平台占比、网络运营商占比等基础信息）。支持商城模块的积分商城、统计分析、商家管理等功能。</w:t>
            </w:r>
          </w:p>
          <w:p w14:paraId="59DC6074">
            <w:pPr>
              <w:spacing w:line="400" w:lineRule="exact"/>
              <w:rPr>
                <w:rFonts w:hint="eastAsia"/>
                <w:color w:val="auto"/>
                <w:sz w:val="24"/>
                <w:szCs w:val="24"/>
                <w:highlight w:val="none"/>
              </w:rPr>
            </w:pPr>
            <w:r>
              <w:rPr>
                <w:rFonts w:hint="eastAsia"/>
                <w:color w:val="auto"/>
                <w:sz w:val="24"/>
                <w:szCs w:val="24"/>
                <w:highlight w:val="none"/>
              </w:rPr>
              <w:t>▲4.支持调查问卷的创建，支持设置文件的有效时间，支持问卷的选项，支持单选和多选的选择，支持添加对应问卷的选项，支持添加多个选题，支持查看当前问卷的网址及在线预览，支持查看当前问卷的结果信息，支持查看客户问卷调研的具体选项内容。支持关键词的数据清洗及筛选，支持上传自由词，支持对自由词根据关键词规则进行清洗，支持展示关键词的列表（包含关键词、展现指数、点击指数、点击率指数、推荐出价及竞争指数）。支持商城参数的设定，包含房型、房屋守则、厨房设施、卫浴设施、配套等基础属性的设定。</w:t>
            </w:r>
          </w:p>
          <w:p w14:paraId="4BD70C5E">
            <w:pPr>
              <w:spacing w:line="400" w:lineRule="exact"/>
              <w:rPr>
                <w:rFonts w:hint="eastAsia"/>
                <w:color w:val="auto"/>
                <w:sz w:val="24"/>
                <w:szCs w:val="24"/>
                <w:highlight w:val="none"/>
              </w:rPr>
            </w:pPr>
          </w:p>
          <w:p w14:paraId="7EF9A023">
            <w:pPr>
              <w:spacing w:line="400" w:lineRule="exact"/>
              <w:rPr>
                <w:rFonts w:hint="eastAsia"/>
                <w:color w:val="auto"/>
                <w:sz w:val="24"/>
                <w:szCs w:val="24"/>
                <w:highlight w:val="none"/>
              </w:rPr>
            </w:pPr>
            <w:r>
              <w:rPr>
                <w:rFonts w:hint="eastAsia"/>
                <w:color w:val="auto"/>
                <w:sz w:val="24"/>
                <w:szCs w:val="24"/>
                <w:highlight w:val="none"/>
              </w:rPr>
              <w:t>（三）技术保障</w:t>
            </w:r>
          </w:p>
          <w:p w14:paraId="4B82634C">
            <w:pPr>
              <w:spacing w:line="400" w:lineRule="exact"/>
              <w:rPr>
                <w:rFonts w:hint="eastAsia"/>
                <w:color w:val="auto"/>
                <w:sz w:val="24"/>
                <w:szCs w:val="24"/>
                <w:highlight w:val="none"/>
              </w:rPr>
            </w:pPr>
            <w:r>
              <w:rPr>
                <w:rFonts w:hint="eastAsia"/>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6BD89078">
            <w:pPr>
              <w:spacing w:line="400" w:lineRule="exact"/>
              <w:rPr>
                <w:rFonts w:hint="eastAsia"/>
                <w:color w:val="auto"/>
                <w:sz w:val="24"/>
                <w:szCs w:val="24"/>
                <w:highlight w:val="none"/>
              </w:rPr>
            </w:pPr>
            <w:r>
              <w:rPr>
                <w:rFonts w:hint="eastAsia"/>
                <w:color w:val="auto"/>
                <w:sz w:val="24"/>
                <w:szCs w:val="24"/>
                <w:highlight w:val="none"/>
              </w:rPr>
              <w:t>2.提供防火墙隔离策略，划分DMZ区隔离外网访问与核心教学数据区，外网请求需通过身份验证网关。</w:t>
            </w:r>
          </w:p>
          <w:p w14:paraId="209D2284">
            <w:pPr>
              <w:spacing w:line="400" w:lineRule="exact"/>
              <w:rPr>
                <w:rFonts w:hint="eastAsia"/>
                <w:color w:val="auto"/>
                <w:sz w:val="24"/>
                <w:szCs w:val="24"/>
                <w:highlight w:val="none"/>
              </w:rPr>
            </w:pPr>
            <w:r>
              <w:rPr>
                <w:rFonts w:hint="eastAsia"/>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1EAA7706">
            <w:pPr>
              <w:spacing w:line="400" w:lineRule="exact"/>
              <w:rPr>
                <w:rFonts w:hint="eastAsia"/>
                <w:color w:val="auto"/>
                <w:sz w:val="24"/>
                <w:szCs w:val="24"/>
                <w:highlight w:val="none"/>
              </w:rPr>
            </w:pPr>
            <w:r>
              <w:rPr>
                <w:rFonts w:hint="eastAsia"/>
                <w:color w:val="auto"/>
                <w:sz w:val="24"/>
                <w:szCs w:val="24"/>
                <w:highlight w:val="none"/>
              </w:rPr>
              <w:t>4.内置数据脱敏功能，学生成绩、教师评语等敏感信息展示时自动隐藏关键字段（如身份证号）。</w:t>
            </w:r>
          </w:p>
          <w:p w14:paraId="1AA87318">
            <w:pPr>
              <w:spacing w:line="400" w:lineRule="exact"/>
              <w:rPr>
                <w:rFonts w:hint="eastAsia"/>
                <w:color w:val="auto"/>
                <w:sz w:val="24"/>
                <w:szCs w:val="24"/>
                <w:highlight w:val="none"/>
              </w:rPr>
            </w:pPr>
            <w:r>
              <w:rPr>
                <w:rFonts w:hint="eastAsia"/>
                <w:color w:val="auto"/>
                <w:sz w:val="24"/>
                <w:szCs w:val="24"/>
                <w:highlight w:val="none"/>
              </w:rPr>
              <w:t>5.支持操作日志全量审计，记录用户登录、资源访问、数据导出等行为，日志保留≥180天。</w:t>
            </w:r>
          </w:p>
          <w:p w14:paraId="153DB233">
            <w:pPr>
              <w:spacing w:line="400" w:lineRule="exact"/>
              <w:rPr>
                <w:rFonts w:hint="eastAsia"/>
                <w:color w:val="auto"/>
                <w:sz w:val="24"/>
                <w:szCs w:val="24"/>
                <w:highlight w:val="none"/>
              </w:rPr>
            </w:pPr>
            <w:r>
              <w:rPr>
                <w:rFonts w:hint="eastAsia"/>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2AA1FE04">
            <w:pPr>
              <w:spacing w:line="400" w:lineRule="exact"/>
              <w:rPr>
                <w:rFonts w:hint="eastAsia"/>
                <w:color w:val="auto"/>
                <w:sz w:val="24"/>
                <w:szCs w:val="24"/>
                <w:highlight w:val="none"/>
              </w:rPr>
            </w:pPr>
            <w:r>
              <w:rPr>
                <w:rFonts w:hint="eastAsia"/>
                <w:color w:val="auto"/>
                <w:sz w:val="24"/>
                <w:szCs w:val="24"/>
                <w:highlight w:val="none"/>
              </w:rPr>
              <w:t>7.平台为本地部署，提供五年的免费技术服务及免费升级服务，提供不低于1名技术工程师驻点一年服务（驻点服务按实际项目需求确定）。</w:t>
            </w:r>
          </w:p>
          <w:p w14:paraId="0D657826">
            <w:pPr>
              <w:spacing w:line="400" w:lineRule="exact"/>
              <w:rPr>
                <w:rFonts w:hint="eastAsia"/>
                <w:color w:val="auto"/>
                <w:sz w:val="24"/>
                <w:szCs w:val="24"/>
                <w:highlight w:val="none"/>
              </w:rPr>
            </w:pPr>
          </w:p>
          <w:p w14:paraId="341DFDB7">
            <w:pPr>
              <w:spacing w:line="400" w:lineRule="exact"/>
              <w:rPr>
                <w:rFonts w:hint="eastAsia"/>
                <w:color w:val="auto"/>
                <w:sz w:val="24"/>
                <w:szCs w:val="24"/>
                <w:highlight w:val="none"/>
              </w:rPr>
            </w:pPr>
            <w:r>
              <w:rPr>
                <w:rFonts w:hint="eastAsia"/>
                <w:color w:val="auto"/>
                <w:sz w:val="24"/>
                <w:szCs w:val="24"/>
                <w:highlight w:val="none"/>
              </w:rPr>
              <w:t>（四）系统部署与服务支持要求</w:t>
            </w:r>
          </w:p>
          <w:p w14:paraId="0A23CB79">
            <w:pPr>
              <w:spacing w:line="400" w:lineRule="exact"/>
              <w:rPr>
                <w:rFonts w:hint="eastAsia"/>
                <w:color w:val="auto"/>
                <w:sz w:val="24"/>
                <w:szCs w:val="24"/>
                <w:highlight w:val="none"/>
              </w:rPr>
            </w:pPr>
            <w:r>
              <w:rPr>
                <w:rFonts w:hint="eastAsia"/>
                <w:color w:val="auto"/>
                <w:sz w:val="24"/>
                <w:szCs w:val="24"/>
                <w:highlight w:val="none"/>
              </w:rPr>
              <w:t>1. 系统部署方式：需为本地化部署，所有软件及数据应部署于采购方指定的校内服务器。</w:t>
            </w:r>
          </w:p>
          <w:p w14:paraId="64C6A924">
            <w:pPr>
              <w:spacing w:line="400" w:lineRule="exact"/>
              <w:rPr>
                <w:rFonts w:hint="eastAsia"/>
                <w:color w:val="auto"/>
                <w:sz w:val="24"/>
                <w:szCs w:val="24"/>
                <w:highlight w:val="none"/>
              </w:rPr>
            </w:pPr>
            <w:r>
              <w:rPr>
                <w:rFonts w:hint="eastAsia"/>
                <w:color w:val="auto"/>
                <w:sz w:val="24"/>
                <w:szCs w:val="24"/>
                <w:highlight w:val="none"/>
              </w:rPr>
              <w:t>2. 授权与使用限制：系统部署后应终身免费使用，不限制用户数，无需额外支付授权费用。</w:t>
            </w:r>
          </w:p>
          <w:p w14:paraId="445B602F">
            <w:pPr>
              <w:spacing w:line="400" w:lineRule="exact"/>
              <w:rPr>
                <w:rFonts w:hint="eastAsia"/>
                <w:color w:val="auto"/>
                <w:sz w:val="24"/>
                <w:szCs w:val="24"/>
                <w:highlight w:val="none"/>
              </w:rPr>
            </w:pPr>
            <w:r>
              <w:rPr>
                <w:rFonts w:hint="eastAsia"/>
                <w:color w:val="auto"/>
                <w:sz w:val="24"/>
                <w:szCs w:val="24"/>
                <w:highlight w:val="none"/>
              </w:rPr>
              <w:t>3. 质保与维护服务：提供不少于5年的免费质保与系统维护服务。质保期内须提供功能更新、漏洞修复及技术支援。</w:t>
            </w:r>
          </w:p>
          <w:p w14:paraId="11DE28B9">
            <w:pPr>
              <w:spacing w:line="400" w:lineRule="exact"/>
              <w:rPr>
                <w:rFonts w:hint="eastAsia"/>
                <w:color w:val="auto"/>
                <w:sz w:val="24"/>
                <w:szCs w:val="24"/>
                <w:highlight w:val="none"/>
              </w:rPr>
            </w:pPr>
            <w:r>
              <w:rPr>
                <w:rFonts w:hint="eastAsia"/>
                <w:color w:val="auto"/>
                <w:sz w:val="24"/>
                <w:szCs w:val="24"/>
                <w:highlight w:val="none"/>
              </w:rPr>
              <w:t>4. 期满后续服务：质保期满后，应可继续提供有偿技术服务，收费标准不高于原合该平台金额的10%/年，具体服务内容由双方协商确定。</w:t>
            </w:r>
          </w:p>
          <w:p w14:paraId="4A44270A">
            <w:pPr>
              <w:spacing w:line="400" w:lineRule="exact"/>
              <w:rPr>
                <w:rFonts w:hint="eastAsia"/>
                <w:color w:val="auto"/>
                <w:sz w:val="24"/>
                <w:szCs w:val="24"/>
                <w:highlight w:val="none"/>
              </w:rPr>
            </w:pPr>
          </w:p>
          <w:p w14:paraId="025B0D87">
            <w:pPr>
              <w:spacing w:line="400" w:lineRule="exact"/>
              <w:rPr>
                <w:rFonts w:hint="eastAsia"/>
                <w:color w:val="auto"/>
                <w:sz w:val="24"/>
                <w:szCs w:val="24"/>
                <w:highlight w:val="none"/>
              </w:rPr>
            </w:pPr>
            <w:r>
              <w:rPr>
                <w:rFonts w:hint="eastAsia"/>
                <w:color w:val="auto"/>
                <w:sz w:val="24"/>
                <w:szCs w:val="24"/>
                <w:highlight w:val="none"/>
              </w:rPr>
              <w:t>（五）系统对接要求</w:t>
            </w:r>
          </w:p>
          <w:p w14:paraId="166B58BB">
            <w:pPr>
              <w:spacing w:line="400" w:lineRule="exact"/>
              <w:rPr>
                <w:rFonts w:hint="eastAsia"/>
                <w:color w:val="auto"/>
                <w:sz w:val="24"/>
                <w:szCs w:val="24"/>
                <w:highlight w:val="none"/>
              </w:rPr>
            </w:pPr>
            <w:r>
              <w:rPr>
                <w:rFonts w:hint="eastAsia"/>
                <w:color w:val="auto"/>
                <w:sz w:val="24"/>
                <w:szCs w:val="24"/>
                <w:highlight w:val="none"/>
              </w:rPr>
              <w:t>1. 数据回传接口：需提供稳定可靠的数据库连接方式或采购方认可的数据接口，并附有完整数据字典，确保数据有效、完整、接口性能达标。</w:t>
            </w:r>
          </w:p>
          <w:p w14:paraId="2726DC4A">
            <w:pPr>
              <w:spacing w:line="400" w:lineRule="exact"/>
              <w:rPr>
                <w:rFonts w:hint="eastAsia"/>
                <w:color w:val="auto"/>
                <w:sz w:val="24"/>
                <w:szCs w:val="24"/>
                <w:highlight w:val="none"/>
              </w:rPr>
            </w:pPr>
            <w:r>
              <w:rPr>
                <w:rFonts w:hint="eastAsia"/>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573C44FE">
            <w:pPr>
              <w:spacing w:line="400" w:lineRule="exact"/>
              <w:rPr>
                <w:rFonts w:hint="eastAsia"/>
                <w:color w:val="auto"/>
                <w:sz w:val="24"/>
                <w:szCs w:val="24"/>
                <w:highlight w:val="none"/>
              </w:rPr>
            </w:pPr>
            <w:r>
              <w:rPr>
                <w:rFonts w:hint="eastAsia"/>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5A46AC6F">
            <w:pPr>
              <w:pStyle w:val="1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35.2</w:t>
            </w:r>
          </w:p>
        </w:tc>
        <w:tc>
          <w:tcPr>
            <w:tcW w:w="983" w:type="dxa"/>
            <w:vAlign w:val="center"/>
          </w:tcPr>
          <w:p w14:paraId="47267C39">
            <w:pPr>
              <w:pStyle w:val="14"/>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35.2</w:t>
            </w:r>
          </w:p>
        </w:tc>
      </w:tr>
      <w:tr w14:paraId="570F7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663FCCDB">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25" w:type="dxa"/>
            <w:vAlign w:val="center"/>
          </w:tcPr>
          <w:p w14:paraId="1BE0C351">
            <w:pPr>
              <w:widowControl/>
              <w:snapToGri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虚拟仿真资源库</w:t>
            </w:r>
          </w:p>
        </w:tc>
        <w:tc>
          <w:tcPr>
            <w:tcW w:w="525" w:type="dxa"/>
            <w:vAlign w:val="center"/>
          </w:tcPr>
          <w:p w14:paraId="4BBB8A6F">
            <w:pPr>
              <w:widowControl/>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套</w:t>
            </w:r>
          </w:p>
        </w:tc>
        <w:tc>
          <w:tcPr>
            <w:tcW w:w="5213" w:type="dxa"/>
            <w:gridSpan w:val="2"/>
            <w:vAlign w:val="center"/>
          </w:tcPr>
          <w:p w14:paraId="587E4609">
            <w:pPr>
              <w:spacing w:line="400" w:lineRule="exact"/>
              <w:rPr>
                <w:rFonts w:hint="eastAsia"/>
                <w:color w:val="auto"/>
                <w:sz w:val="24"/>
                <w:szCs w:val="24"/>
                <w:highlight w:val="none"/>
              </w:rPr>
            </w:pPr>
            <w:r>
              <w:rPr>
                <w:rFonts w:hint="eastAsia"/>
                <w:color w:val="auto"/>
                <w:sz w:val="24"/>
                <w:szCs w:val="24"/>
                <w:highlight w:val="none"/>
              </w:rPr>
              <w:t>虚拟仿真资源库</w:t>
            </w:r>
          </w:p>
          <w:p w14:paraId="16C30297">
            <w:pPr>
              <w:spacing w:line="400" w:lineRule="exact"/>
              <w:rPr>
                <w:rFonts w:hint="eastAsia"/>
                <w:color w:val="auto"/>
                <w:sz w:val="24"/>
                <w:szCs w:val="24"/>
                <w:highlight w:val="none"/>
              </w:rPr>
            </w:pPr>
            <w:r>
              <w:rPr>
                <w:rFonts w:hint="eastAsia"/>
                <w:color w:val="auto"/>
                <w:sz w:val="24"/>
                <w:szCs w:val="24"/>
                <w:highlight w:val="none"/>
              </w:rPr>
              <w:t xml:space="preserve">（一）虚拟展馆资源  </w:t>
            </w:r>
          </w:p>
          <w:p w14:paraId="24544CBA">
            <w:pPr>
              <w:spacing w:line="400" w:lineRule="exact"/>
              <w:rPr>
                <w:rFonts w:hint="eastAsia"/>
                <w:color w:val="auto"/>
                <w:sz w:val="24"/>
                <w:szCs w:val="24"/>
                <w:highlight w:val="none"/>
              </w:rPr>
            </w:pPr>
            <w:r>
              <w:rPr>
                <w:rFonts w:hint="eastAsia"/>
                <w:color w:val="auto"/>
                <w:sz w:val="24"/>
                <w:szCs w:val="24"/>
                <w:highlight w:val="none"/>
              </w:rPr>
              <w:t xml:space="preserve">1. RCEP国家文化虚拟展馆  </w:t>
            </w:r>
          </w:p>
          <w:p w14:paraId="413CB24F">
            <w:pPr>
              <w:spacing w:line="400" w:lineRule="exact"/>
              <w:rPr>
                <w:rFonts w:hint="eastAsia"/>
                <w:color w:val="auto"/>
                <w:sz w:val="24"/>
                <w:szCs w:val="24"/>
                <w:highlight w:val="none"/>
              </w:rPr>
            </w:pPr>
            <w:r>
              <w:rPr>
                <w:rFonts w:hint="eastAsia"/>
                <w:color w:val="auto"/>
                <w:sz w:val="24"/>
                <w:szCs w:val="24"/>
                <w:highlight w:val="none"/>
              </w:rPr>
              <w:t>（1） 三维模型资源技术参数要求</w:t>
            </w:r>
          </w:p>
          <w:p w14:paraId="24F63873">
            <w:pPr>
              <w:spacing w:line="400" w:lineRule="exact"/>
              <w:rPr>
                <w:rFonts w:hint="eastAsia"/>
                <w:color w:val="auto"/>
                <w:sz w:val="24"/>
                <w:szCs w:val="24"/>
                <w:highlight w:val="none"/>
              </w:rPr>
            </w:pPr>
            <w:r>
              <w:rPr>
                <w:rFonts w:hint="eastAsia"/>
                <w:color w:val="auto"/>
                <w:sz w:val="24"/>
                <w:szCs w:val="24"/>
                <w:highlight w:val="none"/>
              </w:rPr>
              <w:t>①　资源为3D模型，要求使用FBX格式，交付的FBX文件版本需为 2018及以上的版本，确保与主流三维引擎和平台的良好兼容性。</w:t>
            </w:r>
          </w:p>
          <w:p w14:paraId="25204DA7">
            <w:pPr>
              <w:spacing w:line="400" w:lineRule="exact"/>
              <w:rPr>
                <w:rFonts w:hint="eastAsia"/>
                <w:color w:val="auto"/>
                <w:sz w:val="24"/>
                <w:szCs w:val="24"/>
                <w:highlight w:val="none"/>
              </w:rPr>
            </w:pPr>
            <w:r>
              <w:rPr>
                <w:rFonts w:hint="eastAsia"/>
                <w:color w:val="auto"/>
                <w:sz w:val="24"/>
                <w:szCs w:val="24"/>
                <w:highlight w:val="none"/>
              </w:rPr>
              <w:t>②　所有模型必须为三维可视化的单一整体文件，需包含完整的模型、材质贴图及基础层级关系。</w:t>
            </w:r>
          </w:p>
          <w:p w14:paraId="6C68645F">
            <w:pPr>
              <w:spacing w:line="400" w:lineRule="exact"/>
              <w:rPr>
                <w:rFonts w:hint="eastAsia"/>
                <w:color w:val="auto"/>
                <w:sz w:val="24"/>
                <w:szCs w:val="24"/>
                <w:highlight w:val="none"/>
              </w:rPr>
            </w:pPr>
            <w:r>
              <w:rPr>
                <w:rFonts w:hint="eastAsia"/>
                <w:color w:val="auto"/>
                <w:sz w:val="24"/>
                <w:szCs w:val="24"/>
                <w:highlight w:val="none"/>
              </w:rPr>
              <w:t>③　贴图尺寸须为 2的N次幂（如512x512, 1024x1024, 2048x2048等），最大尺寸不超过4096x4096，以保证兼容性与性能平衡。</w:t>
            </w:r>
          </w:p>
          <w:p w14:paraId="6D1A759D">
            <w:pPr>
              <w:spacing w:line="400" w:lineRule="exact"/>
              <w:rPr>
                <w:rFonts w:hint="eastAsia"/>
                <w:color w:val="auto"/>
                <w:sz w:val="24"/>
                <w:szCs w:val="24"/>
                <w:highlight w:val="none"/>
              </w:rPr>
            </w:pPr>
            <w:r>
              <w:rPr>
                <w:rFonts w:hint="eastAsia"/>
                <w:color w:val="auto"/>
                <w:sz w:val="24"/>
                <w:szCs w:val="24"/>
                <w:highlight w:val="none"/>
              </w:rPr>
              <w:t>④　严禁出现贴图缺失、路径错误、格式异常或明显拉伸失真的情况。</w:t>
            </w:r>
          </w:p>
          <w:p w14:paraId="19664325">
            <w:pPr>
              <w:spacing w:line="400" w:lineRule="exact"/>
              <w:rPr>
                <w:rFonts w:hint="eastAsia"/>
                <w:color w:val="auto"/>
                <w:sz w:val="24"/>
                <w:szCs w:val="24"/>
                <w:highlight w:val="none"/>
              </w:rPr>
            </w:pPr>
            <w:r>
              <w:rPr>
                <w:rFonts w:hint="eastAsia"/>
                <w:color w:val="auto"/>
                <w:sz w:val="24"/>
                <w:szCs w:val="24"/>
                <w:highlight w:val="none"/>
              </w:rPr>
              <w:t>⑤　提供完整的 FBX模型文件 及所有关联的 贴图文件。</w:t>
            </w:r>
          </w:p>
          <w:p w14:paraId="680AA2B9">
            <w:pPr>
              <w:spacing w:line="400" w:lineRule="exact"/>
              <w:rPr>
                <w:rFonts w:hint="eastAsia"/>
                <w:color w:val="auto"/>
                <w:sz w:val="24"/>
                <w:szCs w:val="24"/>
                <w:highlight w:val="none"/>
              </w:rPr>
            </w:pPr>
            <w:r>
              <w:rPr>
                <w:rFonts w:hint="eastAsia"/>
                <w:color w:val="auto"/>
                <w:sz w:val="24"/>
                <w:szCs w:val="24"/>
                <w:highlight w:val="none"/>
              </w:rPr>
              <w:t>⑥　验收以在采购方指定的 虚仿实验资源综合管理平台 中成功导入、正常展示且功能符合要求为准。</w:t>
            </w:r>
          </w:p>
          <w:p w14:paraId="7050BAE5">
            <w:pPr>
              <w:spacing w:line="400" w:lineRule="exact"/>
              <w:rPr>
                <w:rFonts w:hint="eastAsia"/>
                <w:color w:val="auto"/>
                <w:sz w:val="24"/>
                <w:szCs w:val="24"/>
                <w:highlight w:val="none"/>
              </w:rPr>
            </w:pPr>
            <w:r>
              <w:rPr>
                <w:rFonts w:hint="eastAsia"/>
                <w:color w:val="auto"/>
                <w:sz w:val="24"/>
                <w:szCs w:val="24"/>
                <w:highlight w:val="none"/>
              </w:rPr>
              <w:t>⑦　保证所交付的全部模型资源拥有完整的知识产权或合法授权，不存在任何权利瑕疵或纠纷。</w:t>
            </w:r>
          </w:p>
          <w:p w14:paraId="04891D48">
            <w:pPr>
              <w:spacing w:line="400" w:lineRule="exact"/>
              <w:rPr>
                <w:rFonts w:hint="eastAsia"/>
                <w:color w:val="auto"/>
                <w:sz w:val="24"/>
                <w:szCs w:val="24"/>
                <w:highlight w:val="none"/>
              </w:rPr>
            </w:pPr>
            <w:r>
              <w:rPr>
                <w:rFonts w:hint="eastAsia"/>
                <w:color w:val="auto"/>
                <w:sz w:val="24"/>
                <w:szCs w:val="24"/>
                <w:highlight w:val="none"/>
              </w:rPr>
              <w:t>⑧　采购方拥有该模型资源在 虚仿实验资源综合管理平台 项目中的永久使用权。</w:t>
            </w:r>
          </w:p>
          <w:p w14:paraId="7CA01C0C">
            <w:pPr>
              <w:spacing w:line="400" w:lineRule="exact"/>
              <w:rPr>
                <w:rFonts w:hint="eastAsia"/>
                <w:color w:val="auto"/>
                <w:sz w:val="24"/>
                <w:szCs w:val="24"/>
                <w:highlight w:val="none"/>
              </w:rPr>
            </w:pPr>
            <w:r>
              <w:rPr>
                <w:rFonts w:hint="eastAsia"/>
                <w:color w:val="auto"/>
                <w:sz w:val="24"/>
                <w:szCs w:val="24"/>
                <w:highlight w:val="none"/>
              </w:rPr>
              <w:t xml:space="preserve">（2）内容要求：需涵盖RCEP序厅、东盟10国展厅，每厅包含入口、概况、历史、主要旅游城市、世界遗产、传统文化、风俗禁忌等内容。  </w:t>
            </w:r>
          </w:p>
          <w:p w14:paraId="0C06801F">
            <w:pPr>
              <w:spacing w:line="400" w:lineRule="exact"/>
              <w:rPr>
                <w:rFonts w:hint="eastAsia"/>
                <w:color w:val="auto"/>
                <w:sz w:val="24"/>
                <w:szCs w:val="24"/>
                <w:highlight w:val="none"/>
              </w:rPr>
            </w:pPr>
            <w:r>
              <w:rPr>
                <w:rFonts w:hint="eastAsia"/>
                <w:color w:val="auto"/>
                <w:sz w:val="24"/>
                <w:szCs w:val="24"/>
                <w:highlight w:val="none"/>
              </w:rPr>
              <w:t>（3）格式要求：WebGL或可嵌入网页的三维交互格式，支持第一人称漫游、热点跳转、语音解说。</w:t>
            </w:r>
          </w:p>
          <w:p w14:paraId="01AC222F">
            <w:pPr>
              <w:spacing w:line="400" w:lineRule="exact"/>
              <w:rPr>
                <w:rFonts w:hint="eastAsia"/>
                <w:color w:val="auto"/>
                <w:sz w:val="24"/>
                <w:szCs w:val="24"/>
                <w:highlight w:val="none"/>
              </w:rPr>
            </w:pPr>
            <w:r>
              <w:rPr>
                <w:rFonts w:hint="eastAsia"/>
                <w:color w:val="auto"/>
                <w:sz w:val="24"/>
                <w:szCs w:val="24"/>
                <w:highlight w:val="none"/>
              </w:rPr>
              <w:t>（4）接口要求：提供资源ID、热点数据接口、语音播放控制接口，支持与平台用户系统对接。开放端口支持二次开发定制。</w:t>
            </w:r>
          </w:p>
          <w:p w14:paraId="4534B708">
            <w:pPr>
              <w:spacing w:line="400" w:lineRule="exact"/>
              <w:rPr>
                <w:rFonts w:hint="eastAsia"/>
                <w:color w:val="auto"/>
                <w:sz w:val="24"/>
                <w:szCs w:val="24"/>
                <w:highlight w:val="none"/>
              </w:rPr>
            </w:pPr>
            <w:r>
              <w:rPr>
                <w:rFonts w:hint="eastAsia"/>
                <w:color w:val="auto"/>
                <w:sz w:val="24"/>
                <w:szCs w:val="24"/>
                <w:highlight w:val="none"/>
              </w:rPr>
              <w:t xml:space="preserve">2. 导游证考试仿真资源  </w:t>
            </w:r>
          </w:p>
          <w:p w14:paraId="08BD501C">
            <w:pPr>
              <w:spacing w:line="400" w:lineRule="exact"/>
              <w:rPr>
                <w:rFonts w:hint="eastAsia"/>
                <w:color w:val="auto"/>
                <w:sz w:val="24"/>
                <w:szCs w:val="24"/>
                <w:highlight w:val="none"/>
              </w:rPr>
            </w:pPr>
            <w:r>
              <w:rPr>
                <w:rFonts w:hint="eastAsia"/>
                <w:color w:val="auto"/>
                <w:sz w:val="24"/>
                <w:szCs w:val="24"/>
                <w:highlight w:val="none"/>
              </w:rPr>
              <w:t>（1）资源库为全景图模型及全景视频，参数要求如下：</w:t>
            </w:r>
          </w:p>
          <w:p w14:paraId="279AB0A1">
            <w:pPr>
              <w:spacing w:line="400" w:lineRule="exact"/>
              <w:rPr>
                <w:rFonts w:hint="eastAsia"/>
                <w:color w:val="auto"/>
                <w:sz w:val="24"/>
                <w:szCs w:val="24"/>
                <w:highlight w:val="none"/>
              </w:rPr>
            </w:pPr>
            <w:r>
              <w:rPr>
                <w:rFonts w:hint="eastAsia"/>
                <w:color w:val="auto"/>
                <w:sz w:val="24"/>
                <w:szCs w:val="24"/>
                <w:highlight w:val="none"/>
              </w:rPr>
              <w:t>①　需保证所有交付的全景图片、全景视频及所有附属素材（如热点、语音、字幕）拥有完整知识产权或合法授权，不存在任何权利瑕疵或纠纷。</w:t>
            </w:r>
          </w:p>
          <w:p w14:paraId="29311420">
            <w:pPr>
              <w:spacing w:line="400" w:lineRule="exact"/>
              <w:rPr>
                <w:rFonts w:hint="eastAsia"/>
                <w:color w:val="auto"/>
                <w:sz w:val="24"/>
                <w:szCs w:val="24"/>
                <w:highlight w:val="none"/>
              </w:rPr>
            </w:pPr>
            <w:r>
              <w:rPr>
                <w:rFonts w:hint="eastAsia"/>
                <w:color w:val="auto"/>
                <w:sz w:val="24"/>
                <w:szCs w:val="24"/>
                <w:highlight w:val="none"/>
              </w:rPr>
              <w:t>②　全景图片画面需清晰、无色差、无明显的拼接痕迹、无重影。</w:t>
            </w:r>
          </w:p>
          <w:p w14:paraId="3E922B87">
            <w:pPr>
              <w:spacing w:line="400" w:lineRule="exact"/>
              <w:rPr>
                <w:rFonts w:hint="eastAsia"/>
                <w:color w:val="auto"/>
                <w:sz w:val="24"/>
                <w:szCs w:val="24"/>
                <w:highlight w:val="none"/>
              </w:rPr>
            </w:pPr>
            <w:r>
              <w:rPr>
                <w:rFonts w:hint="eastAsia"/>
                <w:color w:val="auto"/>
                <w:sz w:val="24"/>
                <w:szCs w:val="24"/>
                <w:highlight w:val="none"/>
              </w:rPr>
              <w:t>③　全景图片分辨率不低于 8000×4000像素以保证清晰度。</w:t>
            </w:r>
          </w:p>
          <w:p w14:paraId="4F33AA2C">
            <w:pPr>
              <w:spacing w:line="400" w:lineRule="exact"/>
              <w:rPr>
                <w:rFonts w:hint="eastAsia"/>
                <w:color w:val="auto"/>
                <w:sz w:val="24"/>
                <w:szCs w:val="24"/>
                <w:highlight w:val="none"/>
              </w:rPr>
            </w:pPr>
            <w:r>
              <w:rPr>
                <w:rFonts w:hint="eastAsia"/>
                <w:color w:val="auto"/>
                <w:sz w:val="24"/>
                <w:szCs w:val="24"/>
                <w:highlight w:val="none"/>
              </w:rPr>
              <w:t>④　全景视频分辨率不得低于 3840×1920（4K）。</w:t>
            </w:r>
          </w:p>
          <w:p w14:paraId="49F85397">
            <w:pPr>
              <w:spacing w:line="400" w:lineRule="exact"/>
              <w:rPr>
                <w:rFonts w:hint="eastAsia"/>
                <w:color w:val="auto"/>
                <w:sz w:val="24"/>
                <w:szCs w:val="24"/>
                <w:highlight w:val="none"/>
              </w:rPr>
            </w:pPr>
            <w:r>
              <w:rPr>
                <w:rFonts w:hint="eastAsia"/>
                <w:color w:val="auto"/>
                <w:sz w:val="24"/>
                <w:szCs w:val="24"/>
                <w:highlight w:val="none"/>
              </w:rPr>
              <w:t>⑤　全景视频视频编码码率不低于 50Mbps（4K）。</w:t>
            </w:r>
          </w:p>
          <w:p w14:paraId="2AFF4FE4">
            <w:pPr>
              <w:spacing w:line="400" w:lineRule="exact"/>
              <w:rPr>
                <w:rFonts w:hint="eastAsia"/>
                <w:color w:val="auto"/>
                <w:sz w:val="24"/>
                <w:szCs w:val="24"/>
                <w:highlight w:val="none"/>
              </w:rPr>
            </w:pPr>
          </w:p>
          <w:p w14:paraId="5B606F0A">
            <w:pPr>
              <w:spacing w:line="400" w:lineRule="exact"/>
              <w:rPr>
                <w:rFonts w:hint="eastAsia"/>
                <w:color w:val="auto"/>
                <w:sz w:val="24"/>
                <w:szCs w:val="24"/>
                <w:highlight w:val="none"/>
              </w:rPr>
            </w:pPr>
            <w:r>
              <w:rPr>
                <w:rFonts w:hint="eastAsia"/>
                <w:color w:val="auto"/>
                <w:sz w:val="24"/>
                <w:szCs w:val="24"/>
                <w:highlight w:val="none"/>
              </w:rPr>
              <w:t>（2）内容要求：将学生以游客为第一视角，结合系统自主漫游功能，通过鼠标可以方便灵活的实现景区画面放大、缩小、左转、右转、仰视、俯视等一系列虚拟仿真视点操作，将景点或景区的概貌真实展现出来,使学生能身临其境,从而更方便开展教学;并且可以根据教学需要,对景区的布局、成熟导游线路游览、自由观赏、重要知识点等进行设置；</w:t>
            </w:r>
          </w:p>
          <w:p w14:paraId="50C43418">
            <w:pPr>
              <w:spacing w:line="400" w:lineRule="exact"/>
              <w:rPr>
                <w:rFonts w:hint="eastAsia"/>
                <w:color w:val="auto"/>
                <w:sz w:val="24"/>
                <w:szCs w:val="24"/>
                <w:highlight w:val="none"/>
              </w:rPr>
            </w:pPr>
            <w:r>
              <w:rPr>
                <w:rFonts w:hint="eastAsia"/>
                <w:color w:val="auto"/>
                <w:sz w:val="24"/>
                <w:szCs w:val="24"/>
                <w:highlight w:val="none"/>
              </w:rPr>
              <w:t>①　完整模拟考试流程，时间限制与真实考试一致。</w:t>
            </w:r>
          </w:p>
          <w:p w14:paraId="31A6D7F7">
            <w:pPr>
              <w:spacing w:line="400" w:lineRule="exact"/>
              <w:rPr>
                <w:rFonts w:hint="eastAsia"/>
                <w:color w:val="auto"/>
                <w:sz w:val="24"/>
                <w:szCs w:val="24"/>
                <w:highlight w:val="none"/>
              </w:rPr>
            </w:pPr>
            <w:r>
              <w:rPr>
                <w:rFonts w:hint="eastAsia"/>
                <w:color w:val="auto"/>
                <w:sz w:val="24"/>
                <w:szCs w:val="24"/>
                <w:highlight w:val="none"/>
              </w:rPr>
              <w:t>②　景区720度实景必须是一个以景区为单位的完整清晰的漫游全景文件，学生可通过热点或者游览线路指示箭头直接进入下一个景点目标场景。</w:t>
            </w:r>
          </w:p>
          <w:p w14:paraId="26110C10">
            <w:pPr>
              <w:spacing w:line="400" w:lineRule="exact"/>
              <w:rPr>
                <w:rFonts w:hint="eastAsia"/>
                <w:color w:val="auto"/>
                <w:sz w:val="24"/>
                <w:szCs w:val="24"/>
                <w:highlight w:val="none"/>
              </w:rPr>
            </w:pPr>
            <w:r>
              <w:rPr>
                <w:rFonts w:hint="eastAsia"/>
                <w:color w:val="auto"/>
                <w:sz w:val="24"/>
                <w:szCs w:val="24"/>
                <w:highlight w:val="none"/>
              </w:rPr>
              <w:t>③　仿真资源景点不少于10个（区内5A），线路不少于21条，以上资源按2025年全国导游资格证考试广西考区景点和线路要求）</w:t>
            </w:r>
          </w:p>
          <w:p w14:paraId="7CA5CFDE">
            <w:pPr>
              <w:spacing w:line="400" w:lineRule="exact"/>
              <w:rPr>
                <w:rFonts w:hint="eastAsia"/>
                <w:color w:val="auto"/>
                <w:sz w:val="24"/>
                <w:szCs w:val="24"/>
                <w:highlight w:val="none"/>
              </w:rPr>
            </w:pPr>
            <w:r>
              <w:rPr>
                <w:rFonts w:hint="eastAsia"/>
                <w:color w:val="auto"/>
                <w:sz w:val="24"/>
                <w:szCs w:val="24"/>
                <w:highlight w:val="none"/>
              </w:rPr>
              <w:t>④　学生模拟导游考试时，可将作品通过保存上传、删除、存草稿三种状态进行存储。对于不满意的作品可进行反复训练和修正，直至练习满意后，提交老师。</w:t>
            </w:r>
          </w:p>
          <w:p w14:paraId="2F6E691A">
            <w:pPr>
              <w:spacing w:line="400" w:lineRule="exact"/>
              <w:rPr>
                <w:rFonts w:hint="eastAsia"/>
                <w:color w:val="auto"/>
                <w:sz w:val="24"/>
                <w:szCs w:val="24"/>
                <w:highlight w:val="none"/>
              </w:rPr>
            </w:pPr>
            <w:r>
              <w:rPr>
                <w:rFonts w:hint="eastAsia"/>
                <w:color w:val="auto"/>
                <w:sz w:val="24"/>
                <w:szCs w:val="24"/>
                <w:highlight w:val="none"/>
              </w:rPr>
              <w:t>⑤　学生可将存草稿的作品进行播放、删除及上传操作。播放模式下支持随时暂停操作，支持将保存本地的视频进行上传，同时选择作品类型，选择景点（包含搜索景点名称）进行选择，同时输入视频标题及视频描述进行提交上传。</w:t>
            </w:r>
          </w:p>
          <w:p w14:paraId="7DADEF57">
            <w:pPr>
              <w:spacing w:line="400" w:lineRule="exact"/>
              <w:rPr>
                <w:rFonts w:hint="eastAsia"/>
                <w:color w:val="auto"/>
                <w:sz w:val="24"/>
                <w:szCs w:val="24"/>
                <w:highlight w:val="none"/>
              </w:rPr>
            </w:pPr>
            <w:r>
              <w:rPr>
                <w:rFonts w:hint="eastAsia"/>
                <w:color w:val="auto"/>
                <w:sz w:val="24"/>
                <w:szCs w:val="24"/>
                <w:highlight w:val="none"/>
              </w:rPr>
              <w:t>⑥　720度实景包括覆盖全国及广西地方题库，模拟真实考试流程。</w:t>
            </w:r>
          </w:p>
          <w:p w14:paraId="32218E08">
            <w:pPr>
              <w:spacing w:line="400" w:lineRule="exact"/>
              <w:rPr>
                <w:rFonts w:hint="eastAsia"/>
                <w:color w:val="auto"/>
                <w:sz w:val="24"/>
                <w:szCs w:val="24"/>
                <w:highlight w:val="none"/>
              </w:rPr>
            </w:pPr>
            <w:r>
              <w:rPr>
                <w:rFonts w:hint="eastAsia"/>
                <w:color w:val="auto"/>
                <w:sz w:val="24"/>
                <w:szCs w:val="24"/>
                <w:highlight w:val="none"/>
              </w:rPr>
              <w:t>⑦　720度实景包括桂林独秀峰——王城景区、南宁青秀山风景旅游区、桂林两江四湖·象山景区、大新德天跨国瀑布景区、百色起义纪念园景区、北海涠洲岛国家地质公园鳄鱼山景区、三江程阳侗族八寨景区、北海汉闾文化园、桂平西山风景名胜区、巴马盘阳河景区、环江木论喀斯特生态旅游区、崇左市宁明县花山景区、宜州刘三姐故里旅游景区、歌娅思谷景区、丹泉洞天酒海景区、金田起义博物馆、九凌湖旅游风景区、柳州龙潭景区、立鱼峰风景区、柳州文庙景区、南宁马山金伦洞景区、昆仑关战役博物馆、昆仑关战役博物馆、北海金海湾红树林、桂林七星景区、兴安灵渠景区、龙州起义纪念馆、大新龙宫仙境景区、贺州姑婆山旅游区、黄姚古镇、梧州市龙母庙景区、梧州李济深故里文化旅游区、古龙山大峡景区、玉林容州古城、白浪滩景区、云天文化城。</w:t>
            </w:r>
          </w:p>
          <w:p w14:paraId="7C4DBD93">
            <w:pPr>
              <w:spacing w:line="400" w:lineRule="exact"/>
              <w:rPr>
                <w:rFonts w:hint="eastAsia"/>
                <w:color w:val="auto"/>
                <w:sz w:val="24"/>
                <w:szCs w:val="24"/>
                <w:highlight w:val="none"/>
              </w:rPr>
            </w:pPr>
            <w:r>
              <w:rPr>
                <w:rFonts w:hint="eastAsia"/>
                <w:color w:val="auto"/>
                <w:sz w:val="24"/>
                <w:szCs w:val="24"/>
                <w:highlight w:val="none"/>
              </w:rPr>
              <w:t>⑧　练习模式下，分为省份区域导航和主题分类导航两种模式，学生可通过滑动导航进入对应的VR虚拟仿真教学资源，选择景区进行全面的学习与了解。学生可关闭系统标准导游词讲解语音或背景音乐进行模拟讲解，支持切换到VR模式进行浏览，支持视角切换功能，包括正常模式、小行星模式、水晶球模式、鱼眼模式。可对现场导游词进行创作，同时可对自己的模拟导游讲解过程进行录音录像，最终生成完整的讲解视频。</w:t>
            </w:r>
          </w:p>
          <w:p w14:paraId="48D71F5C">
            <w:pPr>
              <w:spacing w:line="400" w:lineRule="exact"/>
              <w:rPr>
                <w:rFonts w:hint="eastAsia"/>
                <w:color w:val="auto"/>
                <w:sz w:val="24"/>
                <w:szCs w:val="24"/>
                <w:highlight w:val="none"/>
              </w:rPr>
            </w:pPr>
            <w:r>
              <w:rPr>
                <w:rFonts w:hint="eastAsia"/>
                <w:color w:val="auto"/>
                <w:sz w:val="24"/>
                <w:szCs w:val="24"/>
                <w:highlight w:val="none"/>
              </w:rPr>
              <w:t xml:space="preserve">⑨　支持对学生录音进行语音大模型示范、语音大模型分析打分功能，自动分析学生准确率等  </w:t>
            </w:r>
          </w:p>
          <w:p w14:paraId="237F382D">
            <w:pPr>
              <w:spacing w:line="400" w:lineRule="exact"/>
              <w:rPr>
                <w:rFonts w:hint="eastAsia"/>
                <w:color w:val="auto"/>
                <w:sz w:val="24"/>
                <w:szCs w:val="24"/>
                <w:highlight w:val="none"/>
              </w:rPr>
            </w:pPr>
            <w:r>
              <w:rPr>
                <w:rFonts w:hint="eastAsia"/>
                <w:color w:val="auto"/>
                <w:sz w:val="24"/>
                <w:szCs w:val="24"/>
                <w:highlight w:val="none"/>
              </w:rPr>
              <w:t xml:space="preserve">（3）功能要求：支持第一视角漫游、热点跳转、模拟考试流程、录音录像、语音评测、作品保存与上传。  </w:t>
            </w:r>
          </w:p>
          <w:p w14:paraId="45C35EBB">
            <w:pPr>
              <w:spacing w:line="400" w:lineRule="exact"/>
              <w:rPr>
                <w:rFonts w:hint="eastAsia"/>
                <w:color w:val="auto"/>
                <w:sz w:val="24"/>
                <w:szCs w:val="24"/>
                <w:highlight w:val="none"/>
              </w:rPr>
            </w:pPr>
            <w:r>
              <w:rPr>
                <w:rFonts w:hint="eastAsia"/>
                <w:color w:val="auto"/>
                <w:sz w:val="24"/>
                <w:szCs w:val="24"/>
                <w:highlight w:val="none"/>
              </w:rPr>
              <w:t>（4）接口要求：提供成绩回传、作品状态同步、评测结果回传等API接口。</w:t>
            </w:r>
          </w:p>
          <w:p w14:paraId="09D5424F">
            <w:pPr>
              <w:spacing w:line="400" w:lineRule="exact"/>
              <w:rPr>
                <w:rFonts w:hint="eastAsia"/>
                <w:color w:val="auto"/>
                <w:sz w:val="24"/>
                <w:szCs w:val="24"/>
                <w:highlight w:val="none"/>
              </w:rPr>
            </w:pPr>
          </w:p>
          <w:p w14:paraId="6D4993CE">
            <w:pPr>
              <w:spacing w:line="400" w:lineRule="exact"/>
              <w:rPr>
                <w:rFonts w:hint="eastAsia"/>
                <w:color w:val="auto"/>
                <w:sz w:val="24"/>
                <w:szCs w:val="24"/>
                <w:highlight w:val="none"/>
              </w:rPr>
            </w:pPr>
            <w:r>
              <w:rPr>
                <w:rFonts w:hint="eastAsia"/>
                <w:color w:val="auto"/>
                <w:sz w:val="24"/>
                <w:szCs w:val="24"/>
                <w:highlight w:val="none"/>
              </w:rPr>
              <w:t>3. 酒店管理实训资源</w:t>
            </w:r>
          </w:p>
          <w:p w14:paraId="652D6D21">
            <w:pPr>
              <w:spacing w:line="400" w:lineRule="exact"/>
              <w:rPr>
                <w:rFonts w:hint="eastAsia"/>
                <w:color w:val="auto"/>
                <w:sz w:val="24"/>
                <w:szCs w:val="24"/>
                <w:highlight w:val="none"/>
              </w:rPr>
            </w:pPr>
            <w:r>
              <w:rPr>
                <w:rFonts w:hint="eastAsia"/>
                <w:color w:val="auto"/>
                <w:sz w:val="24"/>
                <w:szCs w:val="24"/>
                <w:highlight w:val="none"/>
              </w:rPr>
              <w:t>（1） 三维模型资源技术参数要求</w:t>
            </w:r>
          </w:p>
          <w:p w14:paraId="5F686722">
            <w:pPr>
              <w:spacing w:line="400" w:lineRule="exact"/>
              <w:rPr>
                <w:rFonts w:hint="eastAsia"/>
                <w:color w:val="auto"/>
                <w:sz w:val="24"/>
                <w:szCs w:val="24"/>
                <w:highlight w:val="none"/>
              </w:rPr>
            </w:pPr>
            <w:r>
              <w:rPr>
                <w:rFonts w:hint="eastAsia"/>
                <w:color w:val="auto"/>
                <w:sz w:val="24"/>
                <w:szCs w:val="24"/>
                <w:highlight w:val="none"/>
              </w:rPr>
              <w:t>①　资源为3D模型，要求使用FBX格式，交付的FBX文件版本需为2018及以上的版本，确保与主流三维引擎和平台的良好兼容性。</w:t>
            </w:r>
          </w:p>
          <w:p w14:paraId="39222927">
            <w:pPr>
              <w:spacing w:line="400" w:lineRule="exact"/>
              <w:rPr>
                <w:rFonts w:hint="eastAsia"/>
                <w:color w:val="auto"/>
                <w:sz w:val="24"/>
                <w:szCs w:val="24"/>
                <w:highlight w:val="none"/>
              </w:rPr>
            </w:pPr>
            <w:r>
              <w:rPr>
                <w:rFonts w:hint="eastAsia"/>
                <w:color w:val="auto"/>
                <w:sz w:val="24"/>
                <w:szCs w:val="24"/>
                <w:highlight w:val="none"/>
              </w:rPr>
              <w:t>②　所有模型必须为三维可视化的单一整体文件，需包含完整的模型、材质贴图及基础层级关系。</w:t>
            </w:r>
          </w:p>
          <w:p w14:paraId="5511B512">
            <w:pPr>
              <w:spacing w:line="400" w:lineRule="exact"/>
              <w:rPr>
                <w:rFonts w:hint="eastAsia"/>
                <w:color w:val="auto"/>
                <w:sz w:val="24"/>
                <w:szCs w:val="24"/>
                <w:highlight w:val="none"/>
              </w:rPr>
            </w:pPr>
            <w:r>
              <w:rPr>
                <w:rFonts w:hint="eastAsia"/>
                <w:color w:val="auto"/>
                <w:sz w:val="24"/>
                <w:szCs w:val="24"/>
                <w:highlight w:val="none"/>
              </w:rPr>
              <w:t>③　贴图尺寸须为 2的N次幂（如512x512, 1024x1024, 2048x2048等），最大尺寸不超过4096x4096，以保证兼容性与性能平衡。</w:t>
            </w:r>
          </w:p>
          <w:p w14:paraId="34ADCBA8">
            <w:pPr>
              <w:spacing w:line="400" w:lineRule="exact"/>
              <w:rPr>
                <w:rFonts w:hint="eastAsia"/>
                <w:color w:val="auto"/>
                <w:sz w:val="24"/>
                <w:szCs w:val="24"/>
                <w:highlight w:val="none"/>
              </w:rPr>
            </w:pPr>
            <w:r>
              <w:rPr>
                <w:rFonts w:hint="eastAsia"/>
                <w:color w:val="auto"/>
                <w:sz w:val="24"/>
                <w:szCs w:val="24"/>
                <w:highlight w:val="none"/>
              </w:rPr>
              <w:t>④　严禁出现贴图缺失、路径错误、格式异常或明显拉伸失真的情况。</w:t>
            </w:r>
          </w:p>
          <w:p w14:paraId="5147274D">
            <w:pPr>
              <w:spacing w:line="400" w:lineRule="exact"/>
              <w:rPr>
                <w:rFonts w:hint="eastAsia"/>
                <w:color w:val="auto"/>
                <w:sz w:val="24"/>
                <w:szCs w:val="24"/>
                <w:highlight w:val="none"/>
              </w:rPr>
            </w:pPr>
            <w:r>
              <w:rPr>
                <w:rFonts w:hint="eastAsia"/>
                <w:color w:val="auto"/>
                <w:sz w:val="24"/>
                <w:szCs w:val="24"/>
                <w:highlight w:val="none"/>
              </w:rPr>
              <w:t>⑤　提供完整的 FBX模型文件 及所有关联的 贴图文件。</w:t>
            </w:r>
          </w:p>
          <w:p w14:paraId="54005D30">
            <w:pPr>
              <w:spacing w:line="400" w:lineRule="exact"/>
              <w:rPr>
                <w:rFonts w:hint="eastAsia"/>
                <w:color w:val="auto"/>
                <w:sz w:val="24"/>
                <w:szCs w:val="24"/>
                <w:highlight w:val="none"/>
              </w:rPr>
            </w:pPr>
            <w:r>
              <w:rPr>
                <w:rFonts w:hint="eastAsia"/>
                <w:color w:val="auto"/>
                <w:sz w:val="24"/>
                <w:szCs w:val="24"/>
                <w:highlight w:val="none"/>
              </w:rPr>
              <w:t>⑥　验收以在采购方指定的 虚仿实验资源综合管理平台 中成功导入、正常展示且功能符合要求为准。</w:t>
            </w:r>
          </w:p>
          <w:p w14:paraId="3E147EF9">
            <w:pPr>
              <w:spacing w:line="400" w:lineRule="exact"/>
              <w:rPr>
                <w:rFonts w:hint="eastAsia"/>
                <w:color w:val="auto"/>
                <w:sz w:val="24"/>
                <w:szCs w:val="24"/>
                <w:highlight w:val="none"/>
              </w:rPr>
            </w:pPr>
            <w:r>
              <w:rPr>
                <w:rFonts w:hint="eastAsia"/>
                <w:color w:val="auto"/>
                <w:sz w:val="24"/>
                <w:szCs w:val="24"/>
                <w:highlight w:val="none"/>
              </w:rPr>
              <w:t>⑦　保证所交付的全部模型资源拥有完整的知识产权或合法授权，不存在任何权利瑕疵或纠纷。</w:t>
            </w:r>
          </w:p>
          <w:p w14:paraId="2F649CC7">
            <w:pPr>
              <w:spacing w:line="400" w:lineRule="exact"/>
              <w:rPr>
                <w:rFonts w:hint="eastAsia"/>
                <w:color w:val="auto"/>
                <w:sz w:val="24"/>
                <w:szCs w:val="24"/>
                <w:highlight w:val="none"/>
              </w:rPr>
            </w:pPr>
            <w:r>
              <w:rPr>
                <w:rFonts w:hint="eastAsia"/>
                <w:color w:val="auto"/>
                <w:sz w:val="24"/>
                <w:szCs w:val="24"/>
                <w:highlight w:val="none"/>
              </w:rPr>
              <w:t>⑧　采购方拥有该模型资源在 虚仿实验资源综合管理平台 项目中的永久使用权。</w:t>
            </w:r>
          </w:p>
          <w:p w14:paraId="460C3180">
            <w:pPr>
              <w:spacing w:line="400" w:lineRule="exact"/>
              <w:rPr>
                <w:rFonts w:hint="eastAsia"/>
                <w:color w:val="auto"/>
                <w:sz w:val="24"/>
                <w:szCs w:val="24"/>
                <w:highlight w:val="none"/>
              </w:rPr>
            </w:pPr>
          </w:p>
          <w:p w14:paraId="6115D350">
            <w:pPr>
              <w:spacing w:line="400" w:lineRule="exact"/>
              <w:rPr>
                <w:rFonts w:hint="eastAsia"/>
                <w:color w:val="auto"/>
                <w:sz w:val="24"/>
                <w:szCs w:val="24"/>
                <w:highlight w:val="none"/>
              </w:rPr>
            </w:pPr>
            <w:r>
              <w:rPr>
                <w:rFonts w:hint="eastAsia"/>
                <w:color w:val="auto"/>
                <w:sz w:val="24"/>
                <w:szCs w:val="24"/>
                <w:highlight w:val="none"/>
              </w:rPr>
              <w:t>（2）内容要求：系统还原前厅、房务等6大业务模块，支持学生扮演“前台”“经理”等角色协同操作。</w:t>
            </w:r>
          </w:p>
          <w:p w14:paraId="780C5220">
            <w:pPr>
              <w:spacing w:line="400" w:lineRule="exact"/>
              <w:rPr>
                <w:rFonts w:hint="eastAsia"/>
                <w:color w:val="auto"/>
                <w:sz w:val="24"/>
                <w:szCs w:val="24"/>
                <w:highlight w:val="none"/>
              </w:rPr>
            </w:pPr>
            <w:r>
              <w:rPr>
                <w:rFonts w:hint="eastAsia"/>
                <w:color w:val="auto"/>
                <w:sz w:val="24"/>
                <w:szCs w:val="24"/>
                <w:highlight w:val="none"/>
              </w:rPr>
              <w:t>①　支持查看学生的作品，支持对学生的走进大堂、走进行政走廊、走进前厅部三个部分的作品进行管理，支持查看学生作品的名称、作品创作学生、作品浏览次数、是否为优秀作品等。支持对学生作品进行管理。</w:t>
            </w:r>
          </w:p>
          <w:p w14:paraId="7BC38B9E">
            <w:pPr>
              <w:spacing w:line="400" w:lineRule="exact"/>
              <w:rPr>
                <w:rFonts w:hint="eastAsia"/>
                <w:color w:val="auto"/>
                <w:sz w:val="24"/>
                <w:szCs w:val="24"/>
                <w:highlight w:val="none"/>
              </w:rPr>
            </w:pPr>
            <w:r>
              <w:rPr>
                <w:rFonts w:hint="eastAsia"/>
                <w:color w:val="auto"/>
                <w:sz w:val="24"/>
                <w:szCs w:val="24"/>
                <w:highlight w:val="none"/>
              </w:rPr>
              <w:t>②　支持对探索大堂的酒店入口位置选择、大堂的位置、大堂的面积、大堂的高度、大堂的分区、大堂的设计、大堂的残疾人设施、大堂的门、团队出入口设置、社会客人出入口设置、停车位的设置、总服务台的设计特点、前台操作信息系统、前厅办公室设置、礼宾台的位置、行李房的位置、大堂吧功能、大堂吧位置、商务中心的功能区域、电梯厅位置、电梯厅的设计、公共卫生间的设计、客人休息区的设计、大堂副理；包含探索行政楼层的行政楼层的服务、客房、酒廊等基础知识的学习及管理。</w:t>
            </w:r>
          </w:p>
          <w:p w14:paraId="2C265F6D">
            <w:pPr>
              <w:spacing w:line="400" w:lineRule="exact"/>
              <w:rPr>
                <w:rFonts w:hint="eastAsia"/>
                <w:color w:val="auto"/>
                <w:sz w:val="24"/>
                <w:szCs w:val="24"/>
                <w:highlight w:val="none"/>
              </w:rPr>
            </w:pPr>
            <w:r>
              <w:rPr>
                <w:rFonts w:hint="eastAsia"/>
                <w:color w:val="auto"/>
                <w:sz w:val="24"/>
                <w:szCs w:val="24"/>
                <w:highlight w:val="none"/>
              </w:rPr>
              <w:t>③　学生端可以对走进酒店前厅、基础前厅服务、酒店前厅服务技能大赛、知识题库、会议服务、学习资料及优秀作品进行实践实训。</w:t>
            </w:r>
          </w:p>
          <w:p w14:paraId="14ED1C0C">
            <w:pPr>
              <w:spacing w:line="400" w:lineRule="exact"/>
              <w:rPr>
                <w:rFonts w:hint="eastAsia"/>
                <w:color w:val="auto"/>
                <w:sz w:val="24"/>
                <w:szCs w:val="24"/>
                <w:highlight w:val="none"/>
              </w:rPr>
            </w:pPr>
            <w:r>
              <w:rPr>
                <w:rFonts w:hint="eastAsia"/>
                <w:color w:val="auto"/>
                <w:sz w:val="24"/>
                <w:szCs w:val="24"/>
                <w:highlight w:val="none"/>
              </w:rPr>
              <w:t>④　走进前厅包含走进大堂、走进行政走廊及走进前厅部三个部门的学习；走进大堂分为任务学习和任务测试，任务测试模式下使用3D建模的三维酒店前厅空间，学生可以使用鼠标键盘在酒店大堂自由走动；学生可以进行知识测试和技能测试；技能测试支持学生创作前厅接待话术，学生根据对应的话术进行技能实训，可以调用电脑摄像头进行录制本人并同步录制学生在三维前厅空间的操作，学生可以随时展示或隐藏对应的文本话术，录制完成之后支持进行存草稿及上传作业。走进行政走廊及走进前厅部分都支持以上操作，并在不同的三维空间进行。</w:t>
            </w:r>
          </w:p>
          <w:p w14:paraId="65683C81">
            <w:pPr>
              <w:spacing w:line="400" w:lineRule="exact"/>
              <w:rPr>
                <w:rFonts w:hint="eastAsia"/>
                <w:color w:val="auto"/>
                <w:sz w:val="24"/>
                <w:szCs w:val="24"/>
                <w:highlight w:val="none"/>
              </w:rPr>
            </w:pPr>
            <w:r>
              <w:rPr>
                <w:rFonts w:hint="eastAsia"/>
                <w:color w:val="auto"/>
                <w:sz w:val="24"/>
                <w:szCs w:val="24"/>
                <w:highlight w:val="none"/>
              </w:rPr>
              <w:t>⑤　基础前厅服务包含散客（游客）服务、散客（商务客人VIP）服务及团队（游客）服务三个板块的学习，可以按照不同的模块进入三维空间进行任务学习；散客服务包含受理OTA网络预订、门童迎接服务、行李迎接服务、引领服务、入住接待服务、一键服务中心服务、退房接待服务、离店行李服务；受理OTA按照新订单对号处理新订单，支持模拟查看订单的详细内容。</w:t>
            </w:r>
          </w:p>
          <w:p w14:paraId="75A50418">
            <w:pPr>
              <w:spacing w:line="400" w:lineRule="exact"/>
              <w:rPr>
                <w:rFonts w:hint="eastAsia"/>
                <w:color w:val="auto"/>
                <w:sz w:val="24"/>
                <w:szCs w:val="24"/>
                <w:highlight w:val="none"/>
              </w:rPr>
            </w:pPr>
            <w:r>
              <w:rPr>
                <w:rFonts w:hint="eastAsia"/>
                <w:color w:val="auto"/>
                <w:sz w:val="24"/>
                <w:szCs w:val="24"/>
                <w:highlight w:val="none"/>
              </w:rPr>
              <w:t>⑥　门童迎接服务按</w:t>
            </w:r>
            <w:r>
              <w:rPr>
                <w:rFonts w:hint="eastAsia"/>
                <w:color w:val="auto"/>
                <w:sz w:val="24"/>
                <w:szCs w:val="24"/>
                <w:highlight w:val="none"/>
                <w:lang w:val="en-US" w:eastAsia="zh-CN"/>
              </w:rPr>
              <w:t>接</w:t>
            </w:r>
            <w:r>
              <w:rPr>
                <w:rFonts w:hint="eastAsia"/>
                <w:color w:val="auto"/>
                <w:sz w:val="24"/>
                <w:szCs w:val="24"/>
                <w:highlight w:val="none"/>
              </w:rPr>
              <w:t>待服务状态、引导入店车辆、为客人拉开车门、欢迎及通知行李员，全程进行三维建模动画进行模拟（非flash），同时学生可以利用鼠标键盘进行自由行走，更直观的学习接待细节；行李员按照欢迎客人、卸下行李、清点检查行李、与客人确认、引领客人至前台及看管行李等候客人的流程进行服务，全程进行三维建模动画进行模拟（非flash），同时学生可以利用鼠标键盘进行自由行走，直观的学习接待细节；引领服务按照领取房卡、乘电梯、敲门进房、介绍客房及礼貌离开。</w:t>
            </w:r>
          </w:p>
          <w:p w14:paraId="0DD52D1D">
            <w:pPr>
              <w:spacing w:line="400" w:lineRule="exact"/>
              <w:rPr>
                <w:rFonts w:hint="eastAsia"/>
                <w:color w:val="auto"/>
                <w:sz w:val="24"/>
                <w:szCs w:val="24"/>
                <w:highlight w:val="none"/>
              </w:rPr>
            </w:pPr>
            <w:r>
              <w:rPr>
                <w:rFonts w:hint="eastAsia"/>
                <w:color w:val="auto"/>
                <w:sz w:val="24"/>
                <w:szCs w:val="24"/>
                <w:highlight w:val="none"/>
              </w:rPr>
              <w:t>⑦　入住接待服务按照模拟接待流程进行话术接待，服务流程按照主动迎宾、确认预订、验证登记、入住登记办理、收取押金、呈交房卡、礼貌道别及信息存档；全程在三维建模空间进行模拟（非flash），同时学生可以利用鼠标键盘进行自由行走，直观的学习接待细节。</w:t>
            </w:r>
          </w:p>
          <w:p w14:paraId="1A0DBB94">
            <w:pPr>
              <w:spacing w:line="400" w:lineRule="exact"/>
              <w:rPr>
                <w:rFonts w:hint="eastAsia"/>
                <w:color w:val="auto"/>
                <w:sz w:val="24"/>
                <w:szCs w:val="24"/>
                <w:highlight w:val="none"/>
              </w:rPr>
            </w:pPr>
            <w:r>
              <w:rPr>
                <w:rFonts w:hint="eastAsia"/>
                <w:color w:val="auto"/>
                <w:sz w:val="24"/>
                <w:szCs w:val="24"/>
                <w:highlight w:val="none"/>
              </w:rPr>
              <w:t>⑧　一键服务中心按照接听电话、核对并重复要求、记录复述留言、结束来电、填写留言及递交留言操作；全程在三维建模空间进行模拟（非flash），同时学生可以利用鼠标键盘进行自由行走，直观的学习接待细节。</w:t>
            </w:r>
          </w:p>
          <w:p w14:paraId="3D00A633">
            <w:pPr>
              <w:spacing w:line="400" w:lineRule="exact"/>
              <w:rPr>
                <w:rFonts w:hint="eastAsia"/>
                <w:color w:val="auto"/>
                <w:sz w:val="24"/>
                <w:szCs w:val="24"/>
                <w:highlight w:val="none"/>
              </w:rPr>
            </w:pPr>
            <w:r>
              <w:rPr>
                <w:rFonts w:hint="eastAsia"/>
                <w:color w:val="auto"/>
                <w:sz w:val="24"/>
                <w:szCs w:val="24"/>
                <w:highlight w:val="none"/>
              </w:rPr>
              <w:t>⑨　退房接待服务按照主动迎接、通知客房服务中心查房、委婉询问消费、打印消费账单、付款结账、欢迎下次光临及登记表保存；全程在三维建模空间进行模拟（非flash），同时学生可以利用鼠标键盘进行自由行走，直观的学习接待细节。</w:t>
            </w:r>
          </w:p>
          <w:p w14:paraId="01131C34">
            <w:pPr>
              <w:spacing w:line="400" w:lineRule="exact"/>
              <w:rPr>
                <w:rFonts w:hint="eastAsia"/>
                <w:color w:val="auto"/>
                <w:sz w:val="24"/>
                <w:szCs w:val="24"/>
                <w:highlight w:val="none"/>
              </w:rPr>
            </w:pPr>
            <w:r>
              <w:rPr>
                <w:rFonts w:hint="eastAsia"/>
                <w:color w:val="auto"/>
                <w:sz w:val="24"/>
                <w:szCs w:val="24"/>
                <w:highlight w:val="none"/>
              </w:rPr>
              <w:t>⑩　离店行李服务按照接到宾客运送行李请求、收取行李、帮助客人离店及礼貌欢送流程进行实训，全程在三维建模空间进行模拟（非flash），同时学生可以利用鼠标键盘进行自由行走，直观的学习接待细节。</w:t>
            </w:r>
          </w:p>
          <w:p w14:paraId="1C85A78C">
            <w:pPr>
              <w:spacing w:line="400" w:lineRule="exact"/>
              <w:rPr>
                <w:rFonts w:hint="eastAsia"/>
                <w:color w:val="auto"/>
                <w:sz w:val="24"/>
                <w:szCs w:val="24"/>
                <w:highlight w:val="none"/>
              </w:rPr>
            </w:pPr>
            <w:r>
              <w:rPr>
                <w:rFonts w:hint="eastAsia"/>
                <w:color w:val="auto"/>
                <w:sz w:val="24"/>
                <w:szCs w:val="24"/>
                <w:highlight w:val="none"/>
              </w:rPr>
              <w:t>⑪　散客（商务客人）服务按照受理VIP电话预订、VIP接待准备、抵店接待、金钥匙服务及VIP送行服务的流程进行，每个流程分步骤在三维虚拟建模空间完成（非flash）。</w:t>
            </w:r>
          </w:p>
          <w:p w14:paraId="2E8BBF97">
            <w:pPr>
              <w:spacing w:line="400" w:lineRule="exact"/>
              <w:rPr>
                <w:rFonts w:hint="eastAsia"/>
                <w:color w:val="auto"/>
                <w:sz w:val="24"/>
                <w:szCs w:val="24"/>
                <w:highlight w:val="none"/>
              </w:rPr>
            </w:pPr>
            <w:r>
              <w:rPr>
                <w:rFonts w:hint="eastAsia"/>
                <w:color w:val="auto"/>
                <w:sz w:val="24"/>
                <w:szCs w:val="24"/>
                <w:highlight w:val="none"/>
              </w:rPr>
              <w:t>⑫　酒店前厅接待服务大赛按照中职及高职进行划分，中职包含认识酒店技能大赛、前厅服务专业理论与英语问答测试分析、前厅操作评分标准、前厅专业理论评分标准及英语评分标准；高职包含前厅项目赛项概述及认识大赛。</w:t>
            </w:r>
          </w:p>
          <w:p w14:paraId="1FE0BCDB">
            <w:pPr>
              <w:spacing w:line="400" w:lineRule="exact"/>
              <w:rPr>
                <w:rFonts w:hint="eastAsia"/>
                <w:color w:val="auto"/>
                <w:sz w:val="24"/>
                <w:szCs w:val="24"/>
                <w:highlight w:val="none"/>
              </w:rPr>
            </w:pPr>
            <w:r>
              <w:rPr>
                <w:rFonts w:hint="eastAsia"/>
                <w:color w:val="auto"/>
                <w:sz w:val="24"/>
                <w:szCs w:val="24"/>
                <w:highlight w:val="none"/>
              </w:rPr>
              <w:t>⑬　会议服务支持报告厅、沙龙式、圆桌式、课桌式、西餐厅、KTV及游泳池的实训；所有场景需要是建模的场景，同时学生可以查看各个场景的相关介绍。</w:t>
            </w:r>
          </w:p>
          <w:p w14:paraId="6AEB7473">
            <w:pPr>
              <w:spacing w:line="400" w:lineRule="exact"/>
              <w:rPr>
                <w:rFonts w:hint="eastAsia"/>
                <w:color w:val="auto"/>
                <w:sz w:val="24"/>
                <w:szCs w:val="24"/>
                <w:highlight w:val="none"/>
              </w:rPr>
            </w:pPr>
            <w:r>
              <w:rPr>
                <w:rFonts w:hint="eastAsia"/>
                <w:color w:val="auto"/>
                <w:sz w:val="24"/>
                <w:szCs w:val="24"/>
                <w:highlight w:val="none"/>
              </w:rPr>
              <w:t>⑭　学生可以对鸡尾酒、红酒、啤酒及白酒的学习，包含各个知识的学习视频，同时学生可以在线查看老师推荐的优秀作品。</w:t>
            </w:r>
          </w:p>
          <w:p w14:paraId="5D6D7507">
            <w:pPr>
              <w:spacing w:line="400" w:lineRule="exact"/>
              <w:rPr>
                <w:rFonts w:hint="eastAsia"/>
                <w:color w:val="auto"/>
                <w:sz w:val="24"/>
                <w:szCs w:val="24"/>
                <w:highlight w:val="none"/>
              </w:rPr>
            </w:pPr>
            <w:r>
              <w:rPr>
                <w:rFonts w:hint="eastAsia"/>
                <w:color w:val="auto"/>
                <w:sz w:val="24"/>
                <w:szCs w:val="24"/>
                <w:highlight w:val="none"/>
              </w:rPr>
              <w:t xml:space="preserve">（3）功能要求：支持三维空间自由行走、话术录制、任务学习与测试、多场景切换（大堂、行政走廊、前厅部等）。  </w:t>
            </w:r>
          </w:p>
          <w:p w14:paraId="3B6CDF81">
            <w:pPr>
              <w:spacing w:line="400" w:lineRule="exact"/>
              <w:rPr>
                <w:rFonts w:hint="eastAsia"/>
                <w:color w:val="auto"/>
                <w:sz w:val="24"/>
                <w:szCs w:val="24"/>
                <w:highlight w:val="none"/>
              </w:rPr>
            </w:pPr>
            <w:r>
              <w:rPr>
                <w:rFonts w:hint="eastAsia"/>
                <w:color w:val="auto"/>
                <w:sz w:val="24"/>
                <w:szCs w:val="24"/>
                <w:highlight w:val="none"/>
              </w:rPr>
              <w:t>（4）接口要求：提供任务进度同步、作品上传、成绩回传等接口，支持与平台用户权限对接。</w:t>
            </w:r>
          </w:p>
          <w:p w14:paraId="7C27C877">
            <w:pPr>
              <w:spacing w:line="400" w:lineRule="exact"/>
              <w:rPr>
                <w:rFonts w:hint="eastAsia"/>
                <w:color w:val="auto"/>
                <w:sz w:val="24"/>
                <w:szCs w:val="24"/>
                <w:highlight w:val="none"/>
              </w:rPr>
            </w:pPr>
          </w:p>
          <w:p w14:paraId="56A5D5A5">
            <w:pPr>
              <w:spacing w:line="400" w:lineRule="exact"/>
              <w:rPr>
                <w:rFonts w:hint="eastAsia"/>
                <w:color w:val="auto"/>
                <w:sz w:val="24"/>
                <w:szCs w:val="24"/>
                <w:highlight w:val="none"/>
              </w:rPr>
            </w:pPr>
            <w:r>
              <w:rPr>
                <w:rFonts w:hint="eastAsia"/>
                <w:color w:val="auto"/>
                <w:sz w:val="24"/>
                <w:szCs w:val="24"/>
                <w:highlight w:val="none"/>
              </w:rPr>
              <w:t xml:space="preserve">4. 数据分析资源库  </w:t>
            </w:r>
          </w:p>
          <w:p w14:paraId="0D040572">
            <w:pPr>
              <w:spacing w:line="400" w:lineRule="exact"/>
              <w:rPr>
                <w:rFonts w:hint="eastAsia"/>
                <w:color w:val="auto"/>
                <w:sz w:val="24"/>
                <w:szCs w:val="24"/>
                <w:highlight w:val="none"/>
              </w:rPr>
            </w:pPr>
            <w:r>
              <w:rPr>
                <w:rFonts w:hint="eastAsia"/>
                <w:color w:val="auto"/>
                <w:sz w:val="24"/>
                <w:szCs w:val="24"/>
                <w:highlight w:val="none"/>
              </w:rPr>
              <w:t>（1）数据分析资源库为线上数据源，使用html图表展示，功能参数要求如下：</w:t>
            </w:r>
          </w:p>
          <w:p w14:paraId="5E8A98CF">
            <w:pPr>
              <w:spacing w:line="400" w:lineRule="exact"/>
              <w:rPr>
                <w:rFonts w:hint="eastAsia"/>
                <w:color w:val="auto"/>
                <w:sz w:val="24"/>
                <w:szCs w:val="24"/>
                <w:highlight w:val="none"/>
              </w:rPr>
            </w:pPr>
            <w:r>
              <w:rPr>
                <w:rFonts w:hint="eastAsia"/>
                <w:color w:val="auto"/>
                <w:sz w:val="24"/>
                <w:szCs w:val="24"/>
                <w:highlight w:val="none"/>
              </w:rPr>
              <w:t>①　数据需覆盖旅游行业，至少包含景区与酒店两大分类。</w:t>
            </w:r>
          </w:p>
          <w:p w14:paraId="09A8A398">
            <w:pPr>
              <w:spacing w:line="400" w:lineRule="exact"/>
              <w:rPr>
                <w:rFonts w:hint="eastAsia"/>
                <w:color w:val="auto"/>
                <w:sz w:val="24"/>
                <w:szCs w:val="24"/>
                <w:highlight w:val="none"/>
              </w:rPr>
            </w:pPr>
            <w:r>
              <w:rPr>
                <w:rFonts w:hint="eastAsia"/>
                <w:color w:val="auto"/>
                <w:sz w:val="24"/>
                <w:szCs w:val="24"/>
                <w:highlight w:val="none"/>
              </w:rPr>
              <w:t>②　数据维度需包含：口碑热度、满意度、好评/中评/差评数量与趋势、客户画像标签（如出游方式、兴趣分布）、OTA平台（如携程、美团）数据分布、评论热词分析等。</w:t>
            </w:r>
          </w:p>
          <w:p w14:paraId="7D298676">
            <w:pPr>
              <w:spacing w:line="400" w:lineRule="exact"/>
              <w:rPr>
                <w:rFonts w:hint="eastAsia"/>
                <w:color w:val="auto"/>
                <w:sz w:val="24"/>
                <w:szCs w:val="24"/>
                <w:highlight w:val="none"/>
              </w:rPr>
            </w:pPr>
            <w:r>
              <w:rPr>
                <w:rFonts w:hint="eastAsia"/>
                <w:color w:val="auto"/>
                <w:sz w:val="24"/>
                <w:szCs w:val="24"/>
                <w:highlight w:val="none"/>
              </w:rPr>
              <w:t>③　图表必须是前端渲染，生成HTML5内容，使用 SVG 或 Canvas 等技术。</w:t>
            </w:r>
          </w:p>
          <w:p w14:paraId="031BAF8A">
            <w:pPr>
              <w:spacing w:line="400" w:lineRule="exact"/>
              <w:rPr>
                <w:rFonts w:hint="eastAsia"/>
                <w:color w:val="auto"/>
                <w:sz w:val="24"/>
                <w:szCs w:val="24"/>
                <w:highlight w:val="none"/>
              </w:rPr>
            </w:pPr>
            <w:r>
              <w:rPr>
                <w:rFonts w:hint="eastAsia"/>
                <w:color w:val="auto"/>
                <w:sz w:val="24"/>
                <w:szCs w:val="24"/>
                <w:highlight w:val="none"/>
              </w:rPr>
              <w:t>④　图表组件需兼容主流Web前端框架（如Vue.js, React），并能以组件或iframe嵌入等方式无缝集成至采购方平台。</w:t>
            </w:r>
          </w:p>
          <w:p w14:paraId="1692212D">
            <w:pPr>
              <w:spacing w:line="400" w:lineRule="exact"/>
              <w:rPr>
                <w:rFonts w:hint="eastAsia"/>
                <w:color w:val="auto"/>
                <w:sz w:val="24"/>
                <w:szCs w:val="24"/>
                <w:highlight w:val="none"/>
              </w:rPr>
            </w:pPr>
            <w:r>
              <w:rPr>
                <w:rFonts w:hint="eastAsia"/>
                <w:color w:val="auto"/>
                <w:sz w:val="24"/>
                <w:szCs w:val="24"/>
                <w:highlight w:val="none"/>
              </w:rPr>
              <w:t>⑤　必须提供但不限于以下图表类型：折线图、柱状图（纵向与横向）、饼图、散点图、地图（中国及省内区域）等。</w:t>
            </w:r>
          </w:p>
          <w:p w14:paraId="75E8D3A1">
            <w:pPr>
              <w:spacing w:line="400" w:lineRule="exact"/>
              <w:rPr>
                <w:rFonts w:hint="eastAsia"/>
                <w:color w:val="auto"/>
                <w:sz w:val="24"/>
                <w:szCs w:val="24"/>
                <w:highlight w:val="none"/>
              </w:rPr>
            </w:pPr>
            <w:r>
              <w:rPr>
                <w:rFonts w:hint="eastAsia"/>
                <w:color w:val="auto"/>
                <w:sz w:val="24"/>
                <w:szCs w:val="24"/>
                <w:highlight w:val="none"/>
              </w:rPr>
              <w:t>⑥　图表标题、图例、坐标轴等文本内容需支持动态配置，数据来源需动态注入。</w:t>
            </w:r>
          </w:p>
          <w:p w14:paraId="3A42302E">
            <w:pPr>
              <w:spacing w:line="400" w:lineRule="exact"/>
              <w:rPr>
                <w:rFonts w:hint="eastAsia"/>
                <w:color w:val="auto"/>
                <w:sz w:val="24"/>
                <w:szCs w:val="24"/>
                <w:highlight w:val="none"/>
              </w:rPr>
            </w:pPr>
            <w:r>
              <w:rPr>
                <w:rFonts w:hint="eastAsia"/>
                <w:color w:val="auto"/>
                <w:sz w:val="24"/>
                <w:szCs w:val="24"/>
                <w:highlight w:val="none"/>
              </w:rPr>
              <w:t>⑦　前端图表组件需具备良好的浏览器兼容性，支持Chrome、Firefox、Edge等主流浏览器的最近三个稳定版本。</w:t>
            </w:r>
          </w:p>
          <w:p w14:paraId="552E55F1">
            <w:pPr>
              <w:spacing w:line="400" w:lineRule="exact"/>
              <w:rPr>
                <w:rFonts w:hint="eastAsia"/>
                <w:color w:val="auto"/>
                <w:sz w:val="24"/>
                <w:szCs w:val="24"/>
                <w:highlight w:val="none"/>
              </w:rPr>
            </w:pPr>
            <w:r>
              <w:rPr>
                <w:rFonts w:hint="eastAsia"/>
                <w:color w:val="auto"/>
                <w:sz w:val="24"/>
                <w:szCs w:val="24"/>
                <w:highlight w:val="none"/>
              </w:rPr>
              <w:t>⑧　单个完整数据看板页面（含多个图表）在100ms网络下的加载时间应低于3秒。</w:t>
            </w:r>
          </w:p>
          <w:p w14:paraId="13F5F48E">
            <w:pPr>
              <w:spacing w:line="400" w:lineRule="exact"/>
              <w:rPr>
                <w:rFonts w:hint="eastAsia"/>
                <w:color w:val="auto"/>
                <w:sz w:val="24"/>
                <w:szCs w:val="24"/>
                <w:highlight w:val="none"/>
              </w:rPr>
            </w:pPr>
          </w:p>
          <w:p w14:paraId="0366F378">
            <w:pPr>
              <w:spacing w:line="400" w:lineRule="exact"/>
              <w:rPr>
                <w:rFonts w:hint="eastAsia"/>
                <w:color w:val="auto"/>
                <w:sz w:val="24"/>
                <w:szCs w:val="24"/>
                <w:highlight w:val="none"/>
              </w:rPr>
            </w:pPr>
            <w:r>
              <w:rPr>
                <w:rFonts w:hint="eastAsia"/>
                <w:color w:val="auto"/>
                <w:sz w:val="24"/>
                <w:szCs w:val="24"/>
                <w:highlight w:val="none"/>
              </w:rPr>
              <w:t>（2）内容要求：通过真实数据读取满足虚拟仿真教学中基于大数据的分析、教学辅助功能，支持景区、酒店分类专项。</w:t>
            </w:r>
          </w:p>
          <w:p w14:paraId="2C3614D9">
            <w:pPr>
              <w:spacing w:line="400" w:lineRule="exact"/>
              <w:rPr>
                <w:rFonts w:hint="eastAsia"/>
                <w:color w:val="auto"/>
                <w:sz w:val="24"/>
                <w:szCs w:val="24"/>
                <w:highlight w:val="none"/>
              </w:rPr>
            </w:pPr>
            <w:r>
              <w:rPr>
                <w:rFonts w:hint="eastAsia"/>
                <w:color w:val="auto"/>
                <w:sz w:val="24"/>
                <w:szCs w:val="24"/>
                <w:highlight w:val="none"/>
              </w:rPr>
              <w:t>①　数据板块对OTA平台数据进行统计分析，展示各个OTA平台的口碑热度及满意度，包含但不限于美团、马蜂窝、去哪儿、携程、同程旅游、驴妈妈、途牛等互联网OTA平台；按照月份统计近12个月口碑的变化趋势，可选择好评、差评或中评的并自动统计近12个月每月所选的数据数量；同时自动生成本省不同城市的好/中/差评的分布图，清晰的查看不同城市的变化趋势。客户数据板块支持客户标签体系分组、设置标签规则、用户画像评价体系管理、用户分组管理。</w:t>
            </w:r>
          </w:p>
          <w:p w14:paraId="17C53870">
            <w:pPr>
              <w:spacing w:line="400" w:lineRule="exact"/>
              <w:rPr>
                <w:rFonts w:hint="eastAsia"/>
                <w:color w:val="auto"/>
                <w:sz w:val="24"/>
                <w:szCs w:val="24"/>
                <w:highlight w:val="none"/>
              </w:rPr>
            </w:pPr>
            <w:r>
              <w:rPr>
                <w:rFonts w:hint="eastAsia"/>
                <w:color w:val="auto"/>
                <w:sz w:val="24"/>
                <w:szCs w:val="24"/>
                <w:highlight w:val="none"/>
              </w:rPr>
              <w:t>②　数据板块拥有数据的综合看板分析，包含景区和酒店（自由切换）口碑指数进行分析；自动生成月份的酒店/景区口碑指数，自动计算本省在全国的排名；系统自动统计展示的平均指数、最高指数及最低指数；展示本省景区和酒店当前的口碑总数、好评总数、好评率、差评总数及差评率，并根据算法自动计划上月环比数据。客户数据板块支持客户的画像标签及动态标签的展示；支持客户全国分布的统计，支持搜索引擎的推广管理。</w:t>
            </w:r>
          </w:p>
          <w:p w14:paraId="0559A564">
            <w:pPr>
              <w:spacing w:line="400" w:lineRule="exact"/>
              <w:rPr>
                <w:rFonts w:hint="eastAsia"/>
                <w:color w:val="auto"/>
                <w:sz w:val="24"/>
                <w:szCs w:val="24"/>
                <w:highlight w:val="none"/>
              </w:rPr>
            </w:pPr>
            <w:r>
              <w:rPr>
                <w:rFonts w:hint="eastAsia"/>
                <w:color w:val="auto"/>
                <w:sz w:val="24"/>
                <w:szCs w:val="24"/>
                <w:highlight w:val="none"/>
              </w:rPr>
              <w:t>③　数据板块可对地图上本省的景区或者酒店进行对象态势监测，选择对应的景区查看本景区或者酒店的口碑总览、评论总数变化、差评趋势变化、行业平均差评趋势变化、评论分布、各个维度正负面分析、选定维度的好评率趋势及差评率变化趋势。对每月、季、年度自动生成本区域景区、酒店的网评报告，网评报告通过综合概况、榜单、游客关注维度、评价来源分析和评论热词五个方面展示景点或酒店当月、当季或当年的网评情况，帮助了解所关注区域景区或酒店的基本网评情况。可选择对应的星级按照不同的月份、季度、年份自动生成对应的报告。客户数据板块支持对搜索引擎的推广效果进行分析，支持查看推广效果、展现量、地域、人群属性、兴趣分布、关键词分布、网络运营商占比、受众APP行为等数据。</w:t>
            </w:r>
          </w:p>
          <w:p w14:paraId="247D6135">
            <w:pPr>
              <w:spacing w:line="400" w:lineRule="exact"/>
              <w:rPr>
                <w:rFonts w:hint="eastAsia"/>
                <w:color w:val="auto"/>
                <w:sz w:val="24"/>
                <w:szCs w:val="24"/>
                <w:highlight w:val="none"/>
              </w:rPr>
            </w:pPr>
            <w:r>
              <w:rPr>
                <w:rFonts w:hint="eastAsia"/>
                <w:color w:val="auto"/>
                <w:sz w:val="24"/>
                <w:szCs w:val="24"/>
                <w:highlight w:val="none"/>
              </w:rPr>
              <w:t>④　数据板块可对景区和酒店的综合排名进行分析，可选择不同的景区级别（5A/4A/3A/2A/其他）或酒店星级按照年份或者某个时间段进行筛选对应的网评口碑数据；展示当前条件下的酒店或景区的数量；生成对应的热度排行榜、好评率排行榜、差评率排行榜及满意度排名；并支持直接点击跳转到每个具体景区或酒店的网络评论分析面板。客户数据板块支持客户精准营销推送报告及客户阅读状态，支持自动化营销规则的设定及营销设计的客户详情，自动生成营销分析报告。</w:t>
            </w:r>
          </w:p>
          <w:p w14:paraId="7F502F6C">
            <w:pPr>
              <w:spacing w:line="400" w:lineRule="exact"/>
              <w:rPr>
                <w:rFonts w:hint="eastAsia"/>
                <w:color w:val="auto"/>
                <w:sz w:val="24"/>
                <w:szCs w:val="24"/>
                <w:highlight w:val="none"/>
              </w:rPr>
            </w:pPr>
            <w:r>
              <w:rPr>
                <w:rFonts w:hint="eastAsia"/>
                <w:color w:val="auto"/>
                <w:sz w:val="24"/>
                <w:szCs w:val="24"/>
                <w:highlight w:val="none"/>
              </w:rPr>
              <w:t>⑤　数据板块支持对本省景区或酒店的关注度进行分析，通过构建出游方式模型，将客流结构归并为独自出游、情侣朋友、家庭亲子、商务出游和其它五大类型，掌握每种出游方式的热度信息以及每种出游方式对客流状况、公共设施、旅游交通、服务质量、门票物价、景区管理、卫生环境、文化特色等维度的关注程度；支持按照年份/月份及时间段进行筛选相关的数据。客户数据模块支持关键词列表的查看、下载与上传自由词，展示关键词的展现量、点击率；支持对关键词的搜索人气、点击率、关键词数量及任务进行描述填写。</w:t>
            </w:r>
          </w:p>
          <w:p w14:paraId="001451DA">
            <w:pPr>
              <w:spacing w:line="400" w:lineRule="exact"/>
              <w:rPr>
                <w:rFonts w:hint="eastAsia"/>
                <w:color w:val="auto"/>
                <w:sz w:val="24"/>
                <w:szCs w:val="24"/>
                <w:highlight w:val="none"/>
              </w:rPr>
            </w:pPr>
            <w:r>
              <w:rPr>
                <w:rFonts w:hint="eastAsia"/>
                <w:color w:val="auto"/>
                <w:sz w:val="24"/>
                <w:szCs w:val="24"/>
                <w:highlight w:val="none"/>
              </w:rPr>
              <w:t>⑥　数据板块总体表现可选择本省或者本省地市在年份或月份或时间段内的景区和酒店的总体表现能力；包括景区的指数、口碑指数、区域排名、OTA平台分布、评论的热度分布、不同维度下各维度评论热度的分布及月度每天的满意度及热度数据；通过使用自然语言处理技术，从评价中提取中观点，结合维度，分别展示消极和积极观点，并做汇总词云展示，帮助使用者一目了然掌握改善和提高点；针对存在的问题依据及优势分别生成口碑维度TOP10排名、口碑维度趋势图及各个维度分布情况；支持按照本省或地市根据不同的时间进行筛选展示相关的优势及劣势的具体内容。客户数据板块支持虚拟创建公众号，支持跳转模拟公众号进行设置，支持公众号的对话，支持公众号粉丝的管理，支持关键词的挖掘与分析。</w:t>
            </w:r>
          </w:p>
          <w:p w14:paraId="19A5FACB">
            <w:pPr>
              <w:spacing w:line="400" w:lineRule="exact"/>
              <w:rPr>
                <w:rFonts w:hint="eastAsia"/>
                <w:color w:val="auto"/>
                <w:sz w:val="24"/>
                <w:szCs w:val="24"/>
                <w:highlight w:val="none"/>
              </w:rPr>
            </w:pPr>
            <w:r>
              <w:rPr>
                <w:rFonts w:hint="eastAsia"/>
                <w:color w:val="auto"/>
                <w:sz w:val="24"/>
                <w:szCs w:val="24"/>
                <w:highlight w:val="none"/>
              </w:rPr>
              <w:t xml:space="preserve">（3）数据要求：支持真实数据接入，具备自然语言处理与可视化分析能力。  </w:t>
            </w:r>
          </w:p>
          <w:p w14:paraId="5C30E0DD">
            <w:pPr>
              <w:spacing w:line="400" w:lineRule="exact"/>
              <w:rPr>
                <w:rFonts w:hint="eastAsia"/>
                <w:color w:val="auto"/>
                <w:sz w:val="24"/>
                <w:szCs w:val="24"/>
                <w:highlight w:val="none"/>
              </w:rPr>
            </w:pPr>
            <w:r>
              <w:rPr>
                <w:rFonts w:hint="eastAsia"/>
                <w:color w:val="auto"/>
                <w:sz w:val="24"/>
                <w:szCs w:val="24"/>
                <w:highlight w:val="none"/>
              </w:rPr>
              <w:t>（4）接口要求：提供数据查询API、报告生成接口、关键词分析接口，支持与平台数据看板嵌入。</w:t>
            </w:r>
          </w:p>
          <w:p w14:paraId="369191E4">
            <w:pPr>
              <w:spacing w:line="400" w:lineRule="exact"/>
              <w:rPr>
                <w:rFonts w:hint="eastAsia"/>
                <w:color w:val="auto"/>
                <w:sz w:val="24"/>
                <w:szCs w:val="24"/>
                <w:highlight w:val="none"/>
              </w:rPr>
            </w:pPr>
          </w:p>
          <w:p w14:paraId="33CB8973">
            <w:pPr>
              <w:spacing w:line="400" w:lineRule="exact"/>
              <w:rPr>
                <w:rFonts w:hint="eastAsia"/>
                <w:color w:val="auto"/>
                <w:sz w:val="24"/>
                <w:szCs w:val="24"/>
                <w:highlight w:val="none"/>
              </w:rPr>
            </w:pPr>
            <w:r>
              <w:rPr>
                <w:rFonts w:hint="eastAsia"/>
                <w:color w:val="auto"/>
                <w:sz w:val="24"/>
                <w:szCs w:val="24"/>
                <w:highlight w:val="none"/>
              </w:rPr>
              <w:t xml:space="preserve">（二）资源嵌入平台参数说明  </w:t>
            </w:r>
          </w:p>
          <w:p w14:paraId="6C08686C">
            <w:pPr>
              <w:spacing w:line="400" w:lineRule="exact"/>
              <w:rPr>
                <w:rFonts w:hint="eastAsia"/>
                <w:color w:val="auto"/>
                <w:sz w:val="24"/>
                <w:szCs w:val="24"/>
                <w:highlight w:val="none"/>
              </w:rPr>
            </w:pPr>
            <w:r>
              <w:rPr>
                <w:rFonts w:hint="eastAsia"/>
                <w:color w:val="auto"/>
                <w:sz w:val="24"/>
                <w:szCs w:val="24"/>
                <w:highlight w:val="none"/>
              </w:rPr>
              <w:t xml:space="preserve">所有资源需提供以下参数以确保与平台无缝嵌套：  </w:t>
            </w:r>
          </w:p>
          <w:p w14:paraId="1249B28A">
            <w:pPr>
              <w:spacing w:line="400" w:lineRule="exact"/>
              <w:rPr>
                <w:rFonts w:hint="eastAsia"/>
                <w:color w:val="auto"/>
                <w:sz w:val="24"/>
                <w:szCs w:val="24"/>
                <w:highlight w:val="none"/>
              </w:rPr>
            </w:pPr>
            <w:r>
              <w:rPr>
                <w:rFonts w:hint="eastAsia"/>
                <w:color w:val="auto"/>
                <w:sz w:val="24"/>
                <w:szCs w:val="24"/>
                <w:highlight w:val="none"/>
              </w:rPr>
              <w:t xml:space="preserve"> 资源ID：唯一标识符，用于平台资源管理。  </w:t>
            </w:r>
          </w:p>
          <w:p w14:paraId="717C70E5">
            <w:pPr>
              <w:spacing w:line="400" w:lineRule="exact"/>
              <w:rPr>
                <w:rFonts w:hint="eastAsia"/>
                <w:color w:val="auto"/>
                <w:sz w:val="24"/>
                <w:szCs w:val="24"/>
                <w:highlight w:val="none"/>
              </w:rPr>
            </w:pPr>
            <w:r>
              <w:rPr>
                <w:rFonts w:hint="eastAsia"/>
                <w:color w:val="auto"/>
                <w:sz w:val="24"/>
                <w:szCs w:val="24"/>
                <w:highlight w:val="none"/>
              </w:rPr>
              <w:t xml:space="preserve"> 资源类型：如3D模型、全景视频、交互课件等。  </w:t>
            </w:r>
          </w:p>
          <w:p w14:paraId="02340B50">
            <w:pPr>
              <w:spacing w:line="400" w:lineRule="exact"/>
              <w:rPr>
                <w:rFonts w:hint="eastAsia"/>
                <w:color w:val="auto"/>
                <w:sz w:val="24"/>
                <w:szCs w:val="24"/>
                <w:highlight w:val="none"/>
              </w:rPr>
            </w:pPr>
            <w:r>
              <w:rPr>
                <w:rFonts w:hint="eastAsia"/>
                <w:color w:val="auto"/>
                <w:sz w:val="24"/>
                <w:szCs w:val="24"/>
                <w:highlight w:val="none"/>
              </w:rPr>
              <w:t xml:space="preserve"> 技术参数：包括分辨率、面数、兼容环境等。  </w:t>
            </w:r>
          </w:p>
          <w:p w14:paraId="0EA61E94">
            <w:pPr>
              <w:spacing w:line="400" w:lineRule="exact"/>
              <w:rPr>
                <w:rFonts w:hint="eastAsia"/>
                <w:color w:val="auto"/>
                <w:sz w:val="24"/>
                <w:szCs w:val="24"/>
                <w:highlight w:val="none"/>
              </w:rPr>
            </w:pPr>
            <w:r>
              <w:rPr>
                <w:rFonts w:hint="eastAsia"/>
                <w:color w:val="auto"/>
                <w:sz w:val="24"/>
                <w:szCs w:val="24"/>
                <w:highlight w:val="none"/>
              </w:rPr>
              <w:t xml:space="preserve"> API接口：支持资源状态查询、成绩回传、用户权限验证等。  </w:t>
            </w:r>
          </w:p>
          <w:p w14:paraId="5B971E37">
            <w:pPr>
              <w:spacing w:line="400" w:lineRule="exact"/>
              <w:rPr>
                <w:color w:val="auto"/>
                <w:sz w:val="24"/>
                <w:szCs w:val="24"/>
                <w:highlight w:val="none"/>
              </w:rPr>
            </w:pPr>
            <w:r>
              <w:rPr>
                <w:rFonts w:hint="eastAsia"/>
                <w:color w:val="auto"/>
                <w:sz w:val="24"/>
                <w:szCs w:val="24"/>
                <w:highlight w:val="none"/>
              </w:rPr>
              <w:t xml:space="preserve"> 前端嵌入方式：支持iframe或WebGL等内嵌，响应平台页面布局。</w:t>
            </w:r>
          </w:p>
        </w:tc>
        <w:tc>
          <w:tcPr>
            <w:tcW w:w="962" w:type="dxa"/>
            <w:vAlign w:val="center"/>
          </w:tcPr>
          <w:p w14:paraId="6A3FDB2C">
            <w:pPr>
              <w:pStyle w:val="14"/>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8.5</w:t>
            </w:r>
          </w:p>
        </w:tc>
        <w:tc>
          <w:tcPr>
            <w:tcW w:w="983" w:type="dxa"/>
            <w:vAlign w:val="center"/>
          </w:tcPr>
          <w:p w14:paraId="59817E24">
            <w:pPr>
              <w:pStyle w:val="14"/>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8.5</w:t>
            </w:r>
          </w:p>
        </w:tc>
      </w:tr>
      <w:tr w14:paraId="37004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67" w:type="dxa"/>
            <w:gridSpan w:val="7"/>
            <w:tcBorders>
              <w:top w:val="single" w:color="auto" w:sz="4" w:space="0"/>
              <w:left w:val="single" w:color="auto" w:sz="4" w:space="0"/>
              <w:bottom w:val="single" w:color="auto" w:sz="4" w:space="0"/>
              <w:right w:val="single" w:color="auto" w:sz="4" w:space="0"/>
            </w:tcBorders>
          </w:tcPr>
          <w:p w14:paraId="25CA928C">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商务要求</w:t>
            </w:r>
          </w:p>
        </w:tc>
      </w:tr>
      <w:tr w14:paraId="71B9C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30F1E1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合同签订时间</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22C2B1E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自成交通知书发出之日起25日内。</w:t>
            </w:r>
          </w:p>
        </w:tc>
      </w:tr>
      <w:tr w14:paraId="5EEA3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76E8BE5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交付时间及地点</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743CAF82">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1.交付时间：自签订合同之日起</w:t>
            </w:r>
            <w:r>
              <w:rPr>
                <w:rFonts w:hint="eastAsia"/>
                <w:color w:val="auto"/>
                <w:sz w:val="24"/>
                <w:szCs w:val="24"/>
                <w:highlight w:val="none"/>
                <w:lang w:val="en-US" w:eastAsia="zh-CN"/>
              </w:rPr>
              <w:t>50</w:t>
            </w:r>
            <w:r>
              <w:rPr>
                <w:rFonts w:hint="eastAsia"/>
                <w:color w:val="auto"/>
                <w:sz w:val="24"/>
                <w:szCs w:val="24"/>
                <w:highlight w:val="none"/>
              </w:rPr>
              <w:t>日内提交服务成果并验收完毕，满足使用条件。</w:t>
            </w:r>
          </w:p>
          <w:p w14:paraId="334BE906">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2.交付地点：广西区内采购人指定地点。</w:t>
            </w:r>
          </w:p>
        </w:tc>
      </w:tr>
      <w:tr w14:paraId="2A037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2DFB6EA9">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付款方式</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6736C3FA">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合同签订后</w:t>
            </w:r>
            <w:r>
              <w:rPr>
                <w:rFonts w:hint="eastAsia"/>
                <w:color w:val="auto"/>
                <w:sz w:val="24"/>
                <w:szCs w:val="24"/>
                <w:highlight w:val="none"/>
                <w:lang w:val="en-US" w:eastAsia="zh-CN"/>
              </w:rPr>
              <w:t>30</w:t>
            </w:r>
            <w:r>
              <w:rPr>
                <w:rFonts w:hint="eastAsia"/>
                <w:color w:val="auto"/>
                <w:sz w:val="24"/>
                <w:szCs w:val="24"/>
                <w:highlight w:val="none"/>
              </w:rPr>
              <w:t>%。验收通过</w:t>
            </w:r>
            <w:r>
              <w:rPr>
                <w:rFonts w:hint="eastAsia"/>
                <w:color w:val="auto"/>
                <w:sz w:val="24"/>
                <w:szCs w:val="24"/>
                <w:highlight w:val="none"/>
                <w:lang w:val="en-US" w:eastAsia="zh-CN"/>
              </w:rPr>
              <w:t>7</w:t>
            </w:r>
            <w:r>
              <w:rPr>
                <w:rFonts w:hint="eastAsia"/>
                <w:color w:val="auto"/>
                <w:sz w:val="24"/>
                <w:szCs w:val="24"/>
                <w:highlight w:val="none"/>
              </w:rPr>
              <w:t>0%。合同签订后十五个工作日内，采购人支付合同总金额的</w:t>
            </w:r>
            <w:r>
              <w:rPr>
                <w:rFonts w:hint="eastAsia"/>
                <w:color w:val="auto"/>
                <w:sz w:val="24"/>
                <w:szCs w:val="24"/>
                <w:highlight w:val="none"/>
                <w:lang w:val="en-US" w:eastAsia="zh-CN"/>
              </w:rPr>
              <w:t>30</w:t>
            </w:r>
            <w:r>
              <w:rPr>
                <w:rFonts w:hint="eastAsia"/>
                <w:color w:val="auto"/>
                <w:sz w:val="24"/>
                <w:szCs w:val="24"/>
                <w:highlight w:val="none"/>
              </w:rPr>
              <w:t>%；中标人通过验收后十五个工作日内即支付合同总金额的</w:t>
            </w:r>
            <w:r>
              <w:rPr>
                <w:rFonts w:hint="eastAsia"/>
                <w:color w:val="auto"/>
                <w:sz w:val="24"/>
                <w:szCs w:val="24"/>
                <w:highlight w:val="none"/>
                <w:lang w:val="en-US" w:eastAsia="zh-CN"/>
              </w:rPr>
              <w:t>70</w:t>
            </w:r>
            <w:r>
              <w:rPr>
                <w:rFonts w:hint="eastAsia"/>
                <w:color w:val="auto"/>
                <w:sz w:val="24"/>
                <w:szCs w:val="24"/>
                <w:highlight w:val="none"/>
              </w:rPr>
              <w:t>%每次付款前，成交供应商需提供请款函及该支付金额的合法有效发票。</w:t>
            </w:r>
          </w:p>
        </w:tc>
      </w:tr>
      <w:tr w14:paraId="0D4A3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5F667797">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售后服务</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3C091D2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1.所有的</w:t>
            </w:r>
            <w:r>
              <w:rPr>
                <w:rFonts w:hint="eastAsia" w:ascii="宋体" w:hAnsi="宋体" w:cs="宋体"/>
                <w:color w:val="auto"/>
                <w:sz w:val="24"/>
                <w:szCs w:val="24"/>
                <w:highlight w:val="none"/>
                <w:lang w:val="en-US" w:eastAsia="zh-CN"/>
              </w:rPr>
              <w:t>平台</w:t>
            </w:r>
            <w:r>
              <w:rPr>
                <w:rFonts w:hint="eastAsia" w:ascii="宋体" w:hAnsi="宋体" w:cs="宋体"/>
                <w:color w:val="auto"/>
                <w:sz w:val="24"/>
                <w:szCs w:val="24"/>
                <w:highlight w:val="none"/>
              </w:rPr>
              <w:t>建设均按采购人要求进行，服务成果须按采购人要求修改完善，直至采购人验收合格。</w:t>
            </w:r>
          </w:p>
          <w:p w14:paraId="4F61772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2.质保期2年，质保期内成交供应商免费按采购人要求调整或修改。</w:t>
            </w:r>
          </w:p>
          <w:p w14:paraId="739BD5C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3.质保期内供应商免费负责为采购人提供以下技术支持和服务：</w:t>
            </w:r>
          </w:p>
          <w:p w14:paraId="6116E0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（1）提供上门服务或远程技术服务。成交供应商为采购人提供技术援助以电话、QQ、Email、微信等，解答采购人在使用中遇到的问题，提供7天×12小时服务，及时为采购人提出解决问题的建议。</w:t>
            </w:r>
          </w:p>
          <w:p w14:paraId="0678CC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现场响应：采购人遇到使用及技术问题，电话咨询不能解决的，售后服务时间为7×24小时，中标人接到故障通知后1小时内响应，4小时内派认证工程师到达现场，8小时内解决问题，24小时内仍无法解决问题的，提供相同性能参数的备件替用。</w:t>
            </w:r>
          </w:p>
          <w:p w14:paraId="3096F90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4.质保期外供应商须持续免费为采购人提供远程线上咨询服务，或以成本价为采购人提供后续升级或其他技术支撑服务。</w:t>
            </w:r>
          </w:p>
        </w:tc>
      </w:tr>
      <w:tr w14:paraId="54495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214F36E2">
            <w:pPr>
              <w:pStyle w:val="4"/>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验收要求</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62947AA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1.要求履约过程中所有服务行为、软件、成果文件等均不涉及任何法律纠纷。</w:t>
            </w:r>
          </w:p>
          <w:p w14:paraId="4A396B8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验收时由采购人或邀请有资质的第三方机构对照采购文件的技术指标全面核对检验，如不符合采购文件的技术需求或提供虚假承诺的，采购人有权拒绝验收，成交供应商承担所有责任和费用，采购人有权解除合同并保留进一步追究责任的权利。</w:t>
            </w:r>
          </w:p>
          <w:p w14:paraId="6A1DE91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3.本项目须严格执行国家、地方及行业相关验收标准及规范。</w:t>
            </w:r>
          </w:p>
          <w:p w14:paraId="44B9139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4.验收过程中所产生的一切费用均由成交供应商承担，报价时应考虑相关费用。</w:t>
            </w:r>
          </w:p>
        </w:tc>
      </w:tr>
      <w:tr w14:paraId="5FECA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12765F8F">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报价要求</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181BA9D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成交金额为完成项目所有服务所需的费用，包括但不限于劳务费、软硬件设备、机具材料费、交通费等、数据处理、成果文件编制出版、质量检查、培训等各种费用和售后服务、税金及其它所有成本费用的总和。合同履约期间采购人不再支付其他费用。</w:t>
            </w:r>
          </w:p>
        </w:tc>
      </w:tr>
      <w:tr w14:paraId="21F0E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7D0D264C">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履约保证金的收取与退付</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2C5E84D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本项目不收取履约保证金。</w:t>
            </w:r>
          </w:p>
        </w:tc>
      </w:tr>
      <w:tr w14:paraId="44537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bottom w:val="single" w:color="auto" w:sz="4" w:space="0"/>
              <w:right w:val="single" w:color="auto" w:sz="4" w:space="0"/>
            </w:tcBorders>
            <w:vAlign w:val="center"/>
          </w:tcPr>
          <w:p w14:paraId="660E83C6">
            <w:pPr>
              <w:pStyle w:val="15"/>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其他要求</w:t>
            </w:r>
          </w:p>
        </w:tc>
        <w:tc>
          <w:tcPr>
            <w:tcW w:w="7085" w:type="dxa"/>
            <w:gridSpan w:val="3"/>
            <w:tcBorders>
              <w:top w:val="single" w:color="auto" w:sz="4" w:space="0"/>
              <w:left w:val="single" w:color="auto" w:sz="4" w:space="0"/>
              <w:bottom w:val="single" w:color="auto" w:sz="4" w:space="0"/>
            </w:tcBorders>
            <w:vAlign w:val="center"/>
          </w:tcPr>
          <w:p w14:paraId="5F210A1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平台</w:t>
            </w:r>
            <w:r>
              <w:rPr>
                <w:rFonts w:hint="eastAsia" w:ascii="宋体" w:hAnsi="宋体" w:cs="宋体"/>
                <w:color w:val="auto"/>
                <w:sz w:val="24"/>
                <w:szCs w:val="24"/>
                <w:highlight w:val="none"/>
              </w:rPr>
              <w:t>必须经采购人确认后方可进行开发和制作，并根据采购人意见进行完善，否则由此造成的损失由成交供应商自行承担。</w:t>
            </w:r>
          </w:p>
          <w:p w14:paraId="3BE0B1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2.成交供应商须为本项目服务实施投入充足的服务人员和硬件设备，并确保竞标文件中的人员信息真实、有效。响应文件承诺的人员、设备必须如实投入到项目实施中，未经采购人同意不允许更换。</w:t>
            </w:r>
          </w:p>
          <w:p w14:paraId="06FF15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3.服务成果知识产权归采购人所有，未经采购人允许，不得使用或以其它方式给任何第三方提供本项目的相关信息或数据或服务成果文件。</w:t>
            </w:r>
          </w:p>
          <w:p w14:paraId="4F831813">
            <w:pPr>
              <w:pStyle w:val="15"/>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4.采购人使用成交供应商提供的产品及服务时免受第三方提出的侵犯其专利权或其它知识产权的起诉。如果第三方提出侵权指控，成交供应商应承担由此而引起的一切法律责任和费用。</w:t>
            </w:r>
          </w:p>
        </w:tc>
      </w:tr>
    </w:tbl>
    <w:p w14:paraId="7591E94D">
      <w:pPr>
        <w:rPr>
          <w:rFonts w:hint="eastAsia" w:hAnsi="宋体" w:cs="宋体"/>
          <w:bCs/>
          <w:color w:val="auto"/>
          <w:sz w:val="24"/>
          <w:highlight w:val="none"/>
          <w:u w:val="single"/>
        </w:rPr>
      </w:pPr>
    </w:p>
    <w:p w14:paraId="721294E6">
      <w:pPr>
        <w:rPr>
          <w:rFonts w:hint="eastAsia" w:hAnsi="宋体" w:cs="宋体"/>
          <w:color w:val="auto"/>
          <w:sz w:val="32"/>
          <w:szCs w:val="32"/>
          <w:highlight w:val="none"/>
        </w:rPr>
      </w:pPr>
      <w:r>
        <w:rPr>
          <w:rFonts w:hint="eastAsia" w:hAnsi="宋体" w:cs="宋体"/>
          <w:color w:val="auto"/>
          <w:sz w:val="32"/>
          <w:szCs w:val="32"/>
          <w:highlight w:val="none"/>
        </w:rPr>
        <w:br w:type="page"/>
      </w:r>
    </w:p>
    <w:p w14:paraId="6A027D7B">
      <w:pPr>
        <w:pStyle w:val="9"/>
        <w:jc w:val="left"/>
        <w:rPr>
          <w:rFonts w:hAnsi="宋体" w:cs="宋体"/>
          <w:color w:val="auto"/>
          <w:sz w:val="32"/>
          <w:szCs w:val="32"/>
          <w:highlight w:val="none"/>
        </w:rPr>
      </w:pPr>
      <w:r>
        <w:rPr>
          <w:rFonts w:hint="eastAsia" w:hAnsi="宋体" w:cs="宋体"/>
          <w:color w:val="auto"/>
          <w:sz w:val="32"/>
          <w:szCs w:val="32"/>
          <w:highlight w:val="none"/>
        </w:rPr>
        <w:t>附：</w:t>
      </w:r>
    </w:p>
    <w:p w14:paraId="111F9CB6">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5E1F8B91">
      <w:pPr>
        <w:ind w:left="1871"/>
        <w:rPr>
          <w:rFonts w:ascii="宋体" w:hAnsi="宋体" w:cs="宋体"/>
          <w:color w:val="auto"/>
          <w:szCs w:val="21"/>
          <w:highlight w:val="none"/>
        </w:rPr>
      </w:pPr>
    </w:p>
    <w:tbl>
      <w:tblPr>
        <w:tblStyle w:val="10"/>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EBE0A4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12E71CE">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25CF1E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5412BC5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8BB23F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36A4969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7924643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023A50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869890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79107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7750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F7F5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FB78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FF993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60D1EB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C7CEFA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591F9E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F92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5FBD0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D28F4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606C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A8A01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0595CA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702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BA51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DCE4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1C0ADB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4EC6B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4C5878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24269A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9E1C0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5F22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9BC2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9A44B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20D37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D3191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21D21C">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C796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C573F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D9A4D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EB332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95B67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16FC8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21D2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C66A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CDE1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77D5D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35935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D3904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960489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1E8B30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2EE0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9A15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46B3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696A4E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6B0991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B8251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CF01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F627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65A9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3D79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43DF1A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6ECF0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D6463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5B443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E0BC9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A708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34A3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9C0CE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439FD0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32B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2C97F3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3C105A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828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D4BF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3541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0A236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9D23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86B49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17AC5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31AEF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5F1C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21A5A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52D24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8F57C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D6294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9A356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498E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598DF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79033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CC595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91557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AE03E9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F364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2497D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FC03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4AB094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C0F70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0C6E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55109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C0508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316D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6841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F2785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0AFD7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2C74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970E58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13EFC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6F0C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E14E9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677B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F62DD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B71B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9161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355359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45756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E1EF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CCE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A2C20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01DB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976D8A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33CA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235D2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1C31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2BCBF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A3F4C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4AFC3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5B247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647A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4D0A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B1318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AE24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62101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EA965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3F6573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113F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A2E6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1271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A5523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2F1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73AEB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0CB6C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44F02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FA5CA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0611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9E60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6A3A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A89B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5B6AF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E1AEC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0CE7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776A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CFA20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CA1E3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C4D1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46EAB8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6B160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C158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50FC6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490ED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072A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7C74D7">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2DEB79E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E436E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A96F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39FD4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14B32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468DDF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87E34F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F9885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C7962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9B1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D8AC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046AF6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7B6BF5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372B36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28A0B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42B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D659C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EB0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1B048F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309D5C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71B2BC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87A9A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7ADD21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170E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D686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CBFC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F508D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3F1EFF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6EF3C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33E6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184B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9005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6612E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11AA0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197AB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31F986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71531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89176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9525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7194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DBC3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2446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6F3570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F7C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DD30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3EB1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2932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CA39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D40D0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006343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514FBC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5D6C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A7A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8F4A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38A37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17A65C6">
      <w:pPr>
        <w:spacing w:line="360" w:lineRule="auto"/>
        <w:ind w:firstLine="525" w:firstLineChars="250"/>
        <w:rPr>
          <w:rFonts w:ascii="宋体" w:hAnsi="宋体" w:cs="宋体"/>
          <w:color w:val="auto"/>
          <w:szCs w:val="21"/>
          <w:highlight w:val="none"/>
        </w:rPr>
      </w:pPr>
    </w:p>
    <w:p w14:paraId="2A3572F4">
      <w:pPr>
        <w:spacing w:line="360" w:lineRule="auto"/>
        <w:ind w:firstLine="527" w:firstLineChars="250"/>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51FCE"/>
    <w:rsid w:val="0F551FCE"/>
    <w:rsid w:val="210A0BA8"/>
    <w:rsid w:val="2D6329A9"/>
    <w:rsid w:val="5A8500E0"/>
    <w:rsid w:val="7E790887"/>
    <w:rsid w:val="7F65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First Indent 2"/>
    <w:basedOn w:val="6"/>
    <w:next w:val="8"/>
    <w:qFormat/>
    <w:uiPriority w:val="99"/>
    <w:pPr>
      <w:ind w:firstLine="420" w:firstLineChars="200"/>
    </w:pPr>
    <w:rPr>
      <w:rFonts w:ascii="宋体" w:hAnsi="Courier New"/>
      <w:spacing w:val="-4"/>
      <w:sz w:val="18"/>
    </w:rPr>
  </w:style>
  <w:style w:type="paragraph" w:styleId="6">
    <w:name w:val="Body Text Indent"/>
    <w:basedOn w:val="1"/>
    <w:next w:val="7"/>
    <w:qFormat/>
    <w:uiPriority w:val="0"/>
    <w:pPr>
      <w:ind w:firstLine="830" w:firstLineChars="352"/>
    </w:pPr>
    <w:rPr>
      <w:rFonts w:ascii="仿宋_GB2312" w:eastAsia="仿宋_GB2312"/>
      <w:kern w:val="0"/>
      <w:sz w:val="32"/>
      <w:szCs w:val="20"/>
    </w:rPr>
  </w:style>
  <w:style w:type="paragraph" w:styleId="7">
    <w:name w:val="envelope return"/>
    <w:basedOn w:val="1"/>
    <w:qFormat/>
    <w:uiPriority w:val="0"/>
    <w:pPr>
      <w:snapToGrid w:val="0"/>
    </w:pPr>
    <w:rPr>
      <w:rFonts w:ascii="Arial" w:hAnsi="Arial"/>
    </w:rPr>
  </w:style>
  <w:style w:type="paragraph" w:styleId="8">
    <w:name w:val="Body Text First Indent"/>
    <w:basedOn w:val="4"/>
    <w:next w:val="1"/>
    <w:qFormat/>
    <w:uiPriority w:val="0"/>
    <w:pPr>
      <w:ind w:firstLine="420" w:firstLineChars="100"/>
    </w:pPr>
    <w:rPr>
      <w:rFonts w:ascii="Tahoma" w:hAnsi="Tahoma"/>
      <w:sz w:val="24"/>
    </w:rPr>
  </w:style>
  <w:style w:type="paragraph" w:styleId="9">
    <w:name w:val="Plain Text"/>
    <w:basedOn w:val="1"/>
    <w:next w:val="3"/>
    <w:qFormat/>
    <w:uiPriority w:val="0"/>
    <w:rPr>
      <w:rFonts w:ascii="宋体" w:hAnsi="Courier New"/>
      <w:kern w:val="0"/>
      <w:sz w:val="20"/>
      <w:szCs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字符"/>
    <w:basedOn w:val="12"/>
    <w:link w:val="2"/>
    <w:qFormat/>
    <w:uiPriority w:val="9"/>
    <w:rPr>
      <w:b/>
      <w:bCs/>
      <w:kern w:val="44"/>
      <w:sz w:val="44"/>
      <w:szCs w:val="44"/>
    </w:rPr>
  </w:style>
  <w:style w:type="paragraph" w:customStyle="1" w:styleId="1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 w:type="character" w:customStyle="1" w:styleId="16">
    <w:name w:val="font11"/>
    <w:basedOn w:val="12"/>
    <w:qFormat/>
    <w:uiPriority w:val="0"/>
    <w:rPr>
      <w:rFonts w:hint="default" w:ascii="Times New Roman" w:hAnsi="Times New Roman" w:cs="Times New Roman"/>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32511</Words>
  <Characters>34193</Characters>
  <Lines>0</Lines>
  <Paragraphs>0</Paragraphs>
  <TotalTime>0</TotalTime>
  <ScaleCrop>false</ScaleCrop>
  <LinksUpToDate>false</LinksUpToDate>
  <CharactersWithSpaces>34835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2025-10-21T07:43:00Z</dcterms:created>
  <dc:creator>/</dc:creator>
  <cp:lastModifiedBy>/</cp:lastModifiedBy>
  <dcterms:modified xsi:type="dcterms:W3CDTF">2025-10-21T09:29:31Z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A21DCF409AFD416097ACDC0CF4B6D5FA_11</vt:lpwstr>
  </property>
  <property fmtid="{D5CDD505-2E9C-101B-9397-08002B2CF9AE}" pid="4" name="KSOTemplateDocerSaveRecord">
    <vt:lpwstr>eyJoZGlkIjoiNDZhMDIyNmU4ZTg3YTRlNjI0YTAzNjQwYjBlMDVmMzkiLCJ1c2VySWQiOiIyOTc2OTEyMjcifQ==</vt:lpwstr>
  </property>
</Properties>
</file>