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6BDB0">
      <w:pPr>
        <w:spacing w:line="240" w:lineRule="auto"/>
        <w:jc w:val="center"/>
        <w:rPr>
          <w:rFonts w:hint="eastAsia"/>
          <w:b/>
          <w:bCs/>
          <w:color w:val="auto"/>
          <w:sz w:val="32"/>
          <w:szCs w:val="32"/>
          <w:highlight w:val="none"/>
        </w:rPr>
      </w:pPr>
      <w:r>
        <w:rPr>
          <w:rFonts w:hint="eastAsia"/>
          <w:b/>
          <w:bCs/>
          <w:color w:val="auto"/>
          <w:sz w:val="32"/>
          <w:szCs w:val="32"/>
          <w:highlight w:val="none"/>
        </w:rPr>
        <w:t>广西建设工程机电设备招标中心有限公司关于</w:t>
      </w:r>
      <w:r>
        <w:rPr>
          <w:rFonts w:hint="eastAsia"/>
          <w:b/>
          <w:bCs/>
          <w:color w:val="auto"/>
          <w:sz w:val="32"/>
          <w:szCs w:val="32"/>
          <w:highlight w:val="none"/>
          <w:lang w:eastAsia="zh-CN"/>
        </w:rPr>
        <w:t>公共交通工具安保服务</w:t>
      </w:r>
      <w:r>
        <w:rPr>
          <w:rFonts w:hint="eastAsia"/>
          <w:b/>
          <w:bCs/>
          <w:color w:val="auto"/>
          <w:sz w:val="32"/>
          <w:szCs w:val="32"/>
          <w:highlight w:val="none"/>
        </w:rPr>
        <w:t>的更正公告（</w:t>
      </w:r>
      <w:r>
        <w:rPr>
          <w:rFonts w:hint="eastAsia"/>
          <w:b/>
          <w:bCs/>
          <w:color w:val="auto"/>
          <w:sz w:val="32"/>
          <w:szCs w:val="32"/>
          <w:highlight w:val="none"/>
          <w:lang w:val="en-US" w:eastAsia="zh-CN"/>
        </w:rPr>
        <w:t>一</w:t>
      </w:r>
      <w:r>
        <w:rPr>
          <w:rFonts w:hint="eastAsia"/>
          <w:b/>
          <w:bCs/>
          <w:color w:val="auto"/>
          <w:sz w:val="32"/>
          <w:szCs w:val="32"/>
          <w:highlight w:val="none"/>
        </w:rPr>
        <w:t>）</w:t>
      </w:r>
    </w:p>
    <w:p w14:paraId="6B409A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 xml:space="preserve">一、项目基本情况 </w:t>
      </w:r>
    </w:p>
    <w:p w14:paraId="7906099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原公告的采购项目编号：</w:t>
      </w:r>
      <w:r>
        <w:rPr>
          <w:rFonts w:hint="eastAsia" w:ascii="宋体" w:hAnsi="宋体" w:cs="宋体"/>
          <w:color w:val="auto"/>
          <w:kern w:val="0"/>
          <w:sz w:val="24"/>
          <w:szCs w:val="24"/>
          <w:highlight w:val="none"/>
          <w:lang w:val="en-US" w:eastAsia="zh-CN"/>
        </w:rPr>
        <w:t>NNZC2025-C3-990902-JGJD</w:t>
      </w:r>
    </w:p>
    <w:p w14:paraId="57F009B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原公告的采购项目名称：</w:t>
      </w:r>
      <w:r>
        <w:rPr>
          <w:rFonts w:hint="eastAsia" w:ascii="宋体" w:hAnsi="宋体" w:cs="宋体"/>
          <w:color w:val="auto"/>
          <w:kern w:val="0"/>
          <w:sz w:val="24"/>
          <w:szCs w:val="24"/>
          <w:highlight w:val="none"/>
          <w:lang w:val="en-US" w:eastAsia="zh-CN"/>
        </w:rPr>
        <w:t>公共交通工具安保服务</w:t>
      </w:r>
      <w:r>
        <w:rPr>
          <w:rFonts w:hint="eastAsia" w:ascii="宋体" w:hAnsi="宋体" w:eastAsia="宋体" w:cs="宋体"/>
          <w:color w:val="auto"/>
          <w:kern w:val="0"/>
          <w:sz w:val="24"/>
          <w:szCs w:val="24"/>
          <w:highlight w:val="none"/>
          <w:lang w:val="en-US" w:eastAsia="zh-CN"/>
        </w:rPr>
        <w:t xml:space="preserve"> </w:t>
      </w:r>
    </w:p>
    <w:p w14:paraId="70CD708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首次公告日期：202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 xml:space="preserve"> 年</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lang w:val="en-US" w:eastAsia="zh-CN"/>
        </w:rPr>
        <w:t xml:space="preserve">日 </w:t>
      </w:r>
    </w:p>
    <w:p w14:paraId="6A8A53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 xml:space="preserve">二、更正信息 </w:t>
      </w:r>
    </w:p>
    <w:p w14:paraId="03C2B91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更正事项：</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val="en-US" w:eastAsia="zh-CN"/>
        </w:rPr>
        <w:t>文件</w:t>
      </w:r>
    </w:p>
    <w:p w14:paraId="7F6D49F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更正内容：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759"/>
        <w:gridCol w:w="3503"/>
        <w:gridCol w:w="3520"/>
      </w:tblGrid>
      <w:tr w14:paraId="7707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05" w:type="dxa"/>
            <w:vAlign w:val="center"/>
          </w:tcPr>
          <w:p w14:paraId="5114A360">
            <w:pPr>
              <w:spacing w:line="240" w:lineRule="auto"/>
              <w:jc w:val="center"/>
              <w:rPr>
                <w:rFonts w:hint="eastAsia" w:eastAsia="宋体"/>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序号</w:t>
            </w:r>
          </w:p>
        </w:tc>
        <w:tc>
          <w:tcPr>
            <w:tcW w:w="1759" w:type="dxa"/>
            <w:vAlign w:val="center"/>
          </w:tcPr>
          <w:p w14:paraId="19FFD76B">
            <w:pPr>
              <w:spacing w:line="240" w:lineRule="auto"/>
              <w:jc w:val="center"/>
              <w:rPr>
                <w:rFonts w:hint="default" w:eastAsia="宋体"/>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更正项</w:t>
            </w:r>
          </w:p>
        </w:tc>
        <w:tc>
          <w:tcPr>
            <w:tcW w:w="3503" w:type="dxa"/>
            <w:vAlign w:val="center"/>
          </w:tcPr>
          <w:p w14:paraId="62B5E906">
            <w:pPr>
              <w:spacing w:line="240" w:lineRule="auto"/>
              <w:jc w:val="center"/>
              <w:rPr>
                <w:rFonts w:hint="default" w:eastAsia="宋体"/>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更正前内容</w:t>
            </w:r>
          </w:p>
        </w:tc>
        <w:tc>
          <w:tcPr>
            <w:tcW w:w="3520" w:type="dxa"/>
            <w:vAlign w:val="center"/>
          </w:tcPr>
          <w:p w14:paraId="342A4DCB">
            <w:pPr>
              <w:spacing w:line="240" w:lineRule="auto"/>
              <w:jc w:val="center"/>
              <w:rPr>
                <w:rFonts w:hint="eastAsia"/>
                <w:b w:val="0"/>
                <w:bCs w:val="0"/>
                <w:color w:val="auto"/>
                <w:sz w:val="21"/>
                <w:szCs w:val="21"/>
                <w:highlight w:val="none"/>
                <w:vertAlign w:val="baseline"/>
              </w:rPr>
            </w:pPr>
            <w:r>
              <w:rPr>
                <w:rFonts w:hint="eastAsia"/>
                <w:b w:val="0"/>
                <w:bCs w:val="0"/>
                <w:color w:val="auto"/>
                <w:sz w:val="21"/>
                <w:szCs w:val="21"/>
                <w:highlight w:val="none"/>
                <w:vertAlign w:val="baseline"/>
                <w:lang w:val="en-US" w:eastAsia="zh-CN"/>
              </w:rPr>
              <w:t>更正后内容</w:t>
            </w:r>
          </w:p>
        </w:tc>
      </w:tr>
      <w:tr w14:paraId="04B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5" w:type="dxa"/>
            <w:vAlign w:val="center"/>
          </w:tcPr>
          <w:p w14:paraId="7588CF56">
            <w:pPr>
              <w:spacing w:line="240" w:lineRule="auto"/>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1759" w:type="dxa"/>
            <w:vAlign w:val="center"/>
          </w:tcPr>
          <w:p w14:paraId="475B87D7">
            <w:pPr>
              <w:spacing w:line="240" w:lineRule="auto"/>
              <w:jc w:val="center"/>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采购文件“第四章 评审程序、评审方法和成交标准”7.评审标准</w:t>
            </w:r>
          </w:p>
        </w:tc>
        <w:tc>
          <w:tcPr>
            <w:tcW w:w="3503" w:type="dxa"/>
          </w:tcPr>
          <w:p w14:paraId="703840D8">
            <w:pPr>
              <w:spacing w:line="240" w:lineRule="auto"/>
              <w:jc w:val="both"/>
              <w:rPr>
                <w:rFonts w:hint="eastAsia" w:ascii="宋体" w:hAnsi="宋体"/>
                <w:b/>
                <w:bCs w:val="0"/>
                <w:color w:val="auto"/>
                <w:szCs w:val="21"/>
                <w:highlight w:val="none"/>
                <w:lang w:eastAsia="zh-CN"/>
              </w:rPr>
            </w:pPr>
            <w:r>
              <w:rPr>
                <w:rFonts w:hint="eastAsia" w:cs="Times New Roman"/>
                <w:b w:val="0"/>
                <w:bCs w:val="0"/>
                <w:color w:val="auto"/>
                <w:sz w:val="21"/>
                <w:szCs w:val="21"/>
                <w:highlight w:val="none"/>
                <w:vertAlign w:val="baseline"/>
                <w:lang w:val="en-US" w:eastAsia="zh-CN"/>
              </w:rPr>
              <w:t xml:space="preserve"> </w:t>
            </w:r>
            <w:r>
              <w:rPr>
                <w:rFonts w:hint="eastAsia" w:ascii="宋体" w:hAnsi="宋体"/>
                <w:b/>
                <w:bCs w:val="0"/>
                <w:color w:val="auto"/>
                <w:szCs w:val="21"/>
                <w:highlight w:val="none"/>
              </w:rPr>
              <w:t>企业信誉及业绩</w:t>
            </w:r>
            <w:r>
              <w:rPr>
                <w:rFonts w:hint="eastAsia" w:ascii="宋体" w:hAnsi="宋体"/>
                <w:b/>
                <w:bCs w:val="0"/>
                <w:color w:val="auto"/>
                <w:szCs w:val="21"/>
                <w:highlight w:val="none"/>
                <w:lang w:eastAsia="zh-CN"/>
              </w:rPr>
              <w:t>：</w:t>
            </w:r>
          </w:p>
          <w:p w14:paraId="3071B96D">
            <w:pPr>
              <w:spacing w:line="240" w:lineRule="auto"/>
              <w:jc w:val="both"/>
              <w:rPr>
                <w:rFonts w:hint="eastAsia" w:eastAsia="宋体" w:cs="Times New Roman"/>
                <w:color w:val="auto"/>
                <w:highlight w:val="none"/>
              </w:rPr>
            </w:pPr>
            <w:r>
              <w:rPr>
                <w:rFonts w:hint="eastAsia" w:eastAsia="宋体" w:cs="Times New Roman"/>
                <w:color w:val="auto"/>
                <w:highlight w:val="none"/>
                <w:lang w:eastAsia="zh-CN"/>
              </w:rPr>
              <w:t>（</w:t>
            </w:r>
            <w:r>
              <w:rPr>
                <w:rFonts w:hint="eastAsia" w:eastAsia="宋体" w:cs="Times New Roman"/>
                <w:color w:val="auto"/>
                <w:highlight w:val="none"/>
                <w:lang w:val="en-US" w:eastAsia="zh-CN"/>
              </w:rPr>
              <w:t>1</w:t>
            </w:r>
            <w:r>
              <w:rPr>
                <w:rFonts w:hint="eastAsia" w:eastAsia="宋体" w:cs="Times New Roman"/>
                <w:color w:val="auto"/>
                <w:highlight w:val="none"/>
                <w:lang w:eastAsia="zh-CN"/>
              </w:rPr>
              <w:t>）</w:t>
            </w:r>
            <w:r>
              <w:rPr>
                <w:rFonts w:hint="eastAsia" w:eastAsia="宋体" w:cs="Times New Roman"/>
                <w:color w:val="auto"/>
                <w:highlight w:val="none"/>
              </w:rPr>
              <w:t>供应商具有“大型活动高级管理人员培训合格证”，每本证书得</w:t>
            </w:r>
            <w:r>
              <w:rPr>
                <w:rFonts w:hint="eastAsia" w:eastAsia="宋体" w:cs="Times New Roman"/>
                <w:color w:val="auto"/>
                <w:highlight w:val="none"/>
                <w:lang w:val="en-US" w:eastAsia="zh-CN"/>
              </w:rPr>
              <w:t>1</w:t>
            </w:r>
            <w:r>
              <w:rPr>
                <w:rFonts w:hint="eastAsia" w:eastAsia="宋体" w:cs="Times New Roman"/>
                <w:color w:val="auto"/>
                <w:highlight w:val="none"/>
              </w:rPr>
              <w:t>分，满分</w:t>
            </w:r>
            <w:r>
              <w:rPr>
                <w:rFonts w:hint="eastAsia" w:eastAsia="宋体" w:cs="Times New Roman"/>
                <w:color w:val="auto"/>
                <w:highlight w:val="none"/>
                <w:lang w:val="en-US" w:eastAsia="zh-CN"/>
              </w:rPr>
              <w:t>3</w:t>
            </w:r>
            <w:r>
              <w:rPr>
                <w:rFonts w:hint="eastAsia" w:eastAsia="宋体" w:cs="Times New Roman"/>
                <w:color w:val="auto"/>
                <w:highlight w:val="none"/>
              </w:rPr>
              <w:t>分，竞标时提供上述人员相关证书。</w:t>
            </w:r>
          </w:p>
          <w:p w14:paraId="3D935206">
            <w:pPr>
              <w:spacing w:line="240" w:lineRule="auto"/>
              <w:jc w:val="both"/>
              <w:rPr>
                <w:rFonts w:hint="eastAsia" w:eastAsia="宋体" w:cs="Times New Roman"/>
                <w:color w:val="auto"/>
                <w:highlight w:val="none"/>
                <w:lang w:eastAsia="zh-CN"/>
              </w:rPr>
            </w:pPr>
            <w:r>
              <w:rPr>
                <w:rFonts w:hint="eastAsia" w:eastAsia="宋体" w:cs="Times New Roman"/>
                <w:color w:val="auto"/>
                <w:highlight w:val="none"/>
                <w:lang w:val="en-US" w:eastAsia="zh-CN"/>
              </w:rPr>
              <w:t>（2）供应商</w:t>
            </w:r>
            <w:r>
              <w:rPr>
                <w:rFonts w:hint="eastAsia" w:eastAsia="宋体" w:cs="Times New Roman"/>
                <w:color w:val="auto"/>
                <w:highlight w:val="none"/>
                <w:lang w:eastAsia="zh-CN"/>
              </w:rPr>
              <w:t>具</w:t>
            </w:r>
            <w:r>
              <w:rPr>
                <w:rFonts w:hint="eastAsia" w:eastAsia="宋体" w:cs="Times New Roman"/>
                <w:color w:val="auto"/>
                <w:highlight w:val="none"/>
                <w:lang w:val="en-US" w:eastAsia="zh-CN"/>
              </w:rPr>
              <w:t>备有效期内的</w:t>
            </w:r>
            <w:r>
              <w:rPr>
                <w:rFonts w:hint="eastAsia" w:eastAsia="宋体" w:cs="Times New Roman"/>
                <w:color w:val="auto"/>
                <w:highlight w:val="none"/>
                <w:lang w:eastAsia="zh-CN"/>
              </w:rPr>
              <w:t>质量管理体系认证证书、保安服务认证证书（五星级）、反恐管理体系认证证书、</w:t>
            </w:r>
            <w:r>
              <w:rPr>
                <w:rFonts w:hint="eastAsia" w:eastAsia="宋体" w:cs="Times New Roman"/>
                <w:color w:val="auto"/>
                <w:highlight w:val="none"/>
                <w:lang w:val="en-US" w:eastAsia="zh-CN"/>
              </w:rPr>
              <w:t>防暴力管理体系认证证书、保安服务管理体系认证证书</w:t>
            </w:r>
            <w:r>
              <w:rPr>
                <w:rFonts w:hint="eastAsia" w:eastAsia="宋体" w:cs="Times New Roman"/>
                <w:color w:val="auto"/>
                <w:highlight w:val="none"/>
                <w:lang w:eastAsia="zh-CN"/>
              </w:rPr>
              <w:t>，每提供1项得</w:t>
            </w:r>
            <w:r>
              <w:rPr>
                <w:rFonts w:hint="eastAsia" w:eastAsia="宋体" w:cs="Times New Roman"/>
                <w:color w:val="auto"/>
                <w:highlight w:val="none"/>
                <w:lang w:val="en-US" w:eastAsia="zh-CN"/>
              </w:rPr>
              <w:t>1</w:t>
            </w:r>
            <w:r>
              <w:rPr>
                <w:rFonts w:hint="eastAsia" w:eastAsia="宋体" w:cs="Times New Roman"/>
                <w:color w:val="auto"/>
                <w:highlight w:val="none"/>
                <w:lang w:eastAsia="zh-CN"/>
              </w:rPr>
              <w:t>分，满分</w:t>
            </w:r>
            <w:r>
              <w:rPr>
                <w:rFonts w:hint="eastAsia" w:eastAsia="宋体" w:cs="Times New Roman"/>
                <w:color w:val="auto"/>
                <w:highlight w:val="none"/>
                <w:lang w:val="en-US" w:eastAsia="zh-CN"/>
              </w:rPr>
              <w:t>5</w:t>
            </w:r>
            <w:r>
              <w:rPr>
                <w:rFonts w:hint="eastAsia" w:eastAsia="宋体" w:cs="Times New Roman"/>
                <w:color w:val="auto"/>
                <w:highlight w:val="none"/>
                <w:lang w:eastAsia="zh-CN"/>
              </w:rPr>
              <w:t>分。(投标文件中提供有效的证书清晰扫描件及国家认证认可监督管理委员会</w:t>
            </w:r>
            <w:r>
              <w:rPr>
                <w:rFonts w:hint="eastAsia" w:eastAsia="宋体" w:cs="Times New Roman"/>
                <w:color w:val="auto"/>
                <w:highlight w:val="none"/>
                <w:lang w:val="en-US" w:eastAsia="zh-CN"/>
              </w:rPr>
              <w:t>备</w:t>
            </w:r>
            <w:r>
              <w:rPr>
                <w:rFonts w:hint="eastAsia" w:eastAsia="宋体" w:cs="Times New Roman"/>
                <w:color w:val="auto"/>
                <w:highlight w:val="none"/>
                <w:lang w:eastAsia="zh-CN"/>
              </w:rPr>
              <w:t>案的截图证明)。</w:t>
            </w:r>
          </w:p>
          <w:p w14:paraId="049F6E60">
            <w:pPr>
              <w:spacing w:line="240" w:lineRule="auto"/>
              <w:jc w:val="both"/>
              <w:rPr>
                <w:rFonts w:hint="eastAsia" w:eastAsia="宋体" w:cs="Times New Roman"/>
                <w:color w:val="auto"/>
                <w:highlight w:val="none"/>
                <w:lang w:eastAsia="zh-CN"/>
              </w:rPr>
            </w:pPr>
            <w:r>
              <w:rPr>
                <w:rFonts w:hint="eastAsia" w:eastAsia="宋体" w:cs="Times New Roman"/>
                <w:color w:val="auto"/>
                <w:highlight w:val="none"/>
                <w:lang w:eastAsia="zh-CN"/>
              </w:rPr>
              <w:t>（</w:t>
            </w:r>
            <w:r>
              <w:rPr>
                <w:rFonts w:hint="eastAsia" w:eastAsia="宋体" w:cs="Times New Roman"/>
                <w:color w:val="auto"/>
                <w:highlight w:val="none"/>
                <w:lang w:val="en-US" w:eastAsia="zh-CN"/>
              </w:rPr>
              <w:t>3</w:t>
            </w:r>
            <w:r>
              <w:rPr>
                <w:rFonts w:hint="eastAsia" w:eastAsia="宋体" w:cs="Times New Roman"/>
                <w:color w:val="auto"/>
                <w:highlight w:val="none"/>
                <w:lang w:eastAsia="zh-CN"/>
              </w:rPr>
              <w:t>）①自20</w:t>
            </w:r>
            <w:r>
              <w:rPr>
                <w:rFonts w:hint="eastAsia" w:eastAsia="宋体" w:cs="Times New Roman"/>
                <w:color w:val="auto"/>
                <w:highlight w:val="none"/>
                <w:lang w:val="en-US" w:eastAsia="zh-CN"/>
              </w:rPr>
              <w:t>22</w:t>
            </w:r>
            <w:r>
              <w:rPr>
                <w:rFonts w:hint="eastAsia" w:eastAsia="宋体" w:cs="Times New Roman"/>
                <w:color w:val="auto"/>
                <w:highlight w:val="none"/>
                <w:lang w:eastAsia="zh-CN"/>
              </w:rPr>
              <w:t>年以来，供应商</w:t>
            </w:r>
            <w:r>
              <w:rPr>
                <w:rFonts w:hint="eastAsia" w:eastAsia="宋体" w:cs="Times New Roman"/>
                <w:color w:val="auto"/>
                <w:highlight w:val="none"/>
                <w:lang w:val="en-US" w:eastAsia="zh-CN"/>
              </w:rPr>
              <w:t>承接</w:t>
            </w:r>
            <w:r>
              <w:rPr>
                <w:rFonts w:hint="eastAsia" w:eastAsia="宋体" w:cs="Times New Roman"/>
                <w:color w:val="auto"/>
                <w:highlight w:val="none"/>
                <w:lang w:eastAsia="zh-CN"/>
              </w:rPr>
              <w:t>单项</w:t>
            </w:r>
            <w:r>
              <w:rPr>
                <w:rFonts w:hint="eastAsia" w:eastAsia="宋体" w:cs="Times New Roman"/>
                <w:color w:val="auto"/>
                <w:highlight w:val="none"/>
                <w:lang w:val="en-US" w:eastAsia="zh-CN"/>
              </w:rPr>
              <w:t>大型活动现场</w:t>
            </w:r>
            <w:r>
              <w:rPr>
                <w:rFonts w:hint="eastAsia" w:eastAsia="宋体" w:cs="Times New Roman"/>
                <w:color w:val="auto"/>
                <w:highlight w:val="none"/>
                <w:lang w:eastAsia="zh-CN"/>
              </w:rPr>
              <w:t>保安服务</w:t>
            </w:r>
            <w:r>
              <w:rPr>
                <w:rFonts w:hint="eastAsia" w:eastAsia="宋体" w:cs="Times New Roman"/>
                <w:color w:val="auto"/>
                <w:highlight w:val="none"/>
                <w:lang w:val="en-US" w:eastAsia="zh-CN"/>
              </w:rPr>
              <w:t>项目</w:t>
            </w:r>
            <w:r>
              <w:rPr>
                <w:rFonts w:hint="eastAsia" w:eastAsia="宋体" w:cs="Times New Roman"/>
                <w:color w:val="auto"/>
                <w:highlight w:val="none"/>
                <w:lang w:eastAsia="zh-CN"/>
              </w:rPr>
              <w:t>保安员人数超过</w:t>
            </w:r>
            <w:r>
              <w:rPr>
                <w:rFonts w:hint="eastAsia" w:eastAsia="宋体" w:cs="Times New Roman"/>
                <w:color w:val="auto"/>
                <w:highlight w:val="none"/>
                <w:lang w:val="en-US" w:eastAsia="zh-CN"/>
              </w:rPr>
              <w:t>5</w:t>
            </w:r>
            <w:r>
              <w:rPr>
                <w:rFonts w:hint="eastAsia" w:eastAsia="宋体" w:cs="Times New Roman"/>
                <w:color w:val="auto"/>
                <w:highlight w:val="none"/>
                <w:lang w:eastAsia="zh-CN"/>
              </w:rPr>
              <w:t>00人的业绩，每个业绩得0.5分，满分</w:t>
            </w:r>
            <w:r>
              <w:rPr>
                <w:rFonts w:hint="eastAsia" w:eastAsia="宋体" w:cs="Times New Roman"/>
                <w:color w:val="auto"/>
                <w:highlight w:val="none"/>
                <w:lang w:val="en-US" w:eastAsia="zh-CN"/>
              </w:rPr>
              <w:t>8</w:t>
            </w:r>
            <w:r>
              <w:rPr>
                <w:rFonts w:hint="eastAsia" w:eastAsia="宋体" w:cs="Times New Roman"/>
                <w:color w:val="auto"/>
                <w:highlight w:val="none"/>
                <w:lang w:eastAsia="zh-CN"/>
              </w:rPr>
              <w:t>分；②自</w:t>
            </w:r>
            <w:r>
              <w:rPr>
                <w:rFonts w:hint="eastAsia" w:eastAsia="宋体" w:cs="Times New Roman"/>
                <w:color w:val="auto"/>
                <w:highlight w:val="none"/>
                <w:lang w:val="en-US" w:eastAsia="zh-CN"/>
              </w:rPr>
              <w:t>2022</w:t>
            </w:r>
            <w:r>
              <w:rPr>
                <w:rFonts w:hint="eastAsia" w:eastAsia="宋体" w:cs="Times New Roman"/>
                <w:color w:val="auto"/>
                <w:highlight w:val="none"/>
                <w:lang w:eastAsia="zh-CN"/>
              </w:rPr>
              <w:t>年以来，供应商有完成过交通工具安保服务同类项目的业绩，每个业绩得1分，满分</w:t>
            </w:r>
            <w:r>
              <w:rPr>
                <w:rFonts w:hint="eastAsia" w:eastAsia="宋体" w:cs="Times New Roman"/>
                <w:color w:val="auto"/>
                <w:highlight w:val="none"/>
                <w:lang w:val="en-US" w:eastAsia="zh-CN"/>
              </w:rPr>
              <w:t>4</w:t>
            </w:r>
            <w:r>
              <w:rPr>
                <w:rFonts w:hint="eastAsia" w:eastAsia="宋体" w:cs="Times New Roman"/>
                <w:color w:val="auto"/>
                <w:highlight w:val="none"/>
                <w:lang w:eastAsia="zh-CN"/>
              </w:rPr>
              <w:t>分。</w:t>
            </w:r>
          </w:p>
          <w:p w14:paraId="74F087F8">
            <w:pPr>
              <w:spacing w:line="240" w:lineRule="auto"/>
              <w:jc w:val="both"/>
              <w:rPr>
                <w:rFonts w:hint="default"/>
                <w:color w:val="auto"/>
                <w:highlight w:val="none"/>
                <w:lang w:val="en-US" w:eastAsia="zh-CN"/>
              </w:rPr>
            </w:pPr>
            <w:r>
              <w:rPr>
                <w:rFonts w:hint="eastAsia" w:eastAsia="宋体" w:cs="Times New Roman"/>
                <w:b/>
                <w:bCs/>
                <w:color w:val="auto"/>
                <w:highlight w:val="none"/>
                <w:lang w:eastAsia="zh-CN"/>
              </w:rPr>
              <w:t>注：竞标时提供中标/成交通知书或项目合同复印件，否则不计分。</w:t>
            </w:r>
          </w:p>
        </w:tc>
        <w:tc>
          <w:tcPr>
            <w:tcW w:w="3520" w:type="dxa"/>
          </w:tcPr>
          <w:p w14:paraId="27D27E08">
            <w:pPr>
              <w:spacing w:line="240" w:lineRule="auto"/>
              <w:jc w:val="both"/>
              <w:rPr>
                <w:rFonts w:hint="eastAsia" w:ascii="宋体" w:hAnsi="宋体"/>
                <w:b/>
                <w:bCs w:val="0"/>
                <w:color w:val="auto"/>
                <w:szCs w:val="21"/>
                <w:highlight w:val="none"/>
                <w:lang w:eastAsia="zh-CN"/>
              </w:rPr>
            </w:pPr>
            <w:r>
              <w:rPr>
                <w:rFonts w:hint="eastAsia" w:cs="Times New Roman"/>
                <w:b w:val="0"/>
                <w:bCs w:val="0"/>
                <w:color w:val="auto"/>
                <w:sz w:val="21"/>
                <w:szCs w:val="21"/>
                <w:highlight w:val="none"/>
                <w:vertAlign w:val="baseline"/>
                <w:lang w:val="en-US" w:eastAsia="zh-CN"/>
              </w:rPr>
              <w:t xml:space="preserve"> </w:t>
            </w:r>
            <w:r>
              <w:rPr>
                <w:rFonts w:hint="eastAsia" w:ascii="宋体" w:hAnsi="宋体"/>
                <w:b/>
                <w:bCs w:val="0"/>
                <w:color w:val="auto"/>
                <w:szCs w:val="21"/>
                <w:highlight w:val="none"/>
              </w:rPr>
              <w:t>企业信誉及业绩</w:t>
            </w:r>
            <w:r>
              <w:rPr>
                <w:rFonts w:hint="eastAsia" w:ascii="宋体" w:hAnsi="宋体"/>
                <w:b/>
                <w:bCs w:val="0"/>
                <w:color w:val="auto"/>
                <w:szCs w:val="21"/>
                <w:highlight w:val="none"/>
                <w:lang w:eastAsia="zh-CN"/>
              </w:rPr>
              <w:t>：</w:t>
            </w:r>
          </w:p>
          <w:p w14:paraId="665A85E4">
            <w:pPr>
              <w:numPr>
                <w:ilvl w:val="0"/>
                <w:numId w:val="0"/>
              </w:numPr>
              <w:spacing w:line="240" w:lineRule="auto"/>
              <w:jc w:val="both"/>
              <w:rPr>
                <w:rFonts w:hint="eastAsia" w:eastAsia="宋体" w:cs="Times New Roman"/>
                <w:color w:val="auto"/>
                <w:highlight w:val="none"/>
                <w:lang w:eastAsia="zh-CN"/>
              </w:rPr>
            </w:pPr>
            <w:r>
              <w:rPr>
                <w:rFonts w:hint="eastAsia" w:ascii="Calibri" w:hAnsi="Calibri" w:eastAsia="宋体" w:cs="Times New Roman"/>
                <w:color w:val="auto"/>
                <w:kern w:val="2"/>
                <w:sz w:val="21"/>
                <w:szCs w:val="24"/>
                <w:highlight w:val="none"/>
                <w:lang w:val="en-US" w:eastAsia="zh-CN" w:bidi="ar-SA"/>
              </w:rPr>
              <w:t>（1）</w:t>
            </w:r>
            <w:r>
              <w:rPr>
                <w:rFonts w:hint="eastAsia" w:eastAsia="宋体" w:cs="Times New Roman"/>
                <w:color w:val="auto"/>
                <w:highlight w:val="none"/>
                <w:lang w:val="en-US" w:eastAsia="zh-CN"/>
              </w:rPr>
              <w:t>供应商</w:t>
            </w:r>
            <w:r>
              <w:rPr>
                <w:rFonts w:hint="eastAsia" w:eastAsia="宋体" w:cs="Times New Roman"/>
                <w:color w:val="auto"/>
                <w:highlight w:val="none"/>
                <w:lang w:eastAsia="zh-CN"/>
              </w:rPr>
              <w:t>具</w:t>
            </w:r>
            <w:r>
              <w:rPr>
                <w:rFonts w:hint="eastAsia" w:eastAsia="宋体" w:cs="Times New Roman"/>
                <w:color w:val="auto"/>
                <w:highlight w:val="none"/>
                <w:lang w:val="en-US" w:eastAsia="zh-CN"/>
              </w:rPr>
              <w:t>备有效期内的</w:t>
            </w:r>
            <w:r>
              <w:rPr>
                <w:rFonts w:hint="eastAsia" w:eastAsia="宋体" w:cs="Times New Roman"/>
                <w:color w:val="auto"/>
                <w:highlight w:val="none"/>
                <w:lang w:eastAsia="zh-CN"/>
              </w:rPr>
              <w:t>质量管理体系认证证书、</w:t>
            </w:r>
            <w:r>
              <w:rPr>
                <w:rFonts w:hint="eastAsia" w:eastAsia="宋体" w:cs="Times New Roman"/>
                <w:color w:val="auto"/>
                <w:highlight w:val="none"/>
                <w:lang w:val="en-US" w:eastAsia="zh-CN"/>
              </w:rPr>
              <w:t>保安服务管理体系认证证书</w:t>
            </w:r>
            <w:r>
              <w:rPr>
                <w:rFonts w:hint="eastAsia" w:eastAsia="宋体" w:cs="Times New Roman"/>
                <w:color w:val="auto"/>
                <w:highlight w:val="none"/>
                <w:lang w:eastAsia="zh-CN"/>
              </w:rPr>
              <w:t>，每提供1项得</w:t>
            </w:r>
            <w:r>
              <w:rPr>
                <w:rFonts w:hint="eastAsia" w:eastAsia="宋体" w:cs="Times New Roman"/>
                <w:color w:val="auto"/>
                <w:highlight w:val="none"/>
                <w:lang w:val="en-US" w:eastAsia="zh-CN"/>
              </w:rPr>
              <w:t>1</w:t>
            </w:r>
            <w:r>
              <w:rPr>
                <w:rFonts w:hint="eastAsia" w:eastAsia="宋体" w:cs="Times New Roman"/>
                <w:color w:val="auto"/>
                <w:highlight w:val="none"/>
                <w:lang w:eastAsia="zh-CN"/>
              </w:rPr>
              <w:t>分；保安服务认证证书（五星级）、反恐管理体系认证证书、</w:t>
            </w:r>
            <w:r>
              <w:rPr>
                <w:rFonts w:hint="eastAsia" w:eastAsia="宋体" w:cs="Times New Roman"/>
                <w:color w:val="auto"/>
                <w:highlight w:val="none"/>
                <w:lang w:val="en-US" w:eastAsia="zh-CN"/>
              </w:rPr>
              <w:t>防暴力管理体系认证证书，每提供1项得2分，</w:t>
            </w:r>
            <w:r>
              <w:rPr>
                <w:rFonts w:hint="eastAsia" w:eastAsia="宋体" w:cs="Times New Roman"/>
                <w:color w:val="auto"/>
                <w:highlight w:val="none"/>
                <w:lang w:eastAsia="zh-CN"/>
              </w:rPr>
              <w:t>满分</w:t>
            </w:r>
            <w:r>
              <w:rPr>
                <w:rFonts w:hint="eastAsia" w:eastAsia="宋体" w:cs="Times New Roman"/>
                <w:color w:val="auto"/>
                <w:highlight w:val="none"/>
                <w:lang w:val="en-US" w:eastAsia="zh-CN"/>
              </w:rPr>
              <w:t>8</w:t>
            </w:r>
            <w:r>
              <w:rPr>
                <w:rFonts w:hint="eastAsia" w:eastAsia="宋体" w:cs="Times New Roman"/>
                <w:color w:val="auto"/>
                <w:highlight w:val="none"/>
                <w:lang w:eastAsia="zh-CN"/>
              </w:rPr>
              <w:t>分。(投标文件中提供有效的证书清晰扫描件及国家认证认可监督管理委员会</w:t>
            </w:r>
            <w:r>
              <w:rPr>
                <w:rFonts w:hint="eastAsia" w:eastAsia="宋体" w:cs="Times New Roman"/>
                <w:color w:val="auto"/>
                <w:highlight w:val="none"/>
                <w:lang w:val="en-US" w:eastAsia="zh-CN"/>
              </w:rPr>
              <w:t>备</w:t>
            </w:r>
            <w:r>
              <w:rPr>
                <w:rFonts w:hint="eastAsia" w:eastAsia="宋体" w:cs="Times New Roman"/>
                <w:color w:val="auto"/>
                <w:highlight w:val="none"/>
                <w:lang w:eastAsia="zh-CN"/>
              </w:rPr>
              <w:t>案的截图证明)。</w:t>
            </w:r>
          </w:p>
          <w:p w14:paraId="1B49824A">
            <w:pPr>
              <w:numPr>
                <w:ilvl w:val="0"/>
                <w:numId w:val="0"/>
              </w:numPr>
              <w:spacing w:line="240" w:lineRule="auto"/>
              <w:jc w:val="both"/>
              <w:rPr>
                <w:rFonts w:hint="eastAsia" w:eastAsia="宋体" w:cs="Times New Roman"/>
                <w:color w:val="auto"/>
                <w:highlight w:val="none"/>
                <w:lang w:val="en-US" w:eastAsia="zh-CN"/>
              </w:rPr>
            </w:pPr>
            <w:r>
              <w:rPr>
                <w:rFonts w:hint="eastAsia" w:ascii="Calibri" w:hAnsi="Calibri" w:eastAsia="宋体" w:cs="Times New Roman"/>
                <w:color w:val="auto"/>
                <w:kern w:val="2"/>
                <w:sz w:val="21"/>
                <w:szCs w:val="24"/>
                <w:highlight w:val="none"/>
                <w:lang w:val="en-US" w:eastAsia="zh-CN" w:bidi="ar-SA"/>
              </w:rPr>
              <w:t>（2）</w:t>
            </w:r>
            <w:r>
              <w:rPr>
                <w:rFonts w:hint="eastAsia" w:eastAsia="宋体" w:cs="Times New Roman"/>
                <w:color w:val="auto"/>
                <w:highlight w:val="none"/>
                <w:lang w:val="en-US" w:eastAsia="zh-CN"/>
              </w:rPr>
              <w:t>①自2022年以来，供应商承接单项大型活动现场保安服务项目保安员人数超过500人的业绩，每个业绩得</w:t>
            </w:r>
            <w:r>
              <w:rPr>
                <w:rFonts w:hint="eastAsia" w:cs="Times New Roman"/>
                <w:color w:val="auto"/>
                <w:highlight w:val="none"/>
                <w:lang w:val="en-US" w:eastAsia="zh-CN"/>
              </w:rPr>
              <w:t>0.5</w:t>
            </w:r>
            <w:r>
              <w:rPr>
                <w:rFonts w:hint="eastAsia" w:eastAsia="宋体" w:cs="Times New Roman"/>
                <w:color w:val="auto"/>
                <w:highlight w:val="none"/>
                <w:lang w:val="en-US" w:eastAsia="zh-CN"/>
              </w:rPr>
              <w:t>分，满分</w:t>
            </w:r>
            <w:r>
              <w:rPr>
                <w:rFonts w:hint="default" w:eastAsia="宋体" w:cs="Times New Roman"/>
                <w:color w:val="auto"/>
                <w:highlight w:val="none"/>
                <w:lang w:val="en-US" w:eastAsia="zh-CN"/>
              </w:rPr>
              <w:t>7</w:t>
            </w:r>
            <w:r>
              <w:rPr>
                <w:rFonts w:hint="eastAsia" w:eastAsia="宋体" w:cs="Times New Roman"/>
                <w:color w:val="auto"/>
                <w:highlight w:val="none"/>
                <w:lang w:val="en-US" w:eastAsia="zh-CN"/>
              </w:rPr>
              <w:t>分</w:t>
            </w:r>
            <w:r>
              <w:rPr>
                <w:rFonts w:hint="eastAsia" w:eastAsia="宋体" w:cs="Times New Roman"/>
                <w:color w:val="auto"/>
                <w:highlight w:val="none"/>
                <w:lang w:val="en-US" w:eastAsia="zh-CN"/>
              </w:rPr>
              <w:t>；②自2022年以来，供应商有完成过交通工具安保服务同类项目的业绩，每个业绩得</w:t>
            </w:r>
            <w:r>
              <w:rPr>
                <w:rFonts w:hint="default" w:eastAsia="宋体" w:cs="Times New Roman"/>
                <w:color w:val="auto"/>
                <w:highlight w:val="none"/>
                <w:lang w:val="en-US" w:eastAsia="zh-CN"/>
              </w:rPr>
              <w:t>0.5</w:t>
            </w:r>
            <w:r>
              <w:rPr>
                <w:rFonts w:hint="eastAsia" w:eastAsia="宋体" w:cs="Times New Roman"/>
                <w:color w:val="auto"/>
                <w:highlight w:val="none"/>
                <w:lang w:val="en-US" w:eastAsia="zh-CN"/>
              </w:rPr>
              <w:t>分，满分</w:t>
            </w:r>
            <w:r>
              <w:rPr>
                <w:rFonts w:hint="default" w:eastAsia="宋体" w:cs="Times New Roman"/>
                <w:color w:val="auto"/>
                <w:highlight w:val="none"/>
                <w:lang w:val="en-US" w:eastAsia="zh-CN"/>
              </w:rPr>
              <w:t>2</w:t>
            </w:r>
            <w:r>
              <w:rPr>
                <w:rFonts w:hint="eastAsia" w:eastAsia="宋体" w:cs="Times New Roman"/>
                <w:color w:val="auto"/>
                <w:highlight w:val="none"/>
                <w:lang w:val="en-US" w:eastAsia="zh-CN"/>
              </w:rPr>
              <w:t>分。</w:t>
            </w:r>
          </w:p>
          <w:p w14:paraId="12AB7308">
            <w:pPr>
              <w:numPr>
                <w:ilvl w:val="0"/>
                <w:numId w:val="0"/>
              </w:numPr>
              <w:spacing w:line="240" w:lineRule="auto"/>
              <w:jc w:val="both"/>
              <w:rPr>
                <w:rFonts w:hint="eastAsia"/>
                <w:color w:val="auto"/>
                <w:highlight w:val="none"/>
                <w:lang w:val="en-US" w:eastAsia="zh-CN"/>
              </w:rPr>
            </w:pPr>
            <w:r>
              <w:rPr>
                <w:rFonts w:hint="eastAsia" w:eastAsia="宋体" w:cs="Times New Roman"/>
                <w:b/>
                <w:bCs/>
                <w:color w:val="auto"/>
                <w:highlight w:val="none"/>
                <w:lang w:val="en-US" w:eastAsia="zh-CN"/>
              </w:rPr>
              <w:t>注：竞标时提</w:t>
            </w:r>
            <w:r>
              <w:rPr>
                <w:rFonts w:hint="eastAsia" w:eastAsia="宋体" w:cs="Times New Roman"/>
                <w:b/>
                <w:bCs/>
                <w:color w:val="auto"/>
                <w:highlight w:val="none"/>
                <w:lang w:eastAsia="zh-CN"/>
              </w:rPr>
              <w:t>供中标/成交通知书或项目合同复印件，否则不计分。</w:t>
            </w:r>
          </w:p>
        </w:tc>
      </w:tr>
      <w:tr w14:paraId="68D8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5" w:type="dxa"/>
            <w:vAlign w:val="center"/>
          </w:tcPr>
          <w:p w14:paraId="4E808BAC">
            <w:pPr>
              <w:spacing w:line="240" w:lineRule="auto"/>
              <w:jc w:val="center"/>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1759" w:type="dxa"/>
            <w:vAlign w:val="center"/>
          </w:tcPr>
          <w:p w14:paraId="040671AD">
            <w:pPr>
              <w:spacing w:line="240" w:lineRule="auto"/>
              <w:jc w:val="center"/>
              <w:rPr>
                <w:rFonts w:hint="eastAsia"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采购文件“第四章 评审程序、评审方法和成交标准”7.评审标准</w:t>
            </w:r>
          </w:p>
        </w:tc>
        <w:tc>
          <w:tcPr>
            <w:tcW w:w="3503" w:type="dxa"/>
          </w:tcPr>
          <w:p w14:paraId="347E8001">
            <w:pPr>
              <w:autoSpaceDE w:val="0"/>
              <w:autoSpaceDN w:val="0"/>
              <w:adjustRightInd w:val="0"/>
              <w:spacing w:line="360" w:lineRule="auto"/>
              <w:jc w:val="left"/>
              <w:rPr>
                <w:rFonts w:hint="eastAsia" w:ascii="宋体" w:hAnsi="宋体" w:eastAsia="宋体" w:cs="宋体"/>
                <w:b/>
                <w:bCs/>
                <w:color w:val="auto"/>
                <w:highlight w:val="none"/>
                <w:lang w:eastAsia="zh-CN"/>
              </w:rPr>
            </w:pPr>
            <w:r>
              <w:rPr>
                <w:rFonts w:hint="eastAsia" w:ascii="宋体" w:hAnsi="宋体" w:cs="宋体"/>
                <w:b/>
                <w:bCs/>
                <w:color w:val="auto"/>
                <w:highlight w:val="none"/>
              </w:rPr>
              <w:t>综合实力情况</w:t>
            </w:r>
            <w:r>
              <w:rPr>
                <w:rFonts w:hint="eastAsia" w:ascii="宋体" w:hAnsi="宋体" w:cs="宋体"/>
                <w:b/>
                <w:bCs/>
                <w:color w:val="auto"/>
                <w:highlight w:val="none"/>
                <w:lang w:eastAsia="zh-CN"/>
              </w:rPr>
              <w:t>：</w:t>
            </w:r>
          </w:p>
          <w:p w14:paraId="4927BF00">
            <w:pPr>
              <w:spacing w:line="240" w:lineRule="auto"/>
              <w:rPr>
                <w:rFonts w:hint="eastAsia" w:ascii="宋体" w:hAnsi="宋体" w:cs="宋体"/>
                <w:color w:val="auto"/>
                <w:highlight w:val="none"/>
              </w:rPr>
            </w:pPr>
            <w:r>
              <w:rPr>
                <w:rFonts w:hint="eastAsia" w:ascii="宋体" w:hAnsi="宋体" w:cs="宋体"/>
                <w:color w:val="auto"/>
                <w:highlight w:val="none"/>
              </w:rPr>
              <w:t>包括：管理人员具有保安管理经验，拟派保安具相关经验及资格证书，承诺所有人员无犯罪记录，承诺合同期内不无故更换，提供管理人员社保、相关证书及其所服务项目年限的说明材料。总负责人具有政府物业或公共场所或公交或地铁或枢纽保安管理经验，承诺合同期内不无故更换。建立保安评定制度，反恐防范工作制度、公共安全管理工作制度、联勤联动协作应急处置制度、内部管理制度、保安人员培训制</w:t>
            </w:r>
            <w:r>
              <w:rPr>
                <w:rFonts w:hint="eastAsia" w:ascii="宋体" w:hAnsi="宋体" w:cs="宋体"/>
                <w:color w:val="auto"/>
                <w:highlight w:val="none"/>
                <w:lang w:eastAsia="zh-CN"/>
              </w:rPr>
              <w:t>度等</w:t>
            </w:r>
            <w:r>
              <w:rPr>
                <w:rFonts w:hint="eastAsia" w:ascii="宋体" w:hAnsi="宋体" w:cs="宋体"/>
                <w:color w:val="auto"/>
                <w:highlight w:val="none"/>
              </w:rPr>
              <w:t>团队建设管理方案，设定项目管理体系及分工，并明确管理团队工作职责为应对突发事件和大客流情形，重点路段车次保安人员的工作实施方案、处置流程。</w:t>
            </w:r>
          </w:p>
          <w:p w14:paraId="722AB2AD">
            <w:pPr>
              <w:spacing w:after="120" w:line="240" w:lineRule="auto"/>
              <w:ind w:firstLine="420" w:firstLineChars="200"/>
              <w:rPr>
                <w:rFonts w:hint="eastAsia"/>
                <w:color w:val="auto"/>
                <w:szCs w:val="21"/>
                <w:highlight w:val="none"/>
              </w:rPr>
            </w:pPr>
            <w:r>
              <w:rPr>
                <w:rFonts w:hint="eastAsia"/>
                <w:color w:val="auto"/>
                <w:szCs w:val="21"/>
                <w:highlight w:val="none"/>
              </w:rPr>
              <w:t>一档（</w:t>
            </w:r>
            <w:r>
              <w:rPr>
                <w:rFonts w:hint="eastAsia"/>
                <w:color w:val="auto"/>
                <w:szCs w:val="21"/>
                <w:highlight w:val="none"/>
                <w:lang w:val="en-US" w:eastAsia="zh-CN"/>
              </w:rPr>
              <w:t>3</w:t>
            </w:r>
            <w:r>
              <w:rPr>
                <w:rFonts w:hint="eastAsia"/>
                <w:color w:val="auto"/>
                <w:szCs w:val="21"/>
                <w:highlight w:val="none"/>
              </w:rPr>
              <w:t>分）：供应商提供了保安评定制度、反恐防范工作制度、公共安全管理工作制度、联勤联动协作应急处置制度、内部管理制度、保安人员培训制</w:t>
            </w:r>
            <w:r>
              <w:rPr>
                <w:rFonts w:hint="eastAsia"/>
                <w:color w:val="auto"/>
                <w:szCs w:val="21"/>
                <w:highlight w:val="none"/>
                <w:lang w:eastAsia="zh-CN"/>
              </w:rPr>
              <w:t>度和</w:t>
            </w:r>
            <w:r>
              <w:rPr>
                <w:rFonts w:hint="eastAsia"/>
                <w:color w:val="auto"/>
                <w:szCs w:val="21"/>
                <w:highlight w:val="none"/>
              </w:rPr>
              <w:t>团队建设管理方案，但内容简单，管理人员无保安管理经验，总负责人无政府物业或公共场所或公交或地铁或枢纽保安管理经验，管理团队工作职责不明确，无法应对突发事件和大客流情形，重点路段车次保安人员的工作实施方案、处置流程不具体；</w:t>
            </w:r>
          </w:p>
          <w:p w14:paraId="3718BF50">
            <w:pPr>
              <w:spacing w:after="120" w:line="240" w:lineRule="auto"/>
              <w:ind w:firstLine="420" w:firstLineChars="200"/>
              <w:rPr>
                <w:rFonts w:hint="eastAsia"/>
                <w:color w:val="auto"/>
                <w:szCs w:val="21"/>
                <w:highlight w:val="none"/>
              </w:rPr>
            </w:pPr>
            <w:r>
              <w:rPr>
                <w:rFonts w:hint="eastAsia"/>
                <w:color w:val="auto"/>
                <w:szCs w:val="21"/>
                <w:highlight w:val="none"/>
              </w:rPr>
              <w:t>二档（9分）：供应商提供了详细可行的保安评定制度、反恐防范工作制度、公共安全管理工作制度、联勤联动协作应急处置制度、内部管理制度、保安人员培训制</w:t>
            </w:r>
            <w:r>
              <w:rPr>
                <w:rFonts w:hint="eastAsia"/>
                <w:color w:val="auto"/>
                <w:szCs w:val="21"/>
                <w:highlight w:val="none"/>
                <w:lang w:eastAsia="zh-CN"/>
              </w:rPr>
              <w:t>度和</w:t>
            </w:r>
            <w:r>
              <w:rPr>
                <w:rFonts w:hint="eastAsia"/>
                <w:color w:val="auto"/>
                <w:szCs w:val="21"/>
                <w:highlight w:val="none"/>
              </w:rPr>
              <w:t>团队建设管理方案，管理人员有保安管理经验，总负责人有政府物业或公共场所或公交或地铁或枢纽保安管理经验，管理团队工作职责明确，相关制度可以应对突发事件和大客流情形，重点路段车次保安人员的工作实施方案、处置流程具体，符合项目需求；</w:t>
            </w:r>
          </w:p>
          <w:p w14:paraId="355442E7">
            <w:pPr>
              <w:spacing w:after="120" w:line="240" w:lineRule="auto"/>
              <w:ind w:firstLine="420" w:firstLineChars="200"/>
              <w:rPr>
                <w:rFonts w:hint="eastAsia"/>
                <w:b/>
                <w:bCs/>
                <w:color w:val="auto"/>
                <w:szCs w:val="21"/>
                <w:highlight w:val="none"/>
              </w:rPr>
            </w:pPr>
            <w:r>
              <w:rPr>
                <w:rFonts w:hint="eastAsia"/>
                <w:color w:val="auto"/>
                <w:szCs w:val="21"/>
                <w:highlight w:val="none"/>
              </w:rPr>
              <w:t>三档（1</w:t>
            </w:r>
            <w:r>
              <w:rPr>
                <w:rFonts w:hint="eastAsia"/>
                <w:color w:val="auto"/>
                <w:szCs w:val="21"/>
                <w:highlight w:val="none"/>
                <w:lang w:val="en-US" w:eastAsia="zh-CN"/>
              </w:rPr>
              <w:t>6</w:t>
            </w:r>
            <w:r>
              <w:rPr>
                <w:rFonts w:hint="eastAsia"/>
                <w:color w:val="auto"/>
                <w:szCs w:val="21"/>
                <w:highlight w:val="none"/>
              </w:rPr>
              <w:t>分）：供应商提供了详细健全的保安评定制度、反恐防范工作制度、公共安全管理工作制度、联勤联动协作应急处置制度、内部管理制度、保安人员培训制</w:t>
            </w:r>
            <w:r>
              <w:rPr>
                <w:rFonts w:hint="eastAsia"/>
                <w:color w:val="auto"/>
                <w:szCs w:val="21"/>
                <w:highlight w:val="none"/>
                <w:lang w:eastAsia="zh-CN"/>
              </w:rPr>
              <w:t>度和</w:t>
            </w:r>
            <w:r>
              <w:rPr>
                <w:rFonts w:hint="eastAsia"/>
                <w:color w:val="auto"/>
                <w:szCs w:val="21"/>
                <w:highlight w:val="none"/>
              </w:rPr>
              <w:t>团队建设管理方案，管理人员有保安管理经验，总负责人有政府物业或公共场所或公交或地铁或枢纽保安管理经验，管理人员及总负责人参加过“大型活动安保服务高级管理人员培训班”，管理团队工作职责明确，相关制度可以应对突发事件和大客流情形，重点路段车次保安人员的工作实施方案、处置流程具体且可行性强。</w:t>
            </w:r>
            <w:r>
              <w:rPr>
                <w:rFonts w:hint="eastAsia"/>
                <w:b/>
                <w:bCs/>
                <w:color w:val="auto"/>
                <w:szCs w:val="21"/>
                <w:highlight w:val="none"/>
              </w:rPr>
              <w:t>（竞标时需提供有效的培训证书复印件为准）</w:t>
            </w:r>
          </w:p>
          <w:p w14:paraId="6FFD86AE">
            <w:pPr>
              <w:spacing w:line="240" w:lineRule="auto"/>
              <w:jc w:val="both"/>
              <w:rPr>
                <w:rFonts w:hint="eastAsia" w:eastAsia="宋体" w:cs="Times New Roman"/>
                <w:b/>
                <w:bCs/>
                <w:color w:val="auto"/>
                <w:highlight w:val="none"/>
                <w:lang w:eastAsia="zh-CN"/>
              </w:rPr>
            </w:pPr>
            <w:r>
              <w:rPr>
                <w:rFonts w:hint="eastAsia"/>
                <w:b/>
                <w:bCs/>
                <w:color w:val="auto"/>
                <w:szCs w:val="21"/>
                <w:highlight w:val="none"/>
              </w:rPr>
              <w:t>注：由评委根据供应商的响应文件内容独立定档打分。</w:t>
            </w:r>
            <w:r>
              <w:rPr>
                <w:rFonts w:hint="eastAsia" w:ascii="宋体" w:hAnsi="宋体"/>
                <w:b/>
                <w:color w:val="auto"/>
                <w:szCs w:val="21"/>
                <w:highlight w:val="none"/>
              </w:rPr>
              <w:t>未进档或未提供或有明显缺陷、错漏的不得分</w:t>
            </w:r>
            <w:r>
              <w:rPr>
                <w:rFonts w:hint="eastAsia"/>
                <w:b/>
                <w:bCs/>
                <w:color w:val="auto"/>
                <w:szCs w:val="21"/>
                <w:highlight w:val="none"/>
              </w:rPr>
              <w:t>。</w:t>
            </w:r>
          </w:p>
        </w:tc>
        <w:tc>
          <w:tcPr>
            <w:tcW w:w="3520" w:type="dxa"/>
          </w:tcPr>
          <w:p w14:paraId="0FD62878">
            <w:pPr>
              <w:autoSpaceDE w:val="0"/>
              <w:autoSpaceDN w:val="0"/>
              <w:adjustRightInd w:val="0"/>
              <w:spacing w:line="360" w:lineRule="auto"/>
              <w:jc w:val="left"/>
              <w:rPr>
                <w:rFonts w:hint="eastAsia" w:ascii="宋体" w:hAnsi="宋体" w:eastAsia="宋体" w:cs="宋体"/>
                <w:b/>
                <w:bCs/>
                <w:color w:val="auto"/>
                <w:highlight w:val="none"/>
                <w:lang w:eastAsia="zh-CN"/>
              </w:rPr>
            </w:pPr>
            <w:r>
              <w:rPr>
                <w:rFonts w:hint="eastAsia" w:ascii="宋体" w:hAnsi="宋体" w:cs="宋体"/>
                <w:b/>
                <w:bCs/>
                <w:color w:val="auto"/>
                <w:highlight w:val="none"/>
              </w:rPr>
              <w:t>综合实力情况</w:t>
            </w:r>
            <w:r>
              <w:rPr>
                <w:rFonts w:hint="eastAsia" w:ascii="宋体" w:hAnsi="宋体" w:cs="宋体"/>
                <w:b/>
                <w:bCs/>
                <w:color w:val="auto"/>
                <w:highlight w:val="none"/>
                <w:lang w:eastAsia="zh-CN"/>
              </w:rPr>
              <w:t>：</w:t>
            </w:r>
          </w:p>
          <w:p w14:paraId="4A3E3223">
            <w:pPr>
              <w:spacing w:line="240" w:lineRule="auto"/>
              <w:rPr>
                <w:rFonts w:hint="eastAsia" w:ascii="宋体" w:hAnsi="宋体" w:cs="宋体"/>
                <w:color w:val="auto"/>
                <w:highlight w:val="none"/>
              </w:rPr>
            </w:pPr>
            <w:r>
              <w:rPr>
                <w:rFonts w:hint="eastAsia" w:ascii="宋体" w:hAnsi="宋体" w:cs="宋体"/>
                <w:color w:val="auto"/>
                <w:highlight w:val="none"/>
              </w:rPr>
              <w:t>包括：管理人员具有保安管理经验，拟派保安具相关经验及资格证书，承诺所有人员无犯罪记录，承诺合同期内不无故更换，提供管理人员社保、相关证书及其所服务项目年限的说明材料。总负责人具有政府物业或公共场所或公交或地铁或枢纽保安管理经验，承诺合同期内不无故更换。建立保安评定制度，反恐防范工作制度、公共安全管理工作制度、联勤联动协作应急处置制度、内部管理制度、保安人员培训制</w:t>
            </w:r>
            <w:r>
              <w:rPr>
                <w:rFonts w:hint="eastAsia" w:ascii="宋体" w:hAnsi="宋体" w:cs="宋体"/>
                <w:color w:val="auto"/>
                <w:highlight w:val="none"/>
                <w:lang w:eastAsia="zh-CN"/>
              </w:rPr>
              <w:t>度等</w:t>
            </w:r>
            <w:r>
              <w:rPr>
                <w:rFonts w:hint="eastAsia" w:ascii="宋体" w:hAnsi="宋体" w:cs="宋体"/>
                <w:color w:val="auto"/>
                <w:highlight w:val="none"/>
              </w:rPr>
              <w:t>团队建设管理方案，设定项目管理体系及分工，并明确管理团队工作职责为应对突发事件和大客流情形，重点路段车次保安人员的工作实施方案、处置流程。</w:t>
            </w:r>
          </w:p>
          <w:p w14:paraId="78B4F5BE">
            <w:pPr>
              <w:spacing w:after="120" w:line="240" w:lineRule="auto"/>
              <w:ind w:firstLine="420" w:firstLineChars="200"/>
              <w:rPr>
                <w:rFonts w:hint="eastAsia"/>
                <w:color w:val="auto"/>
                <w:szCs w:val="21"/>
                <w:highlight w:val="none"/>
              </w:rPr>
            </w:pPr>
            <w:r>
              <w:rPr>
                <w:rFonts w:hint="eastAsia"/>
                <w:color w:val="auto"/>
                <w:szCs w:val="21"/>
                <w:highlight w:val="none"/>
              </w:rPr>
              <w:t>一档（</w:t>
            </w:r>
            <w:r>
              <w:rPr>
                <w:rFonts w:hint="eastAsia"/>
                <w:color w:val="auto"/>
                <w:szCs w:val="21"/>
                <w:highlight w:val="none"/>
                <w:lang w:val="en-US" w:eastAsia="zh-CN"/>
              </w:rPr>
              <w:t>5</w:t>
            </w:r>
            <w:r>
              <w:rPr>
                <w:rFonts w:hint="eastAsia"/>
                <w:color w:val="auto"/>
                <w:szCs w:val="21"/>
                <w:highlight w:val="none"/>
              </w:rPr>
              <w:t>分）：</w:t>
            </w:r>
            <w:r>
              <w:rPr>
                <w:rFonts w:hint="eastAsia"/>
                <w:color w:val="auto"/>
                <w:szCs w:val="21"/>
                <w:highlight w:val="none"/>
              </w:rPr>
              <w:t>供应商提供了保安评定制度、反恐防范工作制度、公共安全管理工作制度、联勤联动协作应急处置制度、内部管理制度、保安人员培训制</w:t>
            </w:r>
            <w:r>
              <w:rPr>
                <w:rFonts w:hint="eastAsia"/>
                <w:color w:val="auto"/>
                <w:szCs w:val="21"/>
                <w:highlight w:val="none"/>
                <w:lang w:eastAsia="zh-CN"/>
              </w:rPr>
              <w:t>度和</w:t>
            </w:r>
            <w:r>
              <w:rPr>
                <w:rFonts w:hint="eastAsia"/>
                <w:color w:val="auto"/>
                <w:szCs w:val="21"/>
                <w:highlight w:val="none"/>
              </w:rPr>
              <w:t>团队建设管理方案，但内容简单，管理人员无保安管理经验，总负责人无政府物业或公共场所或公交或地铁或枢纽保安管理经验，管理团队工作职责不明确，无法应对突发事件和大客流情形，重点路段车次保安人员的工作实施方案、处置流程不具体；</w:t>
            </w:r>
          </w:p>
          <w:p w14:paraId="085F351A">
            <w:pPr>
              <w:spacing w:after="120" w:line="240" w:lineRule="auto"/>
              <w:ind w:firstLine="420" w:firstLineChars="200"/>
              <w:rPr>
                <w:rFonts w:hint="eastAsia"/>
                <w:color w:val="auto"/>
                <w:szCs w:val="21"/>
                <w:highlight w:val="none"/>
              </w:rPr>
            </w:pPr>
            <w:r>
              <w:rPr>
                <w:rFonts w:hint="eastAsia"/>
                <w:color w:val="auto"/>
                <w:szCs w:val="21"/>
                <w:highlight w:val="none"/>
              </w:rPr>
              <w:t>二档（</w:t>
            </w:r>
            <w:r>
              <w:rPr>
                <w:rFonts w:hint="eastAsia"/>
                <w:color w:val="auto"/>
                <w:szCs w:val="21"/>
                <w:highlight w:val="none"/>
                <w:lang w:val="en-US" w:eastAsia="zh-CN"/>
              </w:rPr>
              <w:t>12</w:t>
            </w:r>
            <w:r>
              <w:rPr>
                <w:rFonts w:hint="eastAsia"/>
                <w:color w:val="auto"/>
                <w:szCs w:val="21"/>
                <w:highlight w:val="none"/>
              </w:rPr>
              <w:t>分）：</w:t>
            </w:r>
            <w:r>
              <w:rPr>
                <w:rFonts w:hint="eastAsia"/>
                <w:color w:val="auto"/>
                <w:szCs w:val="21"/>
                <w:highlight w:val="none"/>
              </w:rPr>
              <w:t>供应商提供了详细可行的保安评定制度、反恐防范工作制度、公共安全管理工作制度、联勤联动协作应急处置制度、内部管理制度、保安人员培训制</w:t>
            </w:r>
            <w:r>
              <w:rPr>
                <w:rFonts w:hint="eastAsia"/>
                <w:color w:val="auto"/>
                <w:szCs w:val="21"/>
                <w:highlight w:val="none"/>
                <w:lang w:eastAsia="zh-CN"/>
              </w:rPr>
              <w:t>度和</w:t>
            </w:r>
            <w:r>
              <w:rPr>
                <w:rFonts w:hint="eastAsia"/>
                <w:color w:val="auto"/>
                <w:szCs w:val="21"/>
                <w:highlight w:val="none"/>
              </w:rPr>
              <w:t>团队建设管理方案，管理人员有保安管理经验，总负责人有政府物业或公共场所或公交或地铁或枢纽保安管理经验，管理团队工作职责明确，相关制度可以应对突发事件和大客流情形，重点路段车次保安人员的工作实施方案、处置流程具体，符合项目需求；</w:t>
            </w:r>
          </w:p>
          <w:p w14:paraId="636EB51F">
            <w:pPr>
              <w:spacing w:after="120" w:line="240" w:lineRule="auto"/>
              <w:ind w:firstLine="420" w:firstLineChars="200"/>
              <w:rPr>
                <w:rFonts w:hint="eastAsia"/>
                <w:b/>
                <w:bCs/>
                <w:color w:val="auto"/>
                <w:szCs w:val="21"/>
                <w:highlight w:val="none"/>
              </w:rPr>
            </w:pPr>
            <w:r>
              <w:rPr>
                <w:rFonts w:hint="eastAsia"/>
                <w:color w:val="auto"/>
                <w:szCs w:val="21"/>
                <w:highlight w:val="none"/>
              </w:rPr>
              <w:t>三档（</w:t>
            </w:r>
            <w:r>
              <w:rPr>
                <w:rFonts w:hint="eastAsia"/>
                <w:color w:val="auto"/>
                <w:szCs w:val="21"/>
                <w:highlight w:val="none"/>
                <w:lang w:val="en-US" w:eastAsia="zh-CN"/>
              </w:rPr>
              <w:t>19</w:t>
            </w:r>
            <w:r>
              <w:rPr>
                <w:rFonts w:hint="eastAsia"/>
                <w:color w:val="auto"/>
                <w:szCs w:val="21"/>
                <w:highlight w:val="none"/>
              </w:rPr>
              <w:t>分）：</w:t>
            </w:r>
            <w:r>
              <w:rPr>
                <w:rFonts w:hint="eastAsia"/>
                <w:color w:val="auto"/>
                <w:szCs w:val="21"/>
                <w:highlight w:val="none"/>
              </w:rPr>
              <w:t>供应商提供了详细健全的保安评定制度、反恐防范工作制度、公共安全管理工作制度、联勤联动协作应急处置制度、内部管理制度、保安人员培训制</w:t>
            </w:r>
            <w:r>
              <w:rPr>
                <w:rFonts w:hint="eastAsia"/>
                <w:color w:val="auto"/>
                <w:szCs w:val="21"/>
                <w:highlight w:val="none"/>
                <w:lang w:eastAsia="zh-CN"/>
              </w:rPr>
              <w:t>度和</w:t>
            </w:r>
            <w:r>
              <w:rPr>
                <w:rFonts w:hint="eastAsia"/>
                <w:color w:val="auto"/>
                <w:szCs w:val="21"/>
                <w:highlight w:val="none"/>
              </w:rPr>
              <w:t>团队建设管理方案，管理人员有保安管理经验，总负责人有政府物业或公共场所或公交或地铁或枢纽保安管理经验，管理人员及总负责人参加过“大型活动安保服务高级管理人员培训班”，管理团队工作职责明确，相关制度可以应对突发事件和大客流情形，重点路段车次保安人员的工作实施方案、处置流程具体且可行性强。</w:t>
            </w:r>
            <w:r>
              <w:rPr>
                <w:rFonts w:hint="eastAsia"/>
                <w:b/>
                <w:bCs/>
                <w:color w:val="auto"/>
                <w:szCs w:val="21"/>
                <w:highlight w:val="none"/>
              </w:rPr>
              <w:t>（竞标时需提供有效的培训证书复印件为准）</w:t>
            </w:r>
          </w:p>
          <w:p w14:paraId="24C2F4F4">
            <w:pPr>
              <w:numPr>
                <w:ilvl w:val="0"/>
                <w:numId w:val="0"/>
              </w:numPr>
              <w:spacing w:line="240" w:lineRule="auto"/>
              <w:jc w:val="both"/>
              <w:rPr>
                <w:rFonts w:hint="eastAsia" w:eastAsia="宋体" w:cs="Times New Roman"/>
                <w:b/>
                <w:bCs/>
                <w:color w:val="auto"/>
                <w:highlight w:val="none"/>
                <w:lang w:val="en-US" w:eastAsia="zh-CN"/>
              </w:rPr>
            </w:pPr>
            <w:r>
              <w:rPr>
                <w:rFonts w:hint="eastAsia"/>
                <w:b/>
                <w:bCs/>
                <w:color w:val="auto"/>
                <w:szCs w:val="21"/>
                <w:highlight w:val="none"/>
              </w:rPr>
              <w:t>注：由评委根据供应商的响应文件内容独立定档打分。</w:t>
            </w:r>
            <w:r>
              <w:rPr>
                <w:rFonts w:hint="eastAsia" w:ascii="宋体" w:hAnsi="宋体"/>
                <w:b/>
                <w:color w:val="auto"/>
                <w:szCs w:val="21"/>
                <w:highlight w:val="none"/>
              </w:rPr>
              <w:t>未进档或未提供或有明显缺陷、错漏的不得分</w:t>
            </w:r>
            <w:r>
              <w:rPr>
                <w:rFonts w:hint="eastAsia"/>
                <w:b/>
                <w:bCs/>
                <w:color w:val="auto"/>
                <w:szCs w:val="21"/>
                <w:highlight w:val="none"/>
              </w:rPr>
              <w:t>。</w:t>
            </w:r>
          </w:p>
        </w:tc>
      </w:tr>
    </w:tbl>
    <w:p w14:paraId="1151B43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rPr>
        <w:t>更正日期：202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 xml:space="preserve">日 </w:t>
      </w:r>
    </w:p>
    <w:p w14:paraId="2DE95CE7">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其他补充事宜 </w:t>
      </w:r>
    </w:p>
    <w:p w14:paraId="7E20EDB7">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bookmarkStart w:id="0" w:name="_Hlk37429595"/>
      <w:r>
        <w:rPr>
          <w:rFonts w:hint="eastAsia" w:ascii="宋体" w:hAnsi="宋体" w:eastAsia="宋体" w:cs="宋体"/>
          <w:color w:val="auto"/>
          <w:kern w:val="0"/>
          <w:sz w:val="24"/>
          <w:szCs w:val="24"/>
          <w:highlight w:val="none"/>
          <w:lang w:val="en-US" w:eastAsia="zh-CN"/>
        </w:rPr>
        <w:t>网上查询地址：</w:t>
      </w:r>
      <w:bookmarkEnd w:id="0"/>
      <w:r>
        <w:rPr>
          <w:rFonts w:hint="eastAsia" w:ascii="宋体" w:hAnsi="宋体" w:eastAsia="宋体" w:cs="宋体"/>
          <w:color w:val="auto"/>
          <w:kern w:val="0"/>
          <w:sz w:val="24"/>
          <w:szCs w:val="24"/>
          <w:highlight w:val="none"/>
          <w:lang w:val="en-US" w:eastAsia="zh-CN"/>
        </w:rPr>
        <w:t xml:space="preserve">http://www.ccgp.gov.cn (中国政府采购网)，http://zfcg.gxzf.gov.cn (广西政府采购网) ，http://ggzy.jgswj.gxzf.gov.cn/nnggzy/(全国公共资源交易平台（广西·南宁））。 </w:t>
      </w:r>
    </w:p>
    <w:p w14:paraId="337C19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rPr>
        <w:t>四、凡对本次公告内容提出询问，请按以下方式联系。</w:t>
      </w:r>
    </w:p>
    <w:p w14:paraId="37FFEE3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1.采购人信息</w:t>
      </w:r>
    </w:p>
    <w:p w14:paraId="376ACEC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称：南宁市公安局</w:t>
      </w:r>
    </w:p>
    <w:p w14:paraId="750D8D3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地址：南宁市青秀区厢竹大道46号</w:t>
      </w:r>
    </w:p>
    <w:p w14:paraId="4D509E0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联系电话：0771-2891229</w:t>
      </w:r>
    </w:p>
    <w:p w14:paraId="368171D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2.采购代理机构信息</w:t>
      </w:r>
    </w:p>
    <w:p w14:paraId="2DD2FAE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称：广西建设工程机电设备招标中心有限公司</w:t>
      </w:r>
    </w:p>
    <w:p w14:paraId="1329797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地　址：南宁市青秀区枫林路18号广西国控集团（枫林路办公区）裙楼三层 </w:t>
      </w:r>
    </w:p>
    <w:p w14:paraId="38489CA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联系电话：0771-2819862</w:t>
      </w:r>
    </w:p>
    <w:p w14:paraId="5EC6D54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3.项目联系方式</w:t>
      </w:r>
    </w:p>
    <w:p w14:paraId="422FBF4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项目联系人：周珺</w:t>
      </w:r>
    </w:p>
    <w:p w14:paraId="73C3D6F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    话：0771-2819862</w:t>
      </w:r>
    </w:p>
    <w:p w14:paraId="29F8ED4F">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4"/>
          <w:szCs w:val="24"/>
          <w:highlight w:val="none"/>
          <w:lang w:val="en-US" w:eastAsia="zh-CN"/>
        </w:rPr>
      </w:pPr>
    </w:p>
    <w:p w14:paraId="10887391">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4"/>
          <w:szCs w:val="24"/>
          <w:highlight w:val="none"/>
          <w:lang w:val="en-US" w:eastAsia="zh-CN"/>
        </w:rPr>
      </w:pPr>
    </w:p>
    <w:p w14:paraId="3673F422">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广西建设工程机电设备招标中心有限公司</w:t>
      </w:r>
    </w:p>
    <w:p w14:paraId="44C905F6">
      <w:pPr>
        <w:pStyle w:val="6"/>
        <w:spacing w:line="360" w:lineRule="auto"/>
        <w:jc w:val="right"/>
        <w:rPr>
          <w:rFonts w:hint="eastAsia"/>
          <w:color w:val="auto"/>
          <w:highlight w:val="none"/>
        </w:rPr>
      </w:pP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月30</w:t>
      </w:r>
      <w:bookmarkStart w:id="1" w:name="_GoBack"/>
      <w:bookmarkEnd w:id="1"/>
      <w:r>
        <w:rPr>
          <w:rFonts w:hint="eastAsia" w:ascii="宋体" w:hAnsi="宋体" w:eastAsia="宋体" w:cs="宋体"/>
          <w:color w:val="auto"/>
          <w:kern w:val="0"/>
          <w:sz w:val="24"/>
          <w:szCs w:val="24"/>
          <w:highlight w:val="none"/>
          <w:lang w:val="en-US" w:eastAsia="zh-CN"/>
        </w:rPr>
        <w:t>日</w:t>
      </w:r>
    </w:p>
    <w:p w14:paraId="0C569855">
      <w:pPr>
        <w:rPr>
          <w:color w:val="auto"/>
          <w:highlight w:val="none"/>
        </w:rPr>
      </w:pPr>
    </w:p>
    <w:sectPr>
      <w:headerReference r:id="rId3" w:type="default"/>
      <w:footerReference r:id="rId4"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A51F">
    <w:pPr>
      <w:pStyle w:val="4"/>
      <w:tabs>
        <w:tab w:val="clear" w:pos="4153"/>
      </w:tabs>
      <w:jc w:val="both"/>
    </w:pPr>
  </w:p>
  <w:p w14:paraId="34F0D82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4A4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44E22"/>
    <w:rsid w:val="138F28CD"/>
    <w:rsid w:val="1AFE1E17"/>
    <w:rsid w:val="1CB3206F"/>
    <w:rsid w:val="5D130D81"/>
    <w:rsid w:val="60FF7953"/>
    <w:rsid w:val="632E0D88"/>
    <w:rsid w:val="6C4B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qFormat/>
    <w:uiPriority w:val="0"/>
  </w:style>
  <w:style w:type="table" w:default="1" w:styleId="7">
    <w:name w:val="Normal Table"/>
    <w:uiPriority w:val="0"/>
    <w:tblPr>
      <w:tblCellMar>
        <w:top w:w="0" w:type="dxa"/>
        <w:left w:w="108" w:type="dxa"/>
        <w:bottom w:w="0" w:type="dxa"/>
        <w:right w:w="108" w:type="dxa"/>
      </w:tblCellMar>
    </w:tblPr>
  </w:style>
  <w:style w:type="paragraph" w:styleId="3">
    <w:name w:val="Body Text Indent"/>
    <w:basedOn w:val="1"/>
    <w:next w:val="1"/>
    <w:qFormat/>
    <w:uiPriority w:val="0"/>
    <w:pPr>
      <w:ind w:firstLine="830" w:firstLineChars="352"/>
    </w:pPr>
    <w:rPr>
      <w:rFonts w:ascii="仿宋_GB2312" w:eastAsia="仿宋_GB2312"/>
      <w:kern w:val="0"/>
      <w:sz w:val="32"/>
      <w:szCs w:val="20"/>
    </w:rPr>
  </w:style>
  <w:style w:type="paragraph" w:styleId="4">
    <w:name w:val="footer"/>
    <w:basedOn w:val="1"/>
    <w:next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First Indent 2"/>
    <w:basedOn w:val="3"/>
    <w:next w:val="1"/>
    <w:qFormat/>
    <w:uiPriority w:val="99"/>
    <w:pPr>
      <w:ind w:firstLine="0" w:firstLineChars="0"/>
    </w:pPr>
    <w:rPr>
      <w:rFonts w:hint="eastAsia" w:ascii="Times New Roman"/>
      <w:sz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2817</Words>
  <Characters>2997</Characters>
  <Paragraphs>63</Paragraphs>
  <TotalTime>4</TotalTime>
  <ScaleCrop>false</ScaleCrop>
  <LinksUpToDate>false</LinksUpToDate>
  <CharactersWithSpaces>3020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2025-08-20T12:25:00Z</dcterms:created>
  <dc:creator>lenovo</dc:creator>
  <cp:lastModifiedBy>lenovo</cp:lastModifiedBy>
  <cp:lastPrinted>2025-08-21T04:37:00Z</cp:lastPrinted>
  <dcterms:modified xsi:type="dcterms:W3CDTF">2025-08-30T05:19:15Z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eyJoZGlkIjoiMzgxNTg0MzZjYTkxZWEwYjIwZmJiMThmNGRjNGM5NTYiLCJ1c2VySWQiOiIxNjY2ODAwODE3In0=</vt:lpwstr>
  </property>
  <property fmtid="{D5CDD505-2E9C-101B-9397-08002B2CF9AE}" pid="4" name="ICV">
    <vt:lpwstr>e39b1162f41449359f7db59d828f3ba5_23</vt:lpwstr>
  </property>
</Properties>
</file>