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0D22F">
      <w:pPr>
        <w:keepNext w:val="0"/>
        <w:keepLines w:val="0"/>
        <w:pageBreakBefore w:val="0"/>
        <w:widowControl w:val="0"/>
        <w:kinsoku/>
        <w:wordWrap/>
        <w:overflowPunct/>
        <w:topLinePunct w:val="0"/>
        <w:autoSpaceDE/>
        <w:autoSpaceDN/>
        <w:bidi w:val="0"/>
        <w:adjustRightInd/>
        <w:spacing w:line="420" w:lineRule="exact"/>
        <w:jc w:val="center"/>
        <w:rPr>
          <w:rFonts w:hint="eastAsia"/>
          <w:b/>
          <w:color w:val="auto"/>
          <w:sz w:val="36"/>
          <w:szCs w:val="36"/>
          <w:highlight w:val="none"/>
          <w:shd w:val="clear" w:color="auto" w:fill="auto"/>
          <w:lang w:val="en-US" w:eastAsia="zh-CN"/>
        </w:rPr>
      </w:pPr>
      <w:r>
        <w:rPr>
          <w:rFonts w:hint="eastAsia"/>
          <w:b/>
          <w:color w:val="auto"/>
          <w:sz w:val="36"/>
          <w:szCs w:val="36"/>
          <w:highlight w:val="none"/>
          <w:shd w:val="clear" w:color="auto" w:fill="auto"/>
          <w:lang w:val="en-US" w:eastAsia="zh-CN"/>
        </w:rPr>
        <w:t>更正公告附件</w:t>
      </w:r>
    </w:p>
    <w:p w14:paraId="545BEB07">
      <w:pPr>
        <w:pStyle w:val="2"/>
        <w:rPr>
          <w:rFonts w:hint="eastAsia"/>
          <w:lang w:val="en-US" w:eastAsia="zh-CN"/>
        </w:rPr>
      </w:pPr>
    </w:p>
    <w:p w14:paraId="468CB032">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一</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rPr>
        <w:t>更正后内容</w:t>
      </w:r>
      <w:r>
        <w:rPr>
          <w:rFonts w:hint="eastAsia" w:ascii="宋体" w:hAnsi="宋体" w:eastAsia="宋体" w:cs="宋体"/>
          <w:b/>
          <w:bCs/>
          <w:color w:val="auto"/>
          <w:sz w:val="28"/>
          <w:szCs w:val="28"/>
          <w:highlight w:val="yellow"/>
          <w:lang w:eastAsia="zh-CN"/>
        </w:rPr>
        <w:t>：</w:t>
      </w:r>
    </w:p>
    <w:p w14:paraId="2CD63526">
      <w:pPr>
        <w:keepNext w:val="0"/>
        <w:keepLines w:val="0"/>
        <w:pageBreakBefore w:val="0"/>
        <w:widowControl w:val="0"/>
        <w:kinsoku/>
        <w:wordWrap/>
        <w:overflowPunct/>
        <w:topLinePunct w:val="0"/>
        <w:autoSpaceDE/>
        <w:autoSpaceDN/>
        <w:bidi w:val="0"/>
        <w:adjustRightInd/>
        <w:spacing w:line="42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说明：</w:t>
      </w:r>
      <w:bookmarkStart w:id="1" w:name="_GoBack"/>
      <w:bookmarkEnd w:id="1"/>
    </w:p>
    <w:p w14:paraId="79D2E011">
      <w:pPr>
        <w:keepNext w:val="0"/>
        <w:keepLines w:val="0"/>
        <w:pageBreakBefore w:val="0"/>
        <w:widowControl w:val="0"/>
        <w:kinsoku/>
        <w:wordWrap/>
        <w:overflowPunct/>
        <w:topLinePunct w:val="0"/>
        <w:autoSpaceDE/>
        <w:autoSpaceDN/>
        <w:bidi w:val="0"/>
        <w:adjustRightInd/>
        <w:spacing w:line="420" w:lineRule="exact"/>
        <w:ind w:right="2" w:rightChars="1" w:firstLine="422" w:firstLineChars="200"/>
        <w:rPr>
          <w:rFonts w:hint="eastAsia" w:ascii="宋体" w:hAnsi="宋体" w:cs="宋体"/>
          <w:b/>
          <w:bCs/>
          <w:color w:val="auto"/>
          <w:szCs w:val="21"/>
          <w:highlight w:val="none"/>
          <w:u w:val="single"/>
        </w:rPr>
      </w:pPr>
      <w:r>
        <w:rPr>
          <w:rFonts w:hint="eastAsia" w:ascii="宋体" w:hAnsi="宋体" w:cs="宋体"/>
          <w:b/>
          <w:bCs/>
          <w:color w:val="auto"/>
          <w:highlight w:val="none"/>
        </w:rPr>
        <w:t>1.</w:t>
      </w:r>
      <w:r>
        <w:rPr>
          <w:rFonts w:hint="eastAsia" w:ascii="宋体" w:hAnsi="宋体" w:cs="宋体"/>
          <w:b/>
          <w:bCs/>
          <w:color w:val="auto"/>
          <w:szCs w:val="21"/>
          <w:highlight w:val="none"/>
          <w:u w:val="single"/>
        </w:rPr>
        <w:t>采购需求中标注“▲”的条款或要求系指实质性条款或实质性要求，必须满足，如存在负偏离将导致投标被否决。</w:t>
      </w:r>
    </w:p>
    <w:p w14:paraId="6959F7A8">
      <w:pPr>
        <w:keepNext w:val="0"/>
        <w:keepLines w:val="0"/>
        <w:pageBreakBefore w:val="0"/>
        <w:widowControl w:val="0"/>
        <w:kinsoku/>
        <w:wordWrap/>
        <w:overflowPunct/>
        <w:topLinePunct w:val="0"/>
        <w:autoSpaceDE/>
        <w:autoSpaceDN/>
        <w:bidi w:val="0"/>
        <w:adjustRightInd/>
        <w:spacing w:line="420" w:lineRule="exact"/>
        <w:ind w:right="2" w:rightChars="1" w:firstLine="422" w:firstLineChars="200"/>
        <w:rPr>
          <w:rFonts w:hint="eastAsia"/>
          <w:lang w:eastAsia="zh-CN"/>
        </w:rPr>
      </w:pPr>
      <w:r>
        <w:rPr>
          <w:rFonts w:hint="eastAsia" w:ascii="宋体" w:hAnsi="宋体" w:cs="宋体"/>
          <w:b/>
          <w:bCs/>
          <w:color w:val="auto"/>
          <w:szCs w:val="21"/>
          <w:highlight w:val="none"/>
          <w:u w:val="single"/>
        </w:rPr>
        <w:t>2.采购需求中标注“◆”号的条款为重点参数，如不满足要求，即为负偏离，作为扣分处理，具体详见招标文件第四章评标办法及评标标准。</w:t>
      </w:r>
    </w:p>
    <w:tbl>
      <w:tblPr>
        <w:tblStyle w:val="7"/>
        <w:tblW w:w="101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185"/>
        <w:gridCol w:w="152"/>
        <w:gridCol w:w="875"/>
        <w:gridCol w:w="856"/>
        <w:gridCol w:w="6417"/>
      </w:tblGrid>
      <w:tr w14:paraId="1855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28387D6F">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
                <w:color w:val="auto"/>
                <w:kern w:val="2"/>
                <w:sz w:val="21"/>
                <w:highlight w:val="none"/>
              </w:rPr>
            </w:pPr>
            <w:r>
              <w:rPr>
                <w:rFonts w:hint="eastAsia" w:hAnsi="宋体" w:cs="宋体"/>
                <w:b/>
                <w:color w:val="auto"/>
                <w:kern w:val="2"/>
                <w:sz w:val="21"/>
                <w:highlight w:val="none"/>
              </w:rPr>
              <w:t>序号</w:t>
            </w:r>
          </w:p>
        </w:tc>
        <w:tc>
          <w:tcPr>
            <w:tcW w:w="1337" w:type="dxa"/>
            <w:gridSpan w:val="2"/>
            <w:noWrap w:val="0"/>
            <w:vAlign w:val="center"/>
          </w:tcPr>
          <w:p w14:paraId="57379045">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
                <w:color w:val="auto"/>
                <w:kern w:val="2"/>
                <w:sz w:val="21"/>
                <w:highlight w:val="none"/>
              </w:rPr>
            </w:pPr>
            <w:r>
              <w:rPr>
                <w:rFonts w:hint="eastAsia" w:hAnsi="宋体" w:cs="宋体"/>
                <w:b/>
                <w:color w:val="auto"/>
                <w:kern w:val="2"/>
                <w:sz w:val="21"/>
                <w:highlight w:val="none"/>
              </w:rPr>
              <w:t>标的名称</w:t>
            </w:r>
          </w:p>
        </w:tc>
        <w:tc>
          <w:tcPr>
            <w:tcW w:w="875" w:type="dxa"/>
            <w:noWrap w:val="0"/>
            <w:vAlign w:val="center"/>
          </w:tcPr>
          <w:p w14:paraId="5BA74B7D">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
                <w:color w:val="auto"/>
                <w:kern w:val="2"/>
                <w:sz w:val="21"/>
                <w:highlight w:val="none"/>
              </w:rPr>
            </w:pPr>
            <w:r>
              <w:rPr>
                <w:rFonts w:hint="eastAsia" w:hAnsi="宋体" w:cs="宋体"/>
                <w:b/>
                <w:color w:val="auto"/>
                <w:kern w:val="2"/>
                <w:sz w:val="21"/>
                <w:highlight w:val="none"/>
              </w:rPr>
              <w:t>数量及单位</w:t>
            </w:r>
          </w:p>
        </w:tc>
        <w:tc>
          <w:tcPr>
            <w:tcW w:w="856" w:type="dxa"/>
            <w:noWrap w:val="0"/>
            <w:vAlign w:val="center"/>
          </w:tcPr>
          <w:p w14:paraId="3B358D54">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
                <w:color w:val="auto"/>
                <w:kern w:val="2"/>
                <w:sz w:val="21"/>
                <w:highlight w:val="none"/>
              </w:rPr>
            </w:pPr>
            <w:r>
              <w:rPr>
                <w:rFonts w:hint="eastAsia" w:hAnsi="宋体" w:cs="宋体"/>
                <w:b/>
                <w:color w:val="auto"/>
                <w:kern w:val="2"/>
                <w:sz w:val="21"/>
                <w:highlight w:val="none"/>
              </w:rPr>
              <w:t>所属行业</w:t>
            </w:r>
          </w:p>
        </w:tc>
        <w:tc>
          <w:tcPr>
            <w:tcW w:w="6412" w:type="dxa"/>
            <w:noWrap w:val="0"/>
            <w:vAlign w:val="center"/>
          </w:tcPr>
          <w:p w14:paraId="5FC742DA">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
                <w:color w:val="auto"/>
                <w:kern w:val="2"/>
                <w:sz w:val="21"/>
                <w:highlight w:val="none"/>
              </w:rPr>
            </w:pPr>
            <w:r>
              <w:rPr>
                <w:rFonts w:hint="eastAsia" w:hAnsi="宋体" w:cs="宋体"/>
                <w:b/>
                <w:color w:val="auto"/>
                <w:kern w:val="2"/>
                <w:sz w:val="21"/>
                <w:highlight w:val="none"/>
              </w:rPr>
              <w:t>技术要求</w:t>
            </w:r>
          </w:p>
        </w:tc>
      </w:tr>
      <w:tr w14:paraId="3CD7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noWrap w:val="0"/>
            <w:vAlign w:val="center"/>
          </w:tcPr>
          <w:p w14:paraId="100E8A33">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Cs/>
                <w:color w:val="auto"/>
                <w:kern w:val="2"/>
                <w:sz w:val="21"/>
                <w:highlight w:val="none"/>
              </w:rPr>
            </w:pPr>
            <w:r>
              <w:rPr>
                <w:rFonts w:hint="eastAsia" w:hAnsi="宋体" w:cs="宋体"/>
                <w:bCs/>
                <w:color w:val="auto"/>
                <w:kern w:val="2"/>
                <w:sz w:val="21"/>
                <w:highlight w:val="none"/>
              </w:rPr>
              <w:t>1</w:t>
            </w:r>
          </w:p>
        </w:tc>
        <w:tc>
          <w:tcPr>
            <w:tcW w:w="1337" w:type="dxa"/>
            <w:gridSpan w:val="2"/>
            <w:noWrap w:val="0"/>
            <w:vAlign w:val="center"/>
          </w:tcPr>
          <w:p w14:paraId="1C9C2C88">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Cs/>
                <w:color w:val="auto"/>
                <w:kern w:val="2"/>
                <w:sz w:val="21"/>
                <w:highlight w:val="none"/>
              </w:rPr>
            </w:pPr>
            <w:r>
              <w:rPr>
                <w:rFonts w:hint="eastAsia" w:hAnsi="宋体" w:cs="宋体"/>
                <w:bCs/>
                <w:color w:val="auto"/>
                <w:kern w:val="2"/>
                <w:sz w:val="21"/>
                <w:highlight w:val="none"/>
              </w:rPr>
              <w:t>广西公安声纹检验鉴定服务</w:t>
            </w:r>
          </w:p>
        </w:tc>
        <w:tc>
          <w:tcPr>
            <w:tcW w:w="875" w:type="dxa"/>
            <w:noWrap w:val="0"/>
            <w:vAlign w:val="center"/>
          </w:tcPr>
          <w:p w14:paraId="24A80BA9">
            <w:pPr>
              <w:pStyle w:val="4"/>
              <w:keepNext w:val="0"/>
              <w:keepLines w:val="0"/>
              <w:pageBreakBefore w:val="0"/>
              <w:widowControl w:val="0"/>
              <w:kinsoku/>
              <w:wordWrap/>
              <w:overflowPunct/>
              <w:topLinePunct w:val="0"/>
              <w:autoSpaceDE/>
              <w:autoSpaceDN/>
              <w:bidi w:val="0"/>
              <w:adjustRightInd/>
              <w:spacing w:line="420" w:lineRule="exact"/>
              <w:jc w:val="center"/>
              <w:rPr>
                <w:rFonts w:hAnsi="宋体" w:cs="宋体"/>
                <w:bCs/>
                <w:color w:val="auto"/>
                <w:kern w:val="2"/>
                <w:sz w:val="21"/>
                <w:highlight w:val="none"/>
              </w:rPr>
            </w:pPr>
            <w:r>
              <w:rPr>
                <w:rFonts w:hint="eastAsia" w:hAnsi="宋体" w:cs="宋体"/>
                <w:bCs/>
                <w:color w:val="auto"/>
                <w:kern w:val="2"/>
                <w:sz w:val="21"/>
                <w:highlight w:val="none"/>
              </w:rPr>
              <w:t>1项</w:t>
            </w:r>
          </w:p>
        </w:tc>
        <w:tc>
          <w:tcPr>
            <w:tcW w:w="856" w:type="dxa"/>
            <w:noWrap w:val="0"/>
            <w:vAlign w:val="center"/>
          </w:tcPr>
          <w:p w14:paraId="14144EA4">
            <w:pPr>
              <w:pStyle w:val="4"/>
              <w:keepNext w:val="0"/>
              <w:keepLines w:val="0"/>
              <w:pageBreakBefore w:val="0"/>
              <w:widowControl w:val="0"/>
              <w:kinsoku/>
              <w:wordWrap/>
              <w:overflowPunct/>
              <w:topLinePunct w:val="0"/>
              <w:autoSpaceDE/>
              <w:autoSpaceDN/>
              <w:bidi w:val="0"/>
              <w:adjustRightInd/>
              <w:spacing w:line="420" w:lineRule="exact"/>
              <w:jc w:val="center"/>
              <w:rPr>
                <w:rFonts w:hint="eastAsia" w:hAnsi="宋体" w:cs="宋体"/>
                <w:bCs/>
                <w:color w:val="auto"/>
                <w:kern w:val="2"/>
                <w:sz w:val="21"/>
                <w:highlight w:val="none"/>
              </w:rPr>
            </w:pPr>
            <w:r>
              <w:rPr>
                <w:rFonts w:hint="eastAsia" w:hAnsi="宋体" w:cs="宋体"/>
                <w:bCs/>
                <w:color w:val="auto"/>
                <w:kern w:val="2"/>
                <w:sz w:val="21"/>
                <w:highlight w:val="none"/>
              </w:rPr>
              <w:t>其他未列明行业</w:t>
            </w:r>
          </w:p>
        </w:tc>
        <w:tc>
          <w:tcPr>
            <w:tcW w:w="6412" w:type="dxa"/>
            <w:noWrap w:val="0"/>
            <w:vAlign w:val="center"/>
          </w:tcPr>
          <w:p w14:paraId="6BCF2C2D">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一、服务的主要内容</w:t>
            </w:r>
          </w:p>
          <w:p w14:paraId="2E6B5E7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为推进广西壮族自治区公安部门打击整治电信网络诈骗犯罪，遏制电信网络诈骗案件快速上升势头，充分运用声纹技术、智能语音等技术手段加强公安机关打击治理电信网络诈骗犯罪，持续强化区域会战、专案攻坚、集群战役能力，遏制电信网络诈骗犯罪高发态势，投标人需提供专业的声纹检验鉴定服务，具体包含如下服务内容：</w:t>
            </w:r>
          </w:p>
          <w:p w14:paraId="085F525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（一）搭建服务支撑平台；</w:t>
            </w:r>
          </w:p>
          <w:p w14:paraId="02A65AE5">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（二）提供声纹检验鉴定服务；</w:t>
            </w:r>
          </w:p>
          <w:p w14:paraId="2E71C045">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（三）提供声纹技术培训及鉴定能力考核服务；</w:t>
            </w:r>
          </w:p>
          <w:p w14:paraId="7D06998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（四）提供定制开发与业务适配服务；</w:t>
            </w:r>
          </w:p>
          <w:p w14:paraId="2B58BDCF">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（五）提供案件协查服务；</w:t>
            </w:r>
          </w:p>
          <w:p w14:paraId="129D7071">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（六）提供技术人员驻场服务。</w:t>
            </w:r>
          </w:p>
          <w:p w14:paraId="482A84F3">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二、服务内容细则</w:t>
            </w:r>
          </w:p>
          <w:p w14:paraId="7007E64E">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（一）搭建服务支撑平台</w:t>
            </w:r>
          </w:p>
          <w:p w14:paraId="0EE94958">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搭建服务于全区的一体化联网版声纹检验鉴定环境(服务端+客户端)。提供不少于60套声纹检验鉴定客户端使用服务，为期三年。需支持公安机关声纹检验鉴定业务标准化流程，从案件出发，服务公安实战工作。</w:t>
            </w:r>
          </w:p>
          <w:p w14:paraId="0E48DF9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服务期内中标方需提供能完整、流畅支持声纹检验鉴定全流程处理工作的声纹检验鉴定客户端使用服务（含硬件设备），数量不低于60套，且在整个服务期内须保证所提供的硬件和软件能正常工作。所有软硬件在服务到期后经脱敏由中标方自行处置。</w:t>
            </w:r>
          </w:p>
          <w:p w14:paraId="1FBBDF3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平台须具备案件预审初检功能。支持百万级案件数据存储管理、多维度统计分析案件；各服务账号之间案件信息秒级传输，实现案件信息的快速传递和共享；支持案件信息快速录入和自动备份至后台服务器，确保数据安全完整。</w:t>
            </w:r>
          </w:p>
          <w:p w14:paraId="103DFF78">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平台须具备声纹采集与综合处理功能。支持不低于100种音视频格式的处理和转换，支持批量导入导出，支持查看音视频文件的源文件基本信息和详细属性不少于10项；支持多个音频的拼接和双声道音视频的分离；支持麦克风录音和平台内录音并生成标准 wav 格式文件。</w:t>
            </w:r>
          </w:p>
          <w:p w14:paraId="5C048906">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4.平台须具备电子取证数据包批量处理功能。支持一键导入电子取证数据包，实时呈现任务进度。支持自动精准识别社交 APP 语音，支持普通话和粤语批量转写，转写文字与原音频精准对应，支持修改、搜索转写文字。转写文字可按 PDF、DOCX 等格式导出，也能直接打印。</w:t>
            </w:r>
          </w:p>
          <w:p w14:paraId="7AFCAB3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5.平台须具备离线AI大语言模型；支持将两段语音进行自动比对并计算话者声纹相似度；支持快速搜索相同字、词、音素，结果可按列表或表格展示，且一次展示不少于 100 组相同项。</w:t>
            </w:r>
          </w:p>
          <w:p w14:paraId="47841ACB">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6.平台须具备出具鉴定书所需的比对检验辅助工具功能。支持新增多种自定义标记和多窗口独立标记，且可对标记进行模糊和精确搜索、定位；支持音频语谱图切片和音频编辑，对变声音频可从语速、音高、音色三个维度进行复原；支持波形叠加、图谱叠加显示，可从不同层面分析音频特征；支持自定义工具栏布局和语谱图参数设置；支持自由截图并提供多种注释工具，关联语谱图的截图可一键跳转；支持对两段音频的声学发音特征进行量化分析，并计算听觉相似度；支持宽带、窄带、共振峰叠加等多种语谱图展示和自由切换；支持元音参考比对，展示男女元音共振峰频率参考值；支持多窗口同屏展示；支持图谱测量比对、偏差统计、同一性分析及自动计算共振峰频率，辅助判断声纹的同一性；支持按照标准流程生成检验记录和鉴定意见，为案件复核审查提供依据，且鉴定意见可作为司法证据。</w:t>
            </w:r>
          </w:p>
          <w:p w14:paraId="152F53D1">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7.平台须具备基础的智能语音降噪增益功能。支持通过神经网络降噪、维纳滤波降噪、采样降噪、橡皮擦等处理不同噪声程度音频；支持智能增益及自定义增益。</w:t>
            </w:r>
          </w:p>
          <w:p w14:paraId="7573AB09">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8.平台须具备发送/接收服务素材、结果的功能，并有提醒功能。</w:t>
            </w:r>
          </w:p>
          <w:p w14:paraId="41F60C7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9.▲平台须具备多级联网功能。应采用C/S架构，服务端支持在国产CPU硬件及国产操作系统环境运行，所有涉案数据存储在服务端，满足数据安全的合规要求且中标后七个工作日内在广西壮族自治区公安厅国产化警务云完成部署适配。支持不少于100个声纹服务账号同时接入，实现区厅-地市-区县三级声纹服务账号互联互通，支持鉴定数据、鉴定经验和技术资源的多级共享。</w:t>
            </w:r>
          </w:p>
          <w:p w14:paraId="46B45948">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10.平台须具备可视化管理功能。支持自动收集所有</w:t>
            </w:r>
            <w:r>
              <w:rPr>
                <w:rFonts w:hint="eastAsia"/>
                <w:color w:val="auto"/>
                <w:sz w:val="21"/>
                <w:highlight w:val="none"/>
                <w:lang w:eastAsia="zh-CN"/>
              </w:rPr>
              <w:t>采购人</w:t>
            </w:r>
            <w:r>
              <w:rPr>
                <w:rFonts w:hint="eastAsia"/>
                <w:color w:val="auto"/>
                <w:sz w:val="21"/>
                <w:highlight w:val="none"/>
              </w:rPr>
              <w:t>账号操作数据、活动日志及事件记录，并以可视化界面展示运行状态。支持自动记录检验鉴定操作过程及时间，支持回溯和日志导出。</w:t>
            </w:r>
          </w:p>
          <w:p w14:paraId="0F327094">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（二）提供声纹检验鉴定服务</w:t>
            </w:r>
          </w:p>
          <w:p w14:paraId="0AA5214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1.提供实时声纹检验鉴定服务。</w:t>
            </w:r>
          </w:p>
          <w:p w14:paraId="1D4C540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▲客户通过服务支撑平台上传检材样本后，</w:t>
            </w:r>
            <w:r>
              <w:rPr>
                <w:rFonts w:hint="eastAsia"/>
                <w:color w:val="auto"/>
                <w:sz w:val="21"/>
                <w:highlight w:val="none"/>
                <w:lang w:eastAsia="zh-CN"/>
              </w:rPr>
              <w:t>中标人</w:t>
            </w:r>
            <w:r>
              <w:rPr>
                <w:rFonts w:hint="eastAsia"/>
                <w:color w:val="auto"/>
                <w:sz w:val="21"/>
                <w:highlight w:val="none"/>
              </w:rPr>
              <w:t>须在24小时内出具鉴定结论，并将相关图谱通过服务支撑平台回传客户。语音同一性检验鉴定结论准确率须达到95%以上。所有检验过程、结论及相关图谱支持平台内全程溯源，并可以在服务人员的指导下通过客户端实现本地复现。</w:t>
            </w:r>
          </w:p>
          <w:p w14:paraId="1CC56EC0">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2.提供智能语音识别算法服务。</w:t>
            </w:r>
          </w:p>
          <w:p w14:paraId="17408FCD">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（1）客户通过服务支撑平台上传素材及要求后，</w:t>
            </w:r>
            <w:r>
              <w:rPr>
                <w:rFonts w:hint="eastAsia"/>
                <w:color w:val="auto"/>
                <w:sz w:val="21"/>
                <w:highlight w:val="none"/>
                <w:lang w:eastAsia="zh-CN"/>
              </w:rPr>
              <w:t>中标人</w:t>
            </w:r>
            <w:r>
              <w:rPr>
                <w:rFonts w:hint="eastAsia"/>
                <w:color w:val="auto"/>
                <w:sz w:val="21"/>
                <w:highlight w:val="none"/>
              </w:rPr>
              <w:t>须在24小时内</w:t>
            </w:r>
            <w:r>
              <w:rPr>
                <w:rFonts w:hint="eastAsia"/>
                <w:color w:val="auto"/>
                <w:sz w:val="21"/>
                <w:highlight w:val="none"/>
                <w:lang w:eastAsia="zh-CN"/>
              </w:rPr>
              <w:t>将结果</w:t>
            </w:r>
            <w:r>
              <w:rPr>
                <w:rFonts w:hint="eastAsia"/>
                <w:color w:val="auto"/>
                <w:sz w:val="21"/>
                <w:highlight w:val="none"/>
              </w:rPr>
              <w:t>文件回传客户。</w:t>
            </w:r>
          </w:p>
          <w:p w14:paraId="104B0676">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（2）▲结果文件要求普通话及方言语音转写成文字、音素及音节并能在支撑平台客户端上自动标注，实现音素、音节与文字、语谱图同步呈现实时对齐，对齐误差≤10毫秒。</w:t>
            </w:r>
          </w:p>
          <w:p w14:paraId="4E36C336">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（3）▲转写结果要求普通话语音识别准确率≥95%，粤语语音识别准确率≥90%，壮语语音识别准确率≥90%。</w:t>
            </w:r>
          </w:p>
          <w:p w14:paraId="51D44618">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（4）▲根据语音识别出说话人籍贯所属地市级行政区，覆盖全国300+地市，并输出可信度得分及可解释性说明。应具备抗噪、抗信道干扰能力，对10秒以上语音识别准确率≥90%。</w:t>
            </w:r>
          </w:p>
          <w:p w14:paraId="52361B3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（5）◆普通话语音的音节声调识别结果支持标注为阴平、阳平、上声、去声、轻声。</w:t>
            </w:r>
          </w:p>
          <w:p w14:paraId="2DCB42B1">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3.提供语音类团伙案件分析研判服务。</w:t>
            </w:r>
          </w:p>
          <w:p w14:paraId="106D6A22">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（1）客户通过服务支撑平台上传素材及要求后，</w:t>
            </w:r>
            <w:r>
              <w:rPr>
                <w:rFonts w:hint="eastAsia"/>
                <w:color w:val="auto"/>
                <w:sz w:val="21"/>
                <w:highlight w:val="none"/>
                <w:lang w:eastAsia="zh-CN"/>
              </w:rPr>
              <w:t>中标人</w:t>
            </w:r>
            <w:r>
              <w:rPr>
                <w:rFonts w:hint="eastAsia"/>
                <w:color w:val="auto"/>
                <w:sz w:val="21"/>
                <w:highlight w:val="none"/>
              </w:rPr>
              <w:t>须在24小时内将结果文件回传客户。</w:t>
            </w:r>
          </w:p>
          <w:p w14:paraId="5AE72CF1">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（2）须能分析并生成团伙关系网，展示团伙中各成员关系和层级。</w:t>
            </w:r>
          </w:p>
          <w:p w14:paraId="73214D0A">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（3）须能查看声纹比中嫌疑人信息，查看各地区案件分布。</w:t>
            </w:r>
          </w:p>
          <w:p w14:paraId="14F2005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（4）须能根据语音特征刻画未知身份嫌疑人画像。</w:t>
            </w:r>
          </w:p>
          <w:p w14:paraId="738BB6D3">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（5）◆支持查看某个嫌疑人的人案关系图，人案关系图能完整展示该嫌疑人声纹串并出来的所有案件，并以案件为单位，展示出每个案件中与该嫌疑人配合的同伙嫌疑人；</w:t>
            </w:r>
          </w:p>
          <w:p w14:paraId="6E7AB6C9">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（6）◆支持根据嫌疑人出行信息、住宿信息、籍贯住址信息、涉诈软件APP包名、 涉诈软件APP校验码、嫌疑人社交软件账号、嫌疑人昵称等数据进行智能预警，可根据重要程度分级预警，至少具备3级预警模式，及时发现历史同行、同住、同乡、同涉诈软件嫌疑人。</w:t>
            </w:r>
          </w:p>
          <w:p w14:paraId="40EE441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4.提供音视频数据治理服务</w:t>
            </w:r>
          </w:p>
          <w:p w14:paraId="5678D25A">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（1）客户通过服务支撑平台上传素材及要求后，</w:t>
            </w:r>
            <w:r>
              <w:rPr>
                <w:rFonts w:hint="eastAsia"/>
                <w:color w:val="auto"/>
                <w:sz w:val="21"/>
                <w:highlight w:val="none"/>
                <w:lang w:eastAsia="zh-CN"/>
              </w:rPr>
              <w:t>中标人</w:t>
            </w:r>
            <w:r>
              <w:rPr>
                <w:rFonts w:hint="eastAsia"/>
                <w:color w:val="auto"/>
                <w:sz w:val="21"/>
                <w:highlight w:val="none"/>
              </w:rPr>
              <w:t>须在24小时内结果文件回传客户。</w:t>
            </w:r>
          </w:p>
          <w:p w14:paraId="05EF3CCB">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（2）须支持不少于100种常见音视频格式的处理和转换，回传的结果文件需包括音视频文件的源文件基本信息和详细属性。</w:t>
            </w:r>
          </w:p>
          <w:p w14:paraId="2A972A5D">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（3）须支持将多个音频拼接成一个完整的音频文件回传客户。</w:t>
            </w:r>
          </w:p>
          <w:p w14:paraId="59A6BF4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（4）◆支持拼接音频的溯源，</w:t>
            </w:r>
            <w:r>
              <w:rPr>
                <w:rFonts w:hint="eastAsia"/>
                <w:color w:val="auto"/>
                <w:sz w:val="21"/>
                <w:highlight w:val="none"/>
                <w:lang w:eastAsia="zh-CN"/>
              </w:rPr>
              <w:t>采购人</w:t>
            </w:r>
            <w:r>
              <w:rPr>
                <w:rFonts w:hint="eastAsia"/>
                <w:color w:val="auto"/>
                <w:sz w:val="21"/>
                <w:highlight w:val="none"/>
              </w:rPr>
              <w:t>可查看拼接音频的原始音频列表，展示具体组成音频文件的名称以及各原始音频在拼接音频中对应的起始与结束时间段。</w:t>
            </w:r>
          </w:p>
          <w:p w14:paraId="4567071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（5）须根据语音之间声纹的相似程度将音频文件分为若干个组，实现将单人多条语音转换为单人单条语音并回传给客户。</w:t>
            </w:r>
          </w:p>
          <w:p w14:paraId="3E418E13">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（6）须针对包含多说话人的音频，能将不同说话人的音频进行分离，分离后以单人单条音频文件回传客户。</w:t>
            </w:r>
          </w:p>
          <w:p w14:paraId="2465369F">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5.提供声纹特征提取与分析服务</w:t>
            </w:r>
          </w:p>
          <w:p w14:paraId="74A81A08">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（1）客户通过服务支撑平台上传素材及要求后，</w:t>
            </w:r>
            <w:r>
              <w:rPr>
                <w:rFonts w:hint="eastAsia"/>
                <w:color w:val="auto"/>
                <w:sz w:val="21"/>
                <w:highlight w:val="none"/>
                <w:lang w:eastAsia="zh-CN"/>
              </w:rPr>
              <w:t>中标人</w:t>
            </w:r>
            <w:r>
              <w:rPr>
                <w:rFonts w:hint="eastAsia"/>
                <w:color w:val="auto"/>
                <w:sz w:val="21"/>
                <w:highlight w:val="none"/>
              </w:rPr>
              <w:t>须在24小时内结果文件回传客户。</w:t>
            </w:r>
          </w:p>
          <w:p w14:paraId="0D55BE5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结果文件要求对普通话语音非标准发音自动识别与可视化标注，识别语音中不符合标准普通话发音规范的音节、音素，定位错误位置，分类错误类型，并在支撑平台的语谱图上进行可视化标注。错误类型至少包括：声母错误（如：z/c/s 与 zh/ch/sh 混淆、n/l 不分、f/h 混淆等）、韵母错误（如：前后鼻音 -n/-ng 混淆、复韵母简化等）、声调错误（阴平、阳平、上声、去声）、轻声/儿化音缺失或错误、多音字误读等。发音错误检出率 ≥ 85%，误报率 ≤ 15%。</w:t>
            </w:r>
          </w:p>
          <w:p w14:paraId="5FA09E0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支持多模态大模型的声纹比对分析功能，多模态大模型可根据检材及样本音频中出现相同音素的声音特点、语谱图特点、LPC曲线特点、图谱比对数值等，自动识别出最相似的的前15组音素，15组音素完全不重复，支持对识别出的15组音素及对应的语谱图自动截图保存在平台中。</w:t>
            </w:r>
          </w:p>
          <w:p w14:paraId="0E695DE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（4）◆支持自动计算共振峰，共振峰可叠加显示在宽带语谱图上，支持设置共振峰数目、频率范围、帧长、线宽、带宽最大值和展示颜色。</w:t>
            </w:r>
          </w:p>
          <w:p w14:paraId="5977921B">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（5）◆支持对有规律性的异常发音片段进行特殊标记，可以通过预先设定好的特殊标记类型，快速标记并添加到特殊标记列表。支持自定义添加、删除、修改特殊标记类型。</w:t>
            </w:r>
          </w:p>
          <w:p w14:paraId="57026253">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6）支持根据检验鉴定过程中同步采集的全量数据，按照预设模板框架快速生成规范的检验记录初稿并通过支撑平台回传客户。客户可在初稿基础上进行内容增补、修改调整，确保记录完整反映鉴定全过程及结果。</w:t>
            </w:r>
          </w:p>
          <w:p w14:paraId="3FFE17BA">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6.提供电子取证数据包批量处理服务</w:t>
            </w:r>
          </w:p>
          <w:p w14:paraId="65B04D3F">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（1）客户通过服务支撑平台上传电子取证数据包后，</w:t>
            </w:r>
            <w:r>
              <w:rPr>
                <w:rFonts w:hint="eastAsia"/>
                <w:color w:val="auto"/>
                <w:sz w:val="21"/>
                <w:highlight w:val="none"/>
                <w:lang w:eastAsia="zh-CN"/>
              </w:rPr>
              <w:t>中标人</w:t>
            </w:r>
            <w:r>
              <w:rPr>
                <w:rFonts w:hint="eastAsia"/>
                <w:color w:val="auto"/>
                <w:sz w:val="21"/>
                <w:highlight w:val="none"/>
              </w:rPr>
              <w:t>须在24小时</w:t>
            </w:r>
            <w:r>
              <w:rPr>
                <w:rFonts w:hint="eastAsia"/>
                <w:color w:val="auto"/>
                <w:sz w:val="21"/>
                <w:highlight w:val="none"/>
                <w:lang w:eastAsia="zh-CN"/>
              </w:rPr>
              <w:t>内将</w:t>
            </w:r>
            <w:r>
              <w:rPr>
                <w:rFonts w:hint="eastAsia"/>
                <w:color w:val="auto"/>
                <w:sz w:val="21"/>
                <w:highlight w:val="none"/>
              </w:rPr>
              <w:t>结果文件回传客户。</w:t>
            </w:r>
          </w:p>
          <w:p w14:paraId="0FB0578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需支持对电子取证数据包里即时通讯中的语音转写成文字且与原音频精准对应，至少支持普通话、粤语、壮语等语音转文字，转写后的结果文件通过支撑平台回传客户，客户可修改、搜索转写文字。可将转写后文字与数据包一起导出。</w:t>
            </w:r>
          </w:p>
          <w:p w14:paraId="6510853A">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（3）须支持常见刑事涉案术语库，至少覆盖涉诈、涉毒、涉恐、涉黑、走私等领域的专业术语与黑话关键字各100个，确保转写无歧义，支持手动批量导入关键词；</w:t>
            </w:r>
          </w:p>
          <w:p w14:paraId="6DFF33E9">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（4）支持对即时通讯聊天记录中的语音及文字进行分析，根据涉案模型分析出内容是否涉诈、涉贷、涉黄、涉赌、涉毒和涉邪教等非法记录；</w:t>
            </w:r>
          </w:p>
          <w:p w14:paraId="5A967D52">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（5）支持对即时通讯群聊记录中的语音及文字进行分析，提取出群聊话题、关键词、群发言活跃度 Top10 和群发言时段等内容，支持涉诈、涉贷、涉黄、涉赌、涉毒等话题检测和关键词分析；</w:t>
            </w:r>
          </w:p>
          <w:p w14:paraId="130F25D3">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6）支持将海量转写文本通过智能分析浓缩为一页纸级关键信息，方便侦查人员快速掌握案件核心。浓缩信息支持以列表形式呈现涉案人员，含姓名/昵称、身份标识、角色、涉案行为，支持按时间先后排序关键事件，含标注时间、参与人员、事件内容、关联语音文件，支持分类型罗列涉案信息，含涉案物品、资金信息、作案工具、窝点/交易地点。</w:t>
            </w:r>
          </w:p>
          <w:p w14:paraId="2CF2E771">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（三）声纹技术培训及鉴定能力考核服务</w:t>
            </w:r>
          </w:p>
          <w:p w14:paraId="7678BF3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为保障至少有 60 名声纹检验鉴定岗位人员具备独立、规范、高效开展声纹鉴定工作的专业能力，</w:t>
            </w:r>
            <w:r>
              <w:rPr>
                <w:rFonts w:hint="eastAsia"/>
                <w:color w:val="auto"/>
                <w:sz w:val="21"/>
                <w:highlight w:val="none"/>
                <w:lang w:eastAsia="zh-CN"/>
              </w:rPr>
              <w:t>中标人</w:t>
            </w:r>
            <w:r>
              <w:rPr>
                <w:rFonts w:hint="eastAsia"/>
                <w:color w:val="auto"/>
                <w:sz w:val="21"/>
                <w:highlight w:val="none"/>
              </w:rPr>
              <w:t>须提供“理论+实操+考核+复核”四位一体的全流程能力建设服务。通过系统化培训与科学化考核，确保参训人员掌握声纹鉴定核心技术、规范操作流程、案件研判能力，并建立“以考促学、以评促用、专家兜底”的能力保障闭环机制。</w:t>
            </w:r>
          </w:p>
          <w:p w14:paraId="4E3FA7D7">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1.提供声纹技术培训服务。</w:t>
            </w:r>
          </w:p>
          <w:p w14:paraId="6791F5AD">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（1）需为</w:t>
            </w:r>
            <w:r>
              <w:rPr>
                <w:rFonts w:hint="eastAsia"/>
                <w:color w:val="auto"/>
                <w:sz w:val="21"/>
                <w:highlight w:val="none"/>
                <w:lang w:eastAsia="zh-CN"/>
              </w:rPr>
              <w:t>采购人</w:t>
            </w:r>
            <w:r>
              <w:rPr>
                <w:rFonts w:hint="eastAsia"/>
                <w:color w:val="auto"/>
                <w:sz w:val="21"/>
                <w:highlight w:val="none"/>
              </w:rPr>
              <w:t>60名声纹鉴定岗位人员提供不少于120学时/人的系统化培训服务；</w:t>
            </w:r>
          </w:p>
          <w:p w14:paraId="7D60CF3F">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（2）培训内容需涵盖音频语音基础、声纹鉴定理论、声纹鉴定方法技巧、声纹鉴定平台实操、案件预检与样本采集规范等方面；</w:t>
            </w:r>
          </w:p>
          <w:p w14:paraId="1D700E2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（3）培训形式需支持线下集中授课与内网在线学习相结合，确保理论与实操比例合理；</w:t>
            </w:r>
          </w:p>
          <w:p w14:paraId="54CA9F40">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（4）培训讲师须具备行业权威资质，主讲教师须具备声纹鉴定领域8年以上实战经验、国内语音类专业司法鉴定人执业证或公安部/司法部认证培训师资格，需提供简历与资质证明。</w:t>
            </w:r>
          </w:p>
          <w:p w14:paraId="68DE4962">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（5）需提交全套电子/纸质培训教材，教材内容需符合公安部及司法部现行技术规范。</w:t>
            </w:r>
          </w:p>
          <w:p w14:paraId="3E7221C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2.提供声纹鉴定能力考核服务</w:t>
            </w:r>
          </w:p>
          <w:p w14:paraId="7B6480A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1）培训后须组织标准化能力考核，通过线上平台推送实战案例，从流程规范、技术准确、分析深度、报告质量、操作效率五个维度自动评分并生成个人能力报告，支持对学员所做案件进行多维度统计分析，生成考核报告评估学习成果与实践能力；</w:t>
            </w:r>
          </w:p>
          <w:p w14:paraId="5891FE0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（2）考核通过率不低于90%，未达标部分，</w:t>
            </w:r>
            <w:r>
              <w:rPr>
                <w:rFonts w:hint="eastAsia"/>
                <w:color w:val="auto"/>
                <w:sz w:val="21"/>
                <w:highlight w:val="none"/>
                <w:lang w:eastAsia="zh-CN"/>
              </w:rPr>
              <w:t>中标人</w:t>
            </w:r>
            <w:r>
              <w:rPr>
                <w:rFonts w:hint="eastAsia"/>
                <w:color w:val="auto"/>
                <w:sz w:val="21"/>
                <w:highlight w:val="none"/>
              </w:rPr>
              <w:t>须无条件免费补训；</w:t>
            </w:r>
          </w:p>
          <w:p w14:paraId="49682FC5">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（3）</w:t>
            </w:r>
            <w:r>
              <w:rPr>
                <w:rFonts w:hint="eastAsia"/>
                <w:color w:val="auto"/>
                <w:sz w:val="21"/>
                <w:highlight w:val="none"/>
                <w:lang w:eastAsia="zh-CN"/>
              </w:rPr>
              <w:t>中标人</w:t>
            </w:r>
            <w:r>
              <w:rPr>
                <w:rFonts w:hint="eastAsia"/>
                <w:color w:val="auto"/>
                <w:sz w:val="21"/>
                <w:highlight w:val="none"/>
              </w:rPr>
              <w:t>须提供全套考核题库、能力档案，确保参训人员具备独立上岗能力。</w:t>
            </w:r>
          </w:p>
          <w:p w14:paraId="0EADDBE0">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（四）提供定制开发与业务适配服务</w:t>
            </w:r>
          </w:p>
          <w:p w14:paraId="4174D3E4">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1.</w:t>
            </w:r>
            <w:r>
              <w:rPr>
                <w:rFonts w:hint="eastAsia"/>
                <w:color w:val="auto"/>
                <w:sz w:val="21"/>
                <w:highlight w:val="none"/>
              </w:rPr>
              <w:t xml:space="preserve">▲须支持根据客户需求进行软件定制开发，满足特定业务场景需求； </w:t>
            </w:r>
          </w:p>
          <w:p w14:paraId="0A7BCDBC">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2.</w:t>
            </w:r>
            <w:r>
              <w:rPr>
                <w:rFonts w:hint="eastAsia"/>
                <w:color w:val="auto"/>
                <w:sz w:val="21"/>
                <w:highlight w:val="none"/>
              </w:rPr>
              <w:t>须支持处理需求变更，评估并实施新的功能或改进。</w:t>
            </w:r>
          </w:p>
          <w:p w14:paraId="556700D5">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（五）提供案件协查服务</w:t>
            </w:r>
          </w:p>
          <w:p w14:paraId="2AF520F6">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rPr>
              <w:t>为支撑</w:t>
            </w:r>
            <w:r>
              <w:rPr>
                <w:rFonts w:hint="eastAsia"/>
                <w:color w:val="auto"/>
                <w:sz w:val="21"/>
                <w:highlight w:val="none"/>
                <w:lang w:eastAsia="zh-CN"/>
              </w:rPr>
              <w:t>采购人</w:t>
            </w:r>
            <w:r>
              <w:rPr>
                <w:rFonts w:hint="eastAsia"/>
                <w:color w:val="auto"/>
                <w:sz w:val="21"/>
                <w:highlight w:val="none"/>
              </w:rPr>
              <w:t>在重大、系列、跨区域刑事案件侦办中高效开展声纹分析研判，</w:t>
            </w:r>
            <w:r>
              <w:rPr>
                <w:rFonts w:hint="eastAsia"/>
                <w:color w:val="auto"/>
                <w:sz w:val="21"/>
                <w:highlight w:val="none"/>
                <w:lang w:eastAsia="zh-CN"/>
              </w:rPr>
              <w:t>中标人</w:t>
            </w:r>
            <w:r>
              <w:rPr>
                <w:rFonts w:hint="eastAsia"/>
                <w:color w:val="auto"/>
                <w:sz w:val="21"/>
                <w:highlight w:val="none"/>
              </w:rPr>
              <w:t>须在3年服务期内，提供多层次、多维度、跨区域、智能化的案件协查服务。通过挖掘语音隐性特征、输出研判线索，切实提升串并案能力、扩大侦查战果、提高声纹比中率，构建“数据驱动、智能辅助、全国协同”的声纹侦查新格局。</w:t>
            </w:r>
          </w:p>
          <w:p w14:paraId="37FEDF2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1.</w:t>
            </w:r>
            <w:r>
              <w:rPr>
                <w:rFonts w:hint="eastAsia"/>
                <w:color w:val="auto"/>
                <w:sz w:val="21"/>
                <w:highlight w:val="none"/>
              </w:rPr>
              <w:t>▲需提供跨省声纹库资源协同调用服务，协助</w:t>
            </w:r>
            <w:r>
              <w:rPr>
                <w:rFonts w:hint="eastAsia"/>
                <w:color w:val="auto"/>
                <w:sz w:val="21"/>
                <w:highlight w:val="none"/>
                <w:lang w:eastAsia="zh-CN"/>
              </w:rPr>
              <w:t>采购人</w:t>
            </w:r>
            <w:r>
              <w:rPr>
                <w:rFonts w:hint="eastAsia"/>
                <w:color w:val="auto"/>
                <w:sz w:val="21"/>
                <w:highlight w:val="none"/>
              </w:rPr>
              <w:t>合法合规调用外省公安声纹库资源，开展涉案语音数据比对，提供跨库比对结果融合分析报告，标注匹配对象所属省份、入库时间、关联案件编号；</w:t>
            </w:r>
          </w:p>
          <w:p w14:paraId="344B812D">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2.</w:t>
            </w:r>
            <w:r>
              <w:rPr>
                <w:rFonts w:hint="eastAsia"/>
                <w:color w:val="auto"/>
                <w:sz w:val="21"/>
                <w:highlight w:val="none"/>
              </w:rPr>
              <w:t>需提供语音多维特征智能解析服务，从涉案语音中提取非声纹身份类线索，辅助侦查方向研判；</w:t>
            </w:r>
          </w:p>
          <w:p w14:paraId="3F17B648">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3.</w:t>
            </w:r>
            <w:r>
              <w:rPr>
                <w:rFonts w:hint="eastAsia"/>
                <w:color w:val="auto"/>
                <w:sz w:val="21"/>
                <w:highlight w:val="none"/>
              </w:rPr>
              <w:t>需提供串并案智能推荐与战果扩大服务，构建“声纹-案件-嫌疑人”关联图谱，可视化展示团伙网络、活动轨迹、作案模式；</w:t>
            </w:r>
          </w:p>
          <w:p w14:paraId="57877B53">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4.</w:t>
            </w:r>
            <w:r>
              <w:rPr>
                <w:rFonts w:hint="eastAsia"/>
                <w:color w:val="auto"/>
                <w:sz w:val="21"/>
                <w:highlight w:val="none"/>
              </w:rPr>
              <w:t>需提供专家级研判支持服务，对</w:t>
            </w:r>
            <w:r>
              <w:rPr>
                <w:rFonts w:hint="eastAsia"/>
                <w:color w:val="auto"/>
                <w:sz w:val="21"/>
                <w:highlight w:val="none"/>
                <w:lang w:eastAsia="zh-CN"/>
              </w:rPr>
              <w:t>采购人</w:t>
            </w:r>
            <w:r>
              <w:rPr>
                <w:rFonts w:hint="eastAsia"/>
                <w:color w:val="auto"/>
                <w:sz w:val="21"/>
                <w:highlight w:val="none"/>
              </w:rPr>
              <w:t>提交的重大、疑难、争议性案件，提供声纹专家“一对一”研判服务。专家服务内容包括：声纹特征复核、伪装语音分析、出具专家辅助意见书。支持视频会商、远程会检等方式。专家响应时间 不超过1个工作日。</w:t>
            </w:r>
          </w:p>
          <w:p w14:paraId="5AA231A8">
            <w:pPr>
              <w:pStyle w:val="4"/>
              <w:keepNext w:val="0"/>
              <w:keepLines w:val="0"/>
              <w:pageBreakBefore w:val="0"/>
              <w:widowControl w:val="0"/>
              <w:kinsoku/>
              <w:wordWrap/>
              <w:overflowPunct/>
              <w:topLinePunct w:val="0"/>
              <w:autoSpaceDE/>
              <w:autoSpaceDN/>
              <w:bidi w:val="0"/>
              <w:adjustRightInd/>
              <w:spacing w:line="420" w:lineRule="exact"/>
              <w:jc w:val="left"/>
              <w:rPr>
                <w:rFonts w:hint="eastAsia"/>
                <w:b/>
                <w:bCs/>
                <w:color w:val="auto"/>
                <w:sz w:val="21"/>
                <w:highlight w:val="none"/>
              </w:rPr>
            </w:pPr>
            <w:r>
              <w:rPr>
                <w:rFonts w:hint="eastAsia"/>
                <w:b/>
                <w:bCs/>
                <w:color w:val="auto"/>
                <w:sz w:val="21"/>
                <w:highlight w:val="none"/>
              </w:rPr>
              <w:t>（六）技术人员驻场服务</w:t>
            </w:r>
          </w:p>
          <w:p w14:paraId="36166BD3">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1.</w:t>
            </w:r>
            <w:r>
              <w:rPr>
                <w:rFonts w:hint="eastAsia"/>
                <w:color w:val="auto"/>
                <w:sz w:val="21"/>
                <w:highlight w:val="none"/>
              </w:rPr>
              <w:t>须派遣技术人员提供驻场服务，服务期限为3年</w:t>
            </w:r>
            <w:r>
              <w:rPr>
                <w:rFonts w:hint="eastAsia"/>
                <w:color w:val="auto"/>
                <w:sz w:val="21"/>
                <w:highlight w:val="none"/>
                <w:lang w:eastAsia="zh-CN"/>
              </w:rPr>
              <w:t>；</w:t>
            </w:r>
          </w:p>
          <w:p w14:paraId="2CA9A28E">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2.</w:t>
            </w:r>
            <w:r>
              <w:rPr>
                <w:rFonts w:hint="eastAsia"/>
                <w:color w:val="auto"/>
                <w:sz w:val="21"/>
                <w:highlight w:val="none"/>
              </w:rPr>
              <w:t>须定期对服务端及所有客户端进行巡检及性能优化</w:t>
            </w:r>
            <w:r>
              <w:rPr>
                <w:rFonts w:hint="eastAsia"/>
                <w:color w:val="auto"/>
                <w:sz w:val="21"/>
                <w:highlight w:val="none"/>
                <w:lang w:eastAsia="zh-CN"/>
              </w:rPr>
              <w:t>；</w:t>
            </w:r>
          </w:p>
          <w:p w14:paraId="70D5A8F5">
            <w:pPr>
              <w:pStyle w:val="4"/>
              <w:keepNext w:val="0"/>
              <w:keepLines w:val="0"/>
              <w:pageBreakBefore w:val="0"/>
              <w:widowControl w:val="0"/>
              <w:kinsoku/>
              <w:wordWrap/>
              <w:overflowPunct/>
              <w:topLinePunct w:val="0"/>
              <w:autoSpaceDE/>
              <w:autoSpaceDN/>
              <w:bidi w:val="0"/>
              <w:adjustRightInd/>
              <w:spacing w:line="420" w:lineRule="exact"/>
              <w:jc w:val="left"/>
              <w:rPr>
                <w:rFonts w:hint="eastAsia"/>
                <w:color w:val="auto"/>
                <w:sz w:val="21"/>
                <w:highlight w:val="none"/>
              </w:rPr>
            </w:pPr>
            <w:r>
              <w:rPr>
                <w:rFonts w:hint="eastAsia"/>
                <w:color w:val="auto"/>
                <w:sz w:val="21"/>
                <w:highlight w:val="none"/>
                <w:lang w:val="en-US" w:eastAsia="zh-CN"/>
              </w:rPr>
              <w:t>3.</w:t>
            </w:r>
            <w:r>
              <w:rPr>
                <w:rFonts w:hint="eastAsia"/>
                <w:color w:val="auto"/>
                <w:sz w:val="21"/>
                <w:highlight w:val="none"/>
              </w:rPr>
              <w:t>须提供软件及数据资源维护服务，其中软件至少包括：应用软件、操作系统、数据库等。数据资源至少包括：服务端与客户端各类产生的数据等。维护内容应至少包括：日常性维护、完善性维护、预防性维护、数据资源维护等</w:t>
            </w:r>
            <w:r>
              <w:rPr>
                <w:rFonts w:hint="eastAsia"/>
                <w:color w:val="auto"/>
                <w:sz w:val="21"/>
                <w:highlight w:val="none"/>
                <w:lang w:eastAsia="zh-CN"/>
              </w:rPr>
              <w:t>；</w:t>
            </w:r>
          </w:p>
          <w:p w14:paraId="06857D3D">
            <w:pPr>
              <w:pStyle w:val="4"/>
              <w:keepNext w:val="0"/>
              <w:keepLines w:val="0"/>
              <w:pageBreakBefore w:val="0"/>
              <w:widowControl w:val="0"/>
              <w:kinsoku/>
              <w:wordWrap/>
              <w:overflowPunct/>
              <w:topLinePunct w:val="0"/>
              <w:autoSpaceDE/>
              <w:autoSpaceDN/>
              <w:bidi w:val="0"/>
              <w:adjustRightInd/>
              <w:spacing w:line="420" w:lineRule="exact"/>
              <w:jc w:val="left"/>
              <w:rPr>
                <w:color w:val="auto"/>
                <w:sz w:val="21"/>
                <w:highlight w:val="none"/>
              </w:rPr>
            </w:pPr>
            <w:r>
              <w:rPr>
                <w:rFonts w:hint="eastAsia"/>
                <w:color w:val="auto"/>
                <w:sz w:val="21"/>
                <w:highlight w:val="none"/>
                <w:lang w:val="en-US" w:eastAsia="zh-CN"/>
              </w:rPr>
              <w:t>4.</w:t>
            </w:r>
            <w:r>
              <w:rPr>
                <w:rFonts w:hint="eastAsia"/>
                <w:color w:val="auto"/>
                <w:sz w:val="21"/>
                <w:highlight w:val="none"/>
              </w:rPr>
              <w:t>在服务期内，</w:t>
            </w:r>
            <w:r>
              <w:rPr>
                <w:rFonts w:hint="eastAsia"/>
                <w:color w:val="auto"/>
                <w:sz w:val="21"/>
                <w:highlight w:val="none"/>
                <w:lang w:eastAsia="zh-CN"/>
              </w:rPr>
              <w:t>中标人</w:t>
            </w:r>
            <w:r>
              <w:rPr>
                <w:rFonts w:hint="eastAsia"/>
                <w:color w:val="auto"/>
                <w:sz w:val="21"/>
                <w:highlight w:val="none"/>
              </w:rPr>
              <w:t>需向</w:t>
            </w:r>
            <w:r>
              <w:rPr>
                <w:rFonts w:hint="eastAsia"/>
                <w:color w:val="auto"/>
                <w:sz w:val="21"/>
                <w:highlight w:val="none"/>
                <w:lang w:eastAsia="zh-CN"/>
              </w:rPr>
              <w:t>采购人</w:t>
            </w:r>
            <w:r>
              <w:rPr>
                <w:rFonts w:hint="eastAsia"/>
                <w:color w:val="auto"/>
                <w:sz w:val="21"/>
                <w:highlight w:val="none"/>
              </w:rPr>
              <w:t>提供以下技术支持与服务：7×24小时的技术支持，在服务平台交付使用后，在采购人执行任务、敏感时期、重大节假日提供技术人员专门值守服务及技术支持；</w:t>
            </w:r>
            <w:r>
              <w:rPr>
                <w:rFonts w:hint="eastAsia"/>
                <w:color w:val="auto"/>
                <w:sz w:val="21"/>
                <w:highlight w:val="none"/>
                <w:lang w:eastAsia="zh-CN"/>
              </w:rPr>
              <w:t>突发</w:t>
            </w:r>
            <w:r>
              <w:rPr>
                <w:rFonts w:hint="eastAsia"/>
                <w:color w:val="auto"/>
                <w:sz w:val="21"/>
                <w:highlight w:val="none"/>
              </w:rPr>
              <w:t>故障时，维护人员提供电话、微信等远程技术支持服务，半小时内电话或微信远程等方式无法解决故障问题的，2小时内到达现场处理，一般故障6小时内解决问题，重大故障24小时内解决问题，并提交故障报告说明。</w:t>
            </w:r>
          </w:p>
        </w:tc>
      </w:tr>
      <w:tr w14:paraId="378D19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0161" w:type="dxa"/>
            <w:gridSpan w:val="6"/>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48B566FE">
            <w:pPr>
              <w:keepNext w:val="0"/>
              <w:keepLines w:val="0"/>
              <w:pageBreakBefore w:val="0"/>
              <w:widowControl w:val="0"/>
              <w:kinsoku/>
              <w:wordWrap/>
              <w:overflowPunct/>
              <w:topLinePunct w:val="0"/>
              <w:autoSpaceDE/>
              <w:autoSpaceDN/>
              <w:bidi w:val="0"/>
              <w:adjustRightInd/>
              <w:spacing w:line="420" w:lineRule="exact"/>
              <w:jc w:val="left"/>
              <w:textAlignment w:val="baseline"/>
              <w:rPr>
                <w:rStyle w:val="10"/>
                <w:rFonts w:hint="eastAsia" w:ascii="宋体" w:hAnsi="宋体"/>
                <w:b/>
                <w:color w:val="auto"/>
                <w:szCs w:val="21"/>
                <w:highlight w:val="none"/>
              </w:rPr>
            </w:pPr>
            <w:r>
              <w:rPr>
                <w:rStyle w:val="10"/>
                <w:rFonts w:hint="eastAsia" w:ascii="宋体" w:hAnsi="宋体"/>
                <w:b/>
                <w:color w:val="auto"/>
                <w:szCs w:val="21"/>
                <w:highlight w:val="none"/>
              </w:rPr>
              <w:t>二、</w:t>
            </w:r>
            <w:r>
              <w:rPr>
                <w:rFonts w:hint="eastAsia" w:ascii="宋体" w:hAnsi="宋体" w:cs="宋体"/>
                <w:b/>
                <w:color w:val="auto"/>
                <w:highlight w:val="none"/>
              </w:rPr>
              <w:t>▲</w:t>
            </w:r>
            <w:r>
              <w:rPr>
                <w:rStyle w:val="10"/>
                <w:rFonts w:hint="eastAsia" w:ascii="宋体" w:hAnsi="宋体"/>
                <w:b/>
                <w:color w:val="auto"/>
                <w:szCs w:val="21"/>
                <w:highlight w:val="none"/>
              </w:rPr>
              <w:t>商务要求表</w:t>
            </w:r>
          </w:p>
        </w:tc>
      </w:tr>
      <w:tr w14:paraId="116252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1861" w:type="dxa"/>
            <w:gridSpan w:val="2"/>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592CD0EB">
            <w:pPr>
              <w:keepNext w:val="0"/>
              <w:keepLines w:val="0"/>
              <w:pageBreakBefore w:val="0"/>
              <w:widowControl w:val="0"/>
              <w:kinsoku/>
              <w:wordWrap/>
              <w:overflowPunct/>
              <w:topLinePunct w:val="0"/>
              <w:autoSpaceDE/>
              <w:autoSpaceDN/>
              <w:bidi w:val="0"/>
              <w:adjustRightInd/>
              <w:snapToGrid w:val="0"/>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kern w:val="0"/>
                <w:szCs w:val="21"/>
                <w:highlight w:val="none"/>
              </w:rPr>
              <w:t>投标</w:t>
            </w:r>
            <w:r>
              <w:rPr>
                <w:rStyle w:val="10"/>
                <w:rFonts w:hint="eastAsia" w:ascii="宋体" w:hAnsi="宋体"/>
                <w:color w:val="auto"/>
                <w:szCs w:val="21"/>
                <w:highlight w:val="none"/>
              </w:rPr>
              <w:t>报价要求</w:t>
            </w:r>
          </w:p>
        </w:tc>
        <w:tc>
          <w:tcPr>
            <w:tcW w:w="8300" w:type="dxa"/>
            <w:gridSpan w:val="4"/>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35BDC505">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kern w:val="0"/>
                <w:szCs w:val="21"/>
                <w:highlight w:val="none"/>
                <w:lang w:val="zh-CN"/>
              </w:rPr>
            </w:pPr>
            <w:r>
              <w:rPr>
                <w:rStyle w:val="10"/>
                <w:rFonts w:hint="eastAsia" w:ascii="宋体" w:hAnsi="宋体"/>
                <w:color w:val="auto"/>
                <w:szCs w:val="21"/>
                <w:highlight w:val="none"/>
              </w:rPr>
              <w:t>1.</w:t>
            </w:r>
            <w:r>
              <w:rPr>
                <w:rStyle w:val="10"/>
                <w:rFonts w:hint="eastAsia" w:ascii="宋体" w:hAnsi="宋体"/>
                <w:color w:val="auto"/>
                <w:kern w:val="0"/>
                <w:szCs w:val="21"/>
                <w:highlight w:val="none"/>
              </w:rPr>
              <w:t>投标报价应包括采购需求表中全部服务内容价款及服务所涉及的</w:t>
            </w:r>
            <w:r>
              <w:rPr>
                <w:rStyle w:val="10"/>
                <w:rFonts w:hint="eastAsia" w:ascii="宋体" w:hAnsi="宋体"/>
                <w:color w:val="auto"/>
                <w:kern w:val="0"/>
                <w:szCs w:val="21"/>
                <w:highlight w:val="none"/>
                <w:lang w:val="en-US"/>
              </w:rPr>
              <w:t>定制、</w:t>
            </w:r>
            <w:r>
              <w:rPr>
                <w:rFonts w:hint="eastAsia" w:ascii="宋体" w:hAnsi="宋体" w:eastAsia="宋体" w:cs="宋体"/>
                <w:bCs/>
                <w:color w:val="auto"/>
                <w:kern w:val="2"/>
                <w:sz w:val="21"/>
                <w:highlight w:val="none"/>
                <w:lang w:val="zh-CN"/>
              </w:rPr>
              <w:t>开发、</w:t>
            </w:r>
            <w:r>
              <w:rPr>
                <w:rStyle w:val="10"/>
                <w:rFonts w:hint="eastAsia" w:ascii="宋体" w:hAnsi="宋体"/>
                <w:color w:val="auto"/>
                <w:kern w:val="0"/>
                <w:szCs w:val="21"/>
                <w:highlight w:val="none"/>
              </w:rPr>
              <w:t>配件、备品备件、工具、材料、运输、装卸、安装、调试、验收、培训、技术支持、维护服务、线路故障紧急抢险辅助等费用及必要的保险费用和各项税金等</w:t>
            </w:r>
            <w:r>
              <w:rPr>
                <w:rFonts w:hint="eastAsia" w:ascii="宋体" w:hAnsi="宋体" w:cs="宋体"/>
                <w:color w:val="auto"/>
                <w:kern w:val="0"/>
                <w:szCs w:val="21"/>
                <w:highlight w:val="none"/>
                <w:lang w:val="zh-CN"/>
              </w:rPr>
              <w:t>。</w:t>
            </w:r>
          </w:p>
          <w:p w14:paraId="00DA7C5E">
            <w:pPr>
              <w:keepNext w:val="0"/>
              <w:keepLines w:val="0"/>
              <w:pageBreakBefore w:val="0"/>
              <w:widowControl w:val="0"/>
              <w:kinsoku/>
              <w:wordWrap/>
              <w:overflowPunct/>
              <w:topLinePunct w:val="0"/>
              <w:autoSpaceDE/>
              <w:autoSpaceDN/>
              <w:bidi w:val="0"/>
              <w:adjustRightInd/>
              <w:spacing w:line="420" w:lineRule="exact"/>
              <w:textAlignment w:val="baseline"/>
              <w:rPr>
                <w:rFonts w:hint="eastAsia" w:ascii="宋体" w:hAnsi="宋体" w:cs="宋体"/>
                <w:color w:val="auto"/>
                <w:highlight w:val="none"/>
              </w:rPr>
            </w:pPr>
            <w:r>
              <w:rPr>
                <w:rStyle w:val="10"/>
                <w:rFonts w:hint="eastAsia" w:ascii="宋体" w:hAnsi="宋体"/>
                <w:color w:val="auto"/>
                <w:szCs w:val="21"/>
                <w:highlight w:val="none"/>
              </w:rPr>
              <w:t>2.对于招标文件中未列明，而投标人认为必须的费用，由投标人综合考虑并列入总报价中。在合同实施时，采购人将不予支付中标人没有列入的项目费用，并认为此项目的费用已包括在总报价中。</w:t>
            </w:r>
          </w:p>
        </w:tc>
      </w:tr>
      <w:tr w14:paraId="2EC62A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02" w:hRule="atLeast"/>
          <w:jc w:val="center"/>
        </w:trPr>
        <w:tc>
          <w:tcPr>
            <w:tcW w:w="1861" w:type="dxa"/>
            <w:gridSpan w:val="2"/>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15D34846">
            <w:pPr>
              <w:keepNext w:val="0"/>
              <w:keepLines w:val="0"/>
              <w:pageBreakBefore w:val="0"/>
              <w:widowControl w:val="0"/>
              <w:kinsoku/>
              <w:wordWrap/>
              <w:overflowPunct/>
              <w:topLinePunct w:val="0"/>
              <w:autoSpaceDE/>
              <w:autoSpaceDN/>
              <w:bidi w:val="0"/>
              <w:adjustRightInd/>
              <w:spacing w:line="420" w:lineRule="exact"/>
              <w:jc w:val="center"/>
              <w:rPr>
                <w:rStyle w:val="10"/>
                <w:rFonts w:hint="eastAsia" w:ascii="宋体" w:hAnsi="宋体"/>
                <w:color w:val="auto"/>
                <w:kern w:val="0"/>
                <w:szCs w:val="21"/>
                <w:highlight w:val="none"/>
              </w:rPr>
            </w:pPr>
            <w:r>
              <w:rPr>
                <w:rFonts w:hint="eastAsia" w:ascii="宋体" w:hAnsi="宋体" w:cs="宋体"/>
                <w:color w:val="auto"/>
                <w:szCs w:val="21"/>
                <w:highlight w:val="none"/>
              </w:rPr>
              <w:t>服务期限、地点</w:t>
            </w:r>
          </w:p>
        </w:tc>
        <w:tc>
          <w:tcPr>
            <w:tcW w:w="8300" w:type="dxa"/>
            <w:gridSpan w:val="4"/>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02906BA7">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lang w:val="en-US" w:eastAsia="zh-CN"/>
              </w:rPr>
              <w:t>自签订合同之日起10天内开始提供服务；合同期</w:t>
            </w:r>
            <w:r>
              <w:rPr>
                <w:rFonts w:hint="eastAsia" w:ascii="宋体" w:hAnsi="宋体" w:cs="宋体"/>
                <w:color w:val="auto"/>
                <w:szCs w:val="21"/>
                <w:highlight w:val="none"/>
              </w:rPr>
              <w:t>3年，具体服务起止时间以合同约定日期为准。</w:t>
            </w:r>
          </w:p>
          <w:p w14:paraId="49E10328">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2.服务地点：采购人指定地点。</w:t>
            </w:r>
          </w:p>
        </w:tc>
      </w:tr>
      <w:tr w14:paraId="3DBFF5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52" w:hRule="atLeast"/>
          <w:jc w:val="center"/>
        </w:trPr>
        <w:tc>
          <w:tcPr>
            <w:tcW w:w="1861" w:type="dxa"/>
            <w:gridSpan w:val="2"/>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6A0D0A13">
            <w:pPr>
              <w:keepNext w:val="0"/>
              <w:keepLines w:val="0"/>
              <w:pageBreakBefore w:val="0"/>
              <w:widowControl w:val="0"/>
              <w:kinsoku/>
              <w:wordWrap/>
              <w:overflowPunct/>
              <w:topLinePunct w:val="0"/>
              <w:autoSpaceDE/>
              <w:autoSpaceDN/>
              <w:bidi w:val="0"/>
              <w:adjustRightInd/>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付款方式</w:t>
            </w:r>
          </w:p>
        </w:tc>
        <w:tc>
          <w:tcPr>
            <w:tcW w:w="8300" w:type="dxa"/>
            <w:gridSpan w:val="4"/>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48D5FFBC">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color w:val="auto"/>
                <w:szCs w:val="21"/>
                <w:highlight w:val="none"/>
              </w:rPr>
            </w:pPr>
            <w:r>
              <w:rPr>
                <w:rStyle w:val="10"/>
                <w:rFonts w:hint="eastAsia" w:ascii="宋体" w:hAnsi="宋体" w:eastAsia="宋体" w:cs="宋体"/>
                <w:color w:val="auto"/>
                <w:szCs w:val="21"/>
                <w:highlight w:val="none"/>
              </w:rPr>
              <w:t>合同签订完毕，</w:t>
            </w:r>
            <w:r>
              <w:rPr>
                <w:rStyle w:val="10"/>
                <w:rFonts w:hint="eastAsia" w:ascii="宋体" w:hAnsi="宋体" w:cs="宋体"/>
                <w:color w:val="auto"/>
                <w:szCs w:val="21"/>
                <w:highlight w:val="none"/>
              </w:rPr>
              <w:t>中标人</w:t>
            </w:r>
            <w:r>
              <w:rPr>
                <w:rStyle w:val="10"/>
                <w:rFonts w:hint="eastAsia" w:ascii="宋体" w:hAnsi="宋体" w:eastAsia="宋体" w:cs="宋体"/>
                <w:color w:val="auto"/>
                <w:szCs w:val="21"/>
                <w:highlight w:val="none"/>
              </w:rPr>
              <w:t>正式开始按照投标文件响应承诺提供完整服务</w:t>
            </w:r>
            <w:r>
              <w:rPr>
                <w:rStyle w:val="10"/>
                <w:rFonts w:hint="eastAsia" w:ascii="宋体" w:hAnsi="宋体" w:cs="宋体"/>
                <w:color w:val="auto"/>
                <w:szCs w:val="21"/>
                <w:highlight w:val="none"/>
              </w:rPr>
              <w:t>并通过采购人初步验收、各项服务</w:t>
            </w:r>
            <w:r>
              <w:rPr>
                <w:rStyle w:val="10"/>
                <w:rFonts w:hint="eastAsia" w:ascii="宋体" w:hAnsi="宋体" w:eastAsia="宋体" w:cs="宋体"/>
                <w:color w:val="auto"/>
                <w:szCs w:val="21"/>
                <w:highlight w:val="none"/>
              </w:rPr>
              <w:t>稳定运行15个工作日后</w:t>
            </w:r>
            <w:r>
              <w:rPr>
                <w:rStyle w:val="10"/>
                <w:rFonts w:hint="eastAsia" w:ascii="宋体" w:hAnsi="宋体" w:cs="宋体"/>
                <w:color w:val="auto"/>
                <w:szCs w:val="21"/>
                <w:highlight w:val="none"/>
              </w:rPr>
              <w:t>，</w:t>
            </w:r>
            <w:r>
              <w:rPr>
                <w:rStyle w:val="10"/>
                <w:rFonts w:hint="eastAsia" w:ascii="宋体" w:hAnsi="宋体" w:eastAsia="宋体" w:cs="宋体"/>
                <w:color w:val="auto"/>
                <w:szCs w:val="21"/>
                <w:highlight w:val="none"/>
              </w:rPr>
              <w:t>由</w:t>
            </w:r>
            <w:r>
              <w:rPr>
                <w:rStyle w:val="10"/>
                <w:rFonts w:hint="eastAsia" w:ascii="宋体" w:hAnsi="宋体" w:cs="宋体"/>
                <w:color w:val="auto"/>
                <w:szCs w:val="21"/>
                <w:highlight w:val="none"/>
              </w:rPr>
              <w:t>采购人</w:t>
            </w:r>
            <w:r>
              <w:rPr>
                <w:rStyle w:val="10"/>
                <w:rFonts w:hint="eastAsia" w:ascii="宋体" w:hAnsi="宋体" w:eastAsia="宋体" w:cs="宋体"/>
                <w:color w:val="auto"/>
                <w:szCs w:val="21"/>
                <w:highlight w:val="none"/>
              </w:rPr>
              <w:t>向财政部门申请支付第1年服务费用（为中标金额的1/3）</w:t>
            </w:r>
            <w:r>
              <w:rPr>
                <w:rStyle w:val="10"/>
                <w:rFonts w:hint="eastAsia" w:ascii="宋体" w:hAnsi="宋体" w:cs="宋体"/>
                <w:color w:val="auto"/>
                <w:szCs w:val="21"/>
                <w:highlight w:val="none"/>
              </w:rPr>
              <w:t>。</w:t>
            </w:r>
          </w:p>
          <w:p w14:paraId="19DFC6B1">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第一年服务期满后，采购人将组织评审，若各项服务均达到合同要求，采购人在收到发票后7个工作日内</w:t>
            </w:r>
            <w:r>
              <w:rPr>
                <w:rStyle w:val="10"/>
                <w:rFonts w:hint="eastAsia" w:ascii="宋体" w:hAnsi="宋体" w:eastAsia="宋体" w:cs="宋体"/>
                <w:color w:val="auto"/>
                <w:szCs w:val="21"/>
                <w:highlight w:val="none"/>
              </w:rPr>
              <w:t>向财政部门申请支付第</w:t>
            </w:r>
            <w:r>
              <w:rPr>
                <w:rStyle w:val="10"/>
                <w:rFonts w:hint="eastAsia" w:ascii="宋体" w:hAnsi="宋体"/>
                <w:color w:val="auto"/>
                <w:szCs w:val="21"/>
                <w:highlight w:val="none"/>
              </w:rPr>
              <w:t>二年服务费用（为中标金额的1/3）。</w:t>
            </w:r>
          </w:p>
          <w:p w14:paraId="08A0114A">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第二年服务期满后，采购人将组织评审，若各项服务均达到合同要求，采购人在收到发票后7个工作日内</w:t>
            </w:r>
            <w:r>
              <w:rPr>
                <w:rStyle w:val="10"/>
                <w:rFonts w:hint="eastAsia" w:ascii="宋体" w:hAnsi="宋体" w:eastAsia="宋体" w:cs="宋体"/>
                <w:color w:val="auto"/>
                <w:szCs w:val="21"/>
                <w:highlight w:val="none"/>
              </w:rPr>
              <w:t>向财政部门申请支付第</w:t>
            </w:r>
            <w:r>
              <w:rPr>
                <w:rStyle w:val="10"/>
                <w:rFonts w:hint="eastAsia" w:ascii="宋体" w:hAnsi="宋体"/>
                <w:color w:val="auto"/>
                <w:szCs w:val="21"/>
                <w:highlight w:val="none"/>
              </w:rPr>
              <w:t>三年服务费用（为中标金额的1/3）。</w:t>
            </w:r>
          </w:p>
          <w:p w14:paraId="17B87503">
            <w:pPr>
              <w:keepNext w:val="0"/>
              <w:keepLines w:val="0"/>
              <w:pageBreakBefore w:val="0"/>
              <w:widowControl w:val="0"/>
              <w:kinsoku/>
              <w:wordWrap/>
              <w:overflowPunct/>
              <w:topLinePunct w:val="0"/>
              <w:autoSpaceDE/>
              <w:autoSpaceDN/>
              <w:bidi w:val="0"/>
              <w:adjustRightInd/>
              <w:spacing w:line="420" w:lineRule="exact"/>
              <w:textAlignment w:val="baseline"/>
              <w:rPr>
                <w:rFonts w:hint="eastAsia"/>
              </w:rPr>
            </w:pPr>
            <w:r>
              <w:rPr>
                <w:rStyle w:val="10"/>
                <w:rFonts w:hint="eastAsia" w:ascii="宋体" w:hAnsi="宋体" w:cs="宋体"/>
                <w:color w:val="auto"/>
                <w:szCs w:val="21"/>
                <w:highlight w:val="none"/>
              </w:rPr>
              <w:t>注：因采购人使用的是财政资金，合同前款规定的付款时间为采购人向政府采购支付部门提出办理财政支付申请手续的时间（不含政府财政支付部门审核的时间），采购人在规定时间内提出支付申请手续后即视为采购人已经按期支付。资金到账时间以财政部门资金审批进度为准，若有其它特殊情况，由双方共同协商。</w:t>
            </w:r>
          </w:p>
        </w:tc>
      </w:tr>
      <w:tr w14:paraId="3C93CE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52" w:hRule="atLeast"/>
          <w:jc w:val="center"/>
        </w:trPr>
        <w:tc>
          <w:tcPr>
            <w:tcW w:w="1861" w:type="dxa"/>
            <w:gridSpan w:val="2"/>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2B255216">
            <w:pPr>
              <w:keepNext w:val="0"/>
              <w:keepLines w:val="0"/>
              <w:pageBreakBefore w:val="0"/>
              <w:widowControl w:val="0"/>
              <w:kinsoku/>
              <w:wordWrap/>
              <w:overflowPunct/>
              <w:topLinePunct w:val="0"/>
              <w:autoSpaceDE/>
              <w:autoSpaceDN/>
              <w:bidi w:val="0"/>
              <w:adjustRightInd/>
              <w:spacing w:line="420" w:lineRule="exact"/>
              <w:jc w:val="center"/>
              <w:textAlignment w:val="baseline"/>
              <w:rPr>
                <w:rStyle w:val="10"/>
                <w:rFonts w:ascii="宋体" w:hAnsi="宋体"/>
                <w:color w:val="auto"/>
                <w:szCs w:val="21"/>
                <w:highlight w:val="none"/>
              </w:rPr>
            </w:pPr>
            <w:r>
              <w:rPr>
                <w:rStyle w:val="10"/>
                <w:rFonts w:hint="eastAsia" w:ascii="宋体" w:hAnsi="宋体"/>
                <w:color w:val="auto"/>
                <w:szCs w:val="21"/>
                <w:highlight w:val="none"/>
                <w:lang w:val="en-US" w:eastAsia="zh-CN"/>
              </w:rPr>
              <w:t>人员要求</w:t>
            </w:r>
          </w:p>
        </w:tc>
        <w:tc>
          <w:tcPr>
            <w:tcW w:w="8300" w:type="dxa"/>
            <w:gridSpan w:val="4"/>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60D04AFF">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1</w:t>
            </w:r>
            <w:r>
              <w:rPr>
                <w:rStyle w:val="10"/>
                <w:rFonts w:hint="eastAsia" w:ascii="宋体" w:hAnsi="宋体"/>
                <w:color w:val="auto"/>
                <w:szCs w:val="21"/>
                <w:highlight w:val="none"/>
                <w:lang w:val="en-US"/>
              </w:rPr>
              <w:t>.</w:t>
            </w:r>
            <w:r>
              <w:rPr>
                <w:rStyle w:val="10"/>
                <w:rFonts w:hint="eastAsia" w:ascii="宋体" w:hAnsi="宋体"/>
                <w:color w:val="auto"/>
                <w:szCs w:val="21"/>
                <w:highlight w:val="none"/>
              </w:rPr>
              <w:t>拟投入项目实施技术人员不少于5人，其中包括但不限于项目技术负责人1人、项目实施负责人1人，项目实施技术人员2人，项目运维技术人员1人。</w:t>
            </w:r>
          </w:p>
          <w:p w14:paraId="2C832E1A">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2</w:t>
            </w:r>
            <w:r>
              <w:rPr>
                <w:rStyle w:val="10"/>
                <w:rFonts w:hint="eastAsia" w:ascii="宋体" w:hAnsi="宋体"/>
                <w:color w:val="auto"/>
                <w:szCs w:val="21"/>
                <w:highlight w:val="none"/>
                <w:lang w:val="en-US"/>
              </w:rPr>
              <w:t>.</w:t>
            </w:r>
            <w:r>
              <w:rPr>
                <w:rStyle w:val="10"/>
                <w:rFonts w:hint="eastAsia" w:ascii="宋体" w:hAnsi="宋体"/>
                <w:color w:val="auto"/>
                <w:szCs w:val="21"/>
                <w:highlight w:val="none"/>
              </w:rPr>
              <w:t>项目交付后需有至少1人在合同期内提供驻点服务，服务地点为：采购人指定地点。驻场运维人员的工作时间需与采购人工作时间一致且7*24小时响应采购人反馈的各类问题及故障，驻场人员应为中标单位正式员工，且须具备运维工程师、声纹鉴定技术专家等技术能力。</w:t>
            </w:r>
          </w:p>
        </w:tc>
      </w:tr>
      <w:tr w14:paraId="230DC4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jc w:val="center"/>
        </w:trPr>
        <w:tc>
          <w:tcPr>
            <w:tcW w:w="1861" w:type="dxa"/>
            <w:gridSpan w:val="2"/>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54438AC2">
            <w:pPr>
              <w:keepNext w:val="0"/>
              <w:keepLines w:val="0"/>
              <w:pageBreakBefore w:val="0"/>
              <w:widowControl w:val="0"/>
              <w:kinsoku/>
              <w:wordWrap/>
              <w:overflowPunct/>
              <w:topLinePunct w:val="0"/>
              <w:autoSpaceDE/>
              <w:autoSpaceDN/>
              <w:bidi w:val="0"/>
              <w:adjustRightInd/>
              <w:spacing w:line="420" w:lineRule="exact"/>
              <w:jc w:val="center"/>
              <w:rPr>
                <w:rStyle w:val="10"/>
                <w:rFonts w:hint="eastAsia" w:ascii="宋体" w:hAnsi="宋体"/>
                <w:color w:val="auto"/>
                <w:kern w:val="0"/>
                <w:szCs w:val="21"/>
                <w:highlight w:val="none"/>
              </w:rPr>
            </w:pPr>
            <w:r>
              <w:rPr>
                <w:rStyle w:val="10"/>
                <w:rFonts w:hint="eastAsia" w:ascii="宋体" w:hAnsi="宋体"/>
                <w:color w:val="auto"/>
                <w:szCs w:val="21"/>
                <w:highlight w:val="none"/>
                <w:lang w:val="en-US"/>
              </w:rPr>
              <w:t>其他</w:t>
            </w:r>
            <w:r>
              <w:rPr>
                <w:rStyle w:val="10"/>
                <w:rFonts w:hint="eastAsia" w:ascii="宋体" w:hAnsi="宋体"/>
                <w:color w:val="auto"/>
                <w:szCs w:val="21"/>
                <w:highlight w:val="none"/>
              </w:rPr>
              <w:t>要求</w:t>
            </w:r>
          </w:p>
        </w:tc>
        <w:tc>
          <w:tcPr>
            <w:tcW w:w="8300" w:type="dxa"/>
            <w:gridSpan w:val="4"/>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3B4C2BF8">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1.为保证服务质量，投标人提供产品来源须渠道合法，采购人有权在验收时要求中标人提供供应证明文件供采购人核查，并按</w:t>
            </w:r>
            <w:r>
              <w:rPr>
                <w:rStyle w:val="10"/>
                <w:rFonts w:hint="eastAsia" w:ascii="宋体" w:hAnsi="宋体"/>
                <w:color w:val="auto"/>
                <w:szCs w:val="21"/>
                <w:highlight w:val="none"/>
                <w:lang w:val="en-US"/>
              </w:rPr>
              <w:t>投标文件响应情况</w:t>
            </w:r>
            <w:r>
              <w:rPr>
                <w:rFonts w:hint="eastAsia" w:ascii="宋体" w:hAnsi="宋体" w:cs="宋体"/>
                <w:color w:val="auto"/>
                <w:szCs w:val="21"/>
                <w:highlight w:val="none"/>
                <w:lang w:val="en-US" w:eastAsia="zh-CN"/>
              </w:rPr>
              <w:t>逐条演示。如证实有虚假应标，将按有关的法律法规追究其相应的法律责任。</w:t>
            </w:r>
          </w:p>
          <w:p w14:paraId="7D4533DC">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w:t>
            </w:r>
            <w:r>
              <w:rPr>
                <w:rFonts w:hint="eastAsia" w:ascii="宋体" w:hAnsi="宋体" w:cs="宋体"/>
                <w:color w:val="auto"/>
                <w:szCs w:val="21"/>
                <w:highlight w:val="none"/>
              </w:rPr>
              <w:t>在投标文件中提供的资料或响应</w:t>
            </w:r>
            <w:r>
              <w:rPr>
                <w:rFonts w:hint="eastAsia" w:ascii="宋体" w:hAnsi="宋体" w:cs="宋体"/>
                <w:color w:val="auto"/>
                <w:szCs w:val="21"/>
                <w:highlight w:val="none"/>
                <w:lang w:val="en-US" w:eastAsia="zh-CN"/>
              </w:rPr>
              <w:t xml:space="preserve">情况必须真实有效，如高于招标要求的，应提供足以证明的技术支持资料或承诺；若经核实发现投标人有伪造、变造技术资料行为，构成提供虚假材料的，将按有关的法律法规追究其相应的法律责任。 </w:t>
            </w:r>
          </w:p>
          <w:p w14:paraId="0F978DF8">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3.为防止恶意虚假投标，采购人保留在确认验收前对中标人所提供的产品进行性能参数测试的权利，如证实有虚假应标，将按有关的法律法规追究其相应的法律责任。</w:t>
            </w:r>
          </w:p>
          <w:p w14:paraId="5D75874D">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.中标人应保证所提供的服务（含提供服务所需产品）成果所涉及的知识产权和所提供的相关技术资料是合法取得的，并享有完整的知识产权，不会因为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的使用而被责令停止使用、追偿或要求赔偿损失，如出现此情况，一切经济和法律责任均由中标人承担。</w:t>
            </w:r>
          </w:p>
          <w:p w14:paraId="4FE4FC42">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lang w:val="en-US"/>
              </w:rPr>
              <w:t>5</w:t>
            </w:r>
            <w:r>
              <w:rPr>
                <w:rStyle w:val="10"/>
                <w:rFonts w:hint="eastAsia" w:ascii="宋体" w:hAnsi="宋体"/>
                <w:color w:val="auto"/>
                <w:szCs w:val="21"/>
                <w:highlight w:val="none"/>
              </w:rPr>
              <w:t>.保密要求</w:t>
            </w:r>
          </w:p>
          <w:p w14:paraId="7B780A2D">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1）中标人应遵守采购人信息安全管理规定，对非权限范围内设备不允许操作，非权限范围内信息不允许访问；未经采购人允许，不可随意在工作环境内拍照、录音、录像等。中标人的工作人员应对本项目中接触到的采购人所有的知识产权、商业秘密、技术成果等信息负有保密义务；未经采购人书面同意，不得向社会公众或第三方通过任何途径出示、泄露，不得许可使用，不得对上述信息进行复制、传播、销售；保证不向外泄漏任何相关数据，不向外泄漏任何保密的技术资料；严禁发生其他可能影响保密安全的行为。如出现中标人的工作人员泄密事件，中标人应负有连带责任。</w:t>
            </w:r>
          </w:p>
          <w:p w14:paraId="1E90683D">
            <w:pPr>
              <w:keepNext w:val="0"/>
              <w:keepLines w:val="0"/>
              <w:pageBreakBefore w:val="0"/>
              <w:widowControl w:val="0"/>
              <w:kinsoku/>
              <w:wordWrap/>
              <w:overflowPunct/>
              <w:topLinePunct w:val="0"/>
              <w:autoSpaceDE/>
              <w:autoSpaceDN/>
              <w:bidi w:val="0"/>
              <w:adjustRightInd/>
              <w:spacing w:line="420" w:lineRule="exact"/>
              <w:rPr>
                <w:rFonts w:hint="eastAsia" w:ascii="宋体" w:hAnsi="宋体" w:cs="宋体"/>
                <w:color w:val="auto"/>
                <w:highlight w:val="none"/>
              </w:rPr>
            </w:pPr>
            <w:r>
              <w:rPr>
                <w:rStyle w:val="10"/>
                <w:rFonts w:hint="eastAsia" w:ascii="宋体" w:hAnsi="宋体"/>
                <w:color w:val="auto"/>
                <w:szCs w:val="21"/>
                <w:highlight w:val="none"/>
              </w:rPr>
              <w:t>（2）中标人须无条件配合开展驻场人员岗前审查、保密教育、保密检查工作。必须对项目实施过程中获取的相关信息保密（相关信息包括但不限于本项目）。</w:t>
            </w:r>
          </w:p>
        </w:tc>
      </w:tr>
      <w:tr w14:paraId="5D0B4C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51" w:hRule="atLeast"/>
          <w:jc w:val="center"/>
        </w:trPr>
        <w:tc>
          <w:tcPr>
            <w:tcW w:w="1861" w:type="dxa"/>
            <w:gridSpan w:val="2"/>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5CBDB7C4">
            <w:pPr>
              <w:keepNext w:val="0"/>
              <w:keepLines w:val="0"/>
              <w:pageBreakBefore w:val="0"/>
              <w:widowControl w:val="0"/>
              <w:kinsoku/>
              <w:wordWrap/>
              <w:overflowPunct/>
              <w:topLinePunct w:val="0"/>
              <w:autoSpaceDE/>
              <w:autoSpaceDN/>
              <w:bidi w:val="0"/>
              <w:adjustRightInd/>
              <w:spacing w:line="420" w:lineRule="exact"/>
              <w:jc w:val="center"/>
              <w:rPr>
                <w:rStyle w:val="10"/>
                <w:rFonts w:hint="eastAsia" w:ascii="宋体" w:hAnsi="宋体"/>
                <w:color w:val="auto"/>
                <w:szCs w:val="21"/>
                <w:highlight w:val="none"/>
              </w:rPr>
            </w:pPr>
            <w:r>
              <w:rPr>
                <w:rStyle w:val="10"/>
                <w:rFonts w:hint="eastAsia" w:ascii="宋体" w:hAnsi="宋体"/>
                <w:color w:val="auto"/>
                <w:szCs w:val="21"/>
                <w:highlight w:val="none"/>
              </w:rPr>
              <w:t>验收要求</w:t>
            </w:r>
          </w:p>
        </w:tc>
        <w:tc>
          <w:tcPr>
            <w:tcW w:w="8300" w:type="dxa"/>
            <w:gridSpan w:val="4"/>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57" w:type="dxa"/>
            </w:tcMar>
            <w:vAlign w:val="center"/>
          </w:tcPr>
          <w:p w14:paraId="3A02D1B7">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验收标准原则上按照《广西壮族自治区政府采购项目履约验收管理办法》的有关要求进行。验收应在采购人、中标人、采购人委托的监理单位（若有）共同参加下进行，按照相关规定执行以及国家有关规定、规范进行；采购人组织项目验收小组按国家有关规定、规范进行验收，必要时邀请相关专业人员或者第三方机构参与验收，</w:t>
            </w:r>
          </w:p>
          <w:p w14:paraId="2D6920FF">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s="宋体"/>
                <w:color w:val="auto"/>
                <w:szCs w:val="21"/>
                <w:highlight w:val="none"/>
                <w:lang w:val="en-US"/>
              </w:rPr>
              <w:t>1.</w:t>
            </w:r>
            <w:r>
              <w:rPr>
                <w:rStyle w:val="10"/>
                <w:rFonts w:hint="eastAsia" w:ascii="宋体" w:hAnsi="宋体" w:eastAsia="宋体" w:cs="宋体"/>
                <w:color w:val="auto"/>
                <w:szCs w:val="21"/>
                <w:highlight w:val="none"/>
              </w:rPr>
              <w:t>初步验收：</w:t>
            </w:r>
          </w:p>
          <w:p w14:paraId="63CD330C">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（1）实现合同和招标文件（</w:t>
            </w:r>
            <w:r>
              <w:rPr>
                <w:rStyle w:val="10"/>
                <w:rFonts w:hint="eastAsia" w:ascii="宋体" w:hAnsi="宋体"/>
                <w:color w:val="auto"/>
                <w:szCs w:val="21"/>
                <w:highlight w:val="none"/>
                <w:lang w:val="en-US"/>
              </w:rPr>
              <w:t>或</w:t>
            </w:r>
            <w:r>
              <w:rPr>
                <w:rStyle w:val="10"/>
                <w:rFonts w:hint="eastAsia" w:ascii="宋体" w:hAnsi="宋体"/>
                <w:color w:val="auto"/>
                <w:szCs w:val="21"/>
                <w:highlight w:val="none"/>
              </w:rPr>
              <w:t>投标文件响应</w:t>
            </w:r>
            <w:r>
              <w:rPr>
                <w:rStyle w:val="10"/>
                <w:rFonts w:hint="eastAsia" w:ascii="宋体" w:hAnsi="宋体"/>
                <w:color w:val="auto"/>
                <w:szCs w:val="21"/>
                <w:highlight w:val="none"/>
                <w:lang w:val="en-US"/>
              </w:rPr>
              <w:t>承诺</w:t>
            </w:r>
            <w:r>
              <w:rPr>
                <w:rStyle w:val="10"/>
                <w:rFonts w:hint="eastAsia" w:ascii="宋体" w:hAnsi="宋体"/>
                <w:color w:val="auto"/>
                <w:szCs w:val="21"/>
                <w:highlight w:val="none"/>
              </w:rPr>
              <w:t>）</w:t>
            </w:r>
            <w:r>
              <w:rPr>
                <w:rStyle w:val="10"/>
                <w:rFonts w:hint="eastAsia" w:ascii="宋体" w:hAnsi="宋体"/>
                <w:color w:val="auto"/>
                <w:szCs w:val="21"/>
                <w:highlight w:val="none"/>
                <w:lang w:val="en-US"/>
              </w:rPr>
              <w:t>满足</w:t>
            </w:r>
            <w:r>
              <w:rPr>
                <w:rStyle w:val="10"/>
                <w:rFonts w:hint="eastAsia" w:ascii="宋体" w:hAnsi="宋体"/>
                <w:color w:val="auto"/>
                <w:szCs w:val="21"/>
                <w:highlight w:val="none"/>
              </w:rPr>
              <w:t>的全部服务支撑能力要求；</w:t>
            </w:r>
          </w:p>
          <w:p w14:paraId="6C254FC5">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（2）达到合同和招标文件（</w:t>
            </w:r>
            <w:r>
              <w:rPr>
                <w:rStyle w:val="10"/>
                <w:rFonts w:hint="eastAsia" w:ascii="宋体" w:hAnsi="宋体"/>
                <w:color w:val="auto"/>
                <w:szCs w:val="21"/>
                <w:highlight w:val="none"/>
                <w:lang w:val="en-US"/>
              </w:rPr>
              <w:t>或</w:t>
            </w:r>
            <w:r>
              <w:rPr>
                <w:rStyle w:val="10"/>
                <w:rFonts w:hint="eastAsia" w:ascii="宋体" w:hAnsi="宋体"/>
                <w:color w:val="auto"/>
                <w:szCs w:val="21"/>
                <w:highlight w:val="none"/>
              </w:rPr>
              <w:t>投标文件响应</w:t>
            </w:r>
            <w:r>
              <w:rPr>
                <w:rStyle w:val="10"/>
                <w:rFonts w:hint="eastAsia" w:ascii="宋体" w:hAnsi="宋体"/>
                <w:color w:val="auto"/>
                <w:szCs w:val="21"/>
                <w:highlight w:val="none"/>
                <w:lang w:val="en-US"/>
              </w:rPr>
              <w:t>承诺</w:t>
            </w:r>
            <w:r>
              <w:rPr>
                <w:rStyle w:val="10"/>
                <w:rFonts w:hint="eastAsia" w:ascii="宋体" w:hAnsi="宋体"/>
                <w:color w:val="auto"/>
                <w:szCs w:val="21"/>
                <w:highlight w:val="none"/>
              </w:rPr>
              <w:t>）</w:t>
            </w:r>
            <w:r>
              <w:rPr>
                <w:rStyle w:val="10"/>
                <w:rFonts w:hint="eastAsia" w:ascii="宋体" w:hAnsi="宋体"/>
                <w:color w:val="auto"/>
                <w:szCs w:val="21"/>
                <w:highlight w:val="none"/>
                <w:lang w:val="en-US"/>
              </w:rPr>
              <w:t>满足</w:t>
            </w:r>
            <w:r>
              <w:rPr>
                <w:rStyle w:val="10"/>
                <w:rFonts w:hint="eastAsia" w:ascii="宋体" w:hAnsi="宋体"/>
                <w:color w:val="auto"/>
                <w:szCs w:val="21"/>
                <w:highlight w:val="none"/>
              </w:rPr>
              <w:t>的全部指标；</w:t>
            </w:r>
          </w:p>
          <w:p w14:paraId="1B0F7A4B">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（3）文档齐全，符合合同和招标文件及相关标准要求；</w:t>
            </w:r>
          </w:p>
          <w:p w14:paraId="49761573">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（4）</w:t>
            </w:r>
            <w:r>
              <w:rPr>
                <w:rStyle w:val="10"/>
                <w:rFonts w:hint="eastAsia" w:ascii="宋体" w:hAnsi="宋体" w:eastAsia="宋体" w:cs="宋体"/>
                <w:color w:val="auto"/>
                <w:szCs w:val="21"/>
                <w:highlight w:val="none"/>
              </w:rPr>
              <w:t>初步</w:t>
            </w:r>
            <w:r>
              <w:rPr>
                <w:rStyle w:val="10"/>
                <w:rFonts w:hint="eastAsia" w:ascii="宋体" w:hAnsi="宋体"/>
                <w:color w:val="auto"/>
                <w:szCs w:val="21"/>
                <w:highlight w:val="none"/>
              </w:rPr>
              <w:t>验收</w:t>
            </w:r>
            <w:r>
              <w:rPr>
                <w:rStyle w:val="10"/>
                <w:rFonts w:hint="eastAsia" w:ascii="宋体" w:hAnsi="宋体"/>
                <w:color w:val="auto"/>
                <w:szCs w:val="21"/>
                <w:highlight w:val="none"/>
                <w:lang w:val="en-US"/>
              </w:rPr>
              <w:t>资料</w:t>
            </w:r>
            <w:r>
              <w:rPr>
                <w:rStyle w:val="10"/>
                <w:rFonts w:hint="eastAsia" w:ascii="宋体" w:hAnsi="宋体"/>
                <w:color w:val="auto"/>
                <w:szCs w:val="21"/>
                <w:highlight w:val="none"/>
              </w:rPr>
              <w:t>包括按照合同和招标文件中所标明的软件平台以及相关的技术维护文档、培训教材、使用说明书等；</w:t>
            </w:r>
          </w:p>
          <w:p w14:paraId="69304775">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5）符合中华人民共和国国家和履约地相关行业技术规范标准。上述各类标准与法规是有关官方机构最新发布的现行标准版本。验收不合格的，采购人有权根据采购合同要求终止合同并追究中标人的违约及赔偿责任；</w:t>
            </w:r>
          </w:p>
          <w:p w14:paraId="17A54812">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rPr>
              <w:t>（6）对招标文件中标注“◆”号的重点参数，验收时须按照投标文件响应</w:t>
            </w:r>
            <w:r>
              <w:rPr>
                <w:rStyle w:val="10"/>
                <w:rFonts w:hint="eastAsia" w:ascii="宋体" w:hAnsi="宋体"/>
                <w:color w:val="auto"/>
                <w:szCs w:val="21"/>
                <w:highlight w:val="none"/>
                <w:lang w:val="en-US"/>
              </w:rPr>
              <w:t>承诺</w:t>
            </w:r>
            <w:r>
              <w:rPr>
                <w:rStyle w:val="10"/>
                <w:rFonts w:hint="eastAsia" w:ascii="宋体" w:hAnsi="宋体"/>
                <w:color w:val="auto"/>
                <w:szCs w:val="21"/>
                <w:highlight w:val="none"/>
              </w:rPr>
              <w:t>提供国家认可的第三方认证机构出具的检测报告原件或者复印件。</w:t>
            </w:r>
          </w:p>
          <w:p w14:paraId="59819EF2">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eastAsia="宋体" w:cs="宋体"/>
                <w:color w:val="auto"/>
                <w:szCs w:val="21"/>
                <w:highlight w:val="none"/>
              </w:rPr>
            </w:pPr>
            <w:r>
              <w:rPr>
                <w:rStyle w:val="10"/>
                <w:rFonts w:hint="eastAsia" w:ascii="宋体" w:hAnsi="宋体" w:eastAsia="宋体" w:cs="宋体"/>
                <w:color w:val="auto"/>
                <w:szCs w:val="21"/>
                <w:highlight w:val="none"/>
              </w:rPr>
              <w:t>2.最终验收：</w:t>
            </w:r>
          </w:p>
          <w:p w14:paraId="0DC12709">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eastAsia="宋体" w:cs="宋体"/>
                <w:color w:val="auto"/>
                <w:szCs w:val="21"/>
                <w:highlight w:val="none"/>
              </w:rPr>
            </w:pPr>
            <w:r>
              <w:rPr>
                <w:rStyle w:val="10"/>
                <w:rFonts w:hint="eastAsia" w:ascii="宋体" w:hAnsi="宋体" w:cs="宋体"/>
                <w:color w:val="auto"/>
                <w:szCs w:val="21"/>
                <w:highlight w:val="none"/>
                <w:lang w:val="en-US"/>
              </w:rPr>
              <w:t>本项目服务期满后，如中标人的服务质量不符合合同</w:t>
            </w:r>
            <w:r>
              <w:rPr>
                <w:rStyle w:val="10"/>
                <w:rFonts w:hint="eastAsia" w:ascii="宋体" w:hAnsi="宋体" w:eastAsia="宋体" w:cs="宋体"/>
                <w:color w:val="auto"/>
                <w:szCs w:val="21"/>
                <w:highlight w:val="none"/>
              </w:rPr>
              <w:t>要求，采购人有权拒绝</w:t>
            </w:r>
            <w:r>
              <w:rPr>
                <w:rStyle w:val="10"/>
                <w:rFonts w:hint="eastAsia" w:ascii="宋体" w:hAnsi="宋体" w:cs="宋体"/>
                <w:color w:val="auto"/>
                <w:szCs w:val="21"/>
                <w:highlight w:val="none"/>
                <w:lang w:val="en-US"/>
              </w:rPr>
              <w:t>最终</w:t>
            </w:r>
            <w:r>
              <w:rPr>
                <w:rStyle w:val="10"/>
                <w:rFonts w:hint="eastAsia" w:ascii="宋体" w:hAnsi="宋体" w:eastAsia="宋体" w:cs="宋体"/>
                <w:color w:val="auto"/>
                <w:szCs w:val="21"/>
                <w:highlight w:val="none"/>
              </w:rPr>
              <w:t>验收，由此产生的一切后果，均由</w:t>
            </w:r>
            <w:r>
              <w:rPr>
                <w:rStyle w:val="10"/>
                <w:rFonts w:hint="eastAsia" w:ascii="宋体" w:hAnsi="宋体" w:cs="宋体"/>
                <w:color w:val="auto"/>
                <w:szCs w:val="21"/>
                <w:highlight w:val="none"/>
              </w:rPr>
              <w:t>中标人</w:t>
            </w:r>
            <w:r>
              <w:rPr>
                <w:rStyle w:val="10"/>
                <w:rFonts w:hint="eastAsia" w:ascii="宋体" w:hAnsi="宋体" w:eastAsia="宋体" w:cs="宋体"/>
                <w:color w:val="auto"/>
                <w:szCs w:val="21"/>
                <w:highlight w:val="none"/>
              </w:rPr>
              <w:t>承担。由此造成的不能按时、按质、按量完成项目要求的，将按照相关法规、合同相关条款进行处理。</w:t>
            </w:r>
          </w:p>
          <w:p w14:paraId="2EC932CC">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lang w:val="en-US"/>
              </w:rPr>
              <w:t>3</w:t>
            </w:r>
            <w:r>
              <w:rPr>
                <w:rStyle w:val="10"/>
                <w:rFonts w:hint="eastAsia" w:ascii="宋体" w:hAnsi="宋体"/>
                <w:color w:val="auto"/>
                <w:szCs w:val="21"/>
                <w:highlight w:val="none"/>
              </w:rPr>
              <w:t xml:space="preserve">.验收过程中所产生的一切费用均由中标人承担。 </w:t>
            </w:r>
          </w:p>
          <w:p w14:paraId="203CEF70">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lang w:val="en-US"/>
              </w:rPr>
              <w:t>4</w:t>
            </w:r>
            <w:r>
              <w:rPr>
                <w:rStyle w:val="10"/>
                <w:rFonts w:hint="eastAsia" w:ascii="宋体" w:hAnsi="宋体"/>
                <w:color w:val="auto"/>
                <w:szCs w:val="21"/>
                <w:highlight w:val="none"/>
              </w:rPr>
              <w:t>.验收时，由采购人对照合同条款以及招标文件的要求（</w:t>
            </w:r>
            <w:r>
              <w:rPr>
                <w:rStyle w:val="10"/>
                <w:rFonts w:hint="eastAsia" w:ascii="宋体" w:hAnsi="宋体"/>
                <w:color w:val="auto"/>
                <w:szCs w:val="21"/>
                <w:highlight w:val="none"/>
                <w:lang w:val="en-US"/>
              </w:rPr>
              <w:t>或投标文件响应承诺</w:t>
            </w:r>
            <w:r>
              <w:rPr>
                <w:rStyle w:val="10"/>
                <w:rFonts w:hint="eastAsia" w:ascii="宋体" w:hAnsi="宋体"/>
                <w:color w:val="auto"/>
                <w:szCs w:val="21"/>
                <w:highlight w:val="none"/>
              </w:rPr>
              <w:t>）进行核验。为检验技术指标是否达标所需的测试数据，均由采购人提供实际业务数据进行检验，以满足实战需求。如不符合招标文件的技术要求</w:t>
            </w:r>
            <w:r>
              <w:rPr>
                <w:rStyle w:val="10"/>
                <w:rFonts w:hint="eastAsia" w:ascii="宋体" w:hAnsi="宋体"/>
                <w:color w:val="auto"/>
                <w:szCs w:val="21"/>
                <w:highlight w:val="none"/>
                <w:lang w:val="en-US"/>
              </w:rPr>
              <w:t>或投标文件响应承诺</w:t>
            </w:r>
            <w:r>
              <w:rPr>
                <w:rStyle w:val="10"/>
                <w:rFonts w:hint="eastAsia" w:ascii="宋体" w:hAnsi="宋体"/>
                <w:color w:val="auto"/>
                <w:szCs w:val="21"/>
                <w:highlight w:val="none"/>
              </w:rPr>
              <w:t>提供虚假承诺的，按相关规定作违约处理，中标人承担所有责任和费用，采购人保留进一步追究责任的权利。</w:t>
            </w:r>
          </w:p>
          <w:p w14:paraId="144E7809">
            <w:pPr>
              <w:keepNext w:val="0"/>
              <w:keepLines w:val="0"/>
              <w:pageBreakBefore w:val="0"/>
              <w:widowControl w:val="0"/>
              <w:kinsoku/>
              <w:wordWrap/>
              <w:overflowPunct/>
              <w:topLinePunct w:val="0"/>
              <w:autoSpaceDE/>
              <w:autoSpaceDN/>
              <w:bidi w:val="0"/>
              <w:adjustRightInd/>
              <w:spacing w:line="420" w:lineRule="exact"/>
              <w:rPr>
                <w:rStyle w:val="10"/>
                <w:rFonts w:hint="eastAsia" w:ascii="宋体" w:hAnsi="宋体"/>
                <w:color w:val="auto"/>
                <w:szCs w:val="21"/>
                <w:highlight w:val="none"/>
              </w:rPr>
            </w:pPr>
            <w:r>
              <w:rPr>
                <w:rStyle w:val="10"/>
                <w:rFonts w:hint="eastAsia" w:ascii="宋体" w:hAnsi="宋体"/>
                <w:color w:val="auto"/>
                <w:szCs w:val="21"/>
                <w:highlight w:val="none"/>
                <w:lang w:val="en-US"/>
              </w:rPr>
              <w:t>5</w:t>
            </w:r>
            <w:r>
              <w:rPr>
                <w:rStyle w:val="10"/>
                <w:rFonts w:hint="eastAsia" w:ascii="宋体" w:hAnsi="宋体"/>
                <w:color w:val="auto"/>
                <w:szCs w:val="21"/>
                <w:highlight w:val="none"/>
              </w:rPr>
              <w:t>.项目计划变更：因任何一方原因导致项目计划发生调整时，双方应在充分沟通与协商的基础上，签署《项目实施计划调整报告》，并作为验收依据。</w:t>
            </w:r>
          </w:p>
          <w:p w14:paraId="4E5653FC">
            <w:pPr>
              <w:keepNext w:val="0"/>
              <w:keepLines w:val="0"/>
              <w:pageBreakBefore w:val="0"/>
              <w:widowControl w:val="0"/>
              <w:kinsoku/>
              <w:wordWrap/>
              <w:overflowPunct/>
              <w:topLinePunct w:val="0"/>
              <w:autoSpaceDE/>
              <w:autoSpaceDN/>
              <w:bidi w:val="0"/>
              <w:adjustRightInd/>
              <w:spacing w:line="420" w:lineRule="exact"/>
              <w:textAlignment w:val="baseline"/>
              <w:rPr>
                <w:rStyle w:val="10"/>
                <w:rFonts w:hint="eastAsia" w:ascii="宋体" w:hAnsi="宋体"/>
                <w:color w:val="auto"/>
                <w:szCs w:val="21"/>
                <w:highlight w:val="none"/>
              </w:rPr>
            </w:pPr>
            <w:r>
              <w:rPr>
                <w:rStyle w:val="10"/>
                <w:rFonts w:hint="eastAsia" w:ascii="宋体" w:hAnsi="宋体"/>
                <w:color w:val="auto"/>
                <w:szCs w:val="21"/>
                <w:highlight w:val="none"/>
                <w:lang w:val="en-US"/>
              </w:rPr>
              <w:t>6</w:t>
            </w:r>
            <w:r>
              <w:rPr>
                <w:rStyle w:val="10"/>
                <w:rFonts w:hint="eastAsia" w:ascii="宋体" w:hAnsi="宋体"/>
                <w:color w:val="auto"/>
                <w:szCs w:val="21"/>
                <w:highlight w:val="none"/>
              </w:rPr>
              <w:t>.项目验收时，中标人应向采购人提供关于整个项目建设的完整资料档案，包括但不限于项目建设内容方案及双方共同签署的各项文档。</w:t>
            </w:r>
          </w:p>
        </w:tc>
      </w:tr>
    </w:tbl>
    <w:p w14:paraId="08F92E78">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p>
    <w:p w14:paraId="405FD9FE">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p>
    <w:p w14:paraId="1019650B">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二</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rPr>
        <w:t>更正后内容</w:t>
      </w:r>
      <w:r>
        <w:rPr>
          <w:rFonts w:hint="eastAsia" w:ascii="宋体" w:hAnsi="宋体" w:eastAsia="宋体" w:cs="宋体"/>
          <w:b/>
          <w:bCs/>
          <w:color w:val="auto"/>
          <w:sz w:val="28"/>
          <w:szCs w:val="28"/>
          <w:highlight w:val="yellow"/>
          <w:lang w:eastAsia="zh-CN"/>
        </w:rPr>
        <w:t>：</w:t>
      </w:r>
    </w:p>
    <w:p w14:paraId="40423CA6">
      <w:pPr>
        <w:keepNext w:val="0"/>
        <w:keepLines w:val="0"/>
        <w:pageBreakBefore w:val="0"/>
        <w:widowControl w:val="0"/>
        <w:kinsoku/>
        <w:wordWrap/>
        <w:overflowPunct/>
        <w:topLinePunct w:val="0"/>
        <w:autoSpaceDE/>
        <w:autoSpaceDN/>
        <w:bidi w:val="0"/>
        <w:adjustRightInd/>
        <w:spacing w:line="420" w:lineRule="exact"/>
        <w:rPr>
          <w:rFonts w:hint="default" w:ascii="宋体" w:hAnsi="宋体" w:eastAsia="宋体" w:cs="宋体"/>
          <w:b w:val="0"/>
          <w:bCs w:val="0"/>
          <w:color w:val="auto"/>
          <w:sz w:val="21"/>
          <w:szCs w:val="21"/>
          <w:highlight w:val="none"/>
          <w:vertAlign w:val="baseline"/>
          <w:lang w:val="en-US" w:eastAsia="zh-CN"/>
        </w:rPr>
      </w:pPr>
    </w:p>
    <w:p w14:paraId="5FF9F5E7">
      <w:pPr>
        <w:spacing w:line="360" w:lineRule="auto"/>
        <w:jc w:val="center"/>
        <w:outlineLvl w:val="1"/>
        <w:rPr>
          <w:rFonts w:hint="eastAsia" w:ascii="宋体" w:hAnsi="宋体" w:cs="宋体"/>
          <w:b/>
          <w:bCs/>
          <w:color w:val="auto"/>
          <w:sz w:val="32"/>
          <w:szCs w:val="32"/>
          <w:highlight w:val="none"/>
        </w:rPr>
      </w:pPr>
      <w:bookmarkStart w:id="0" w:name="_Toc13094"/>
      <w:r>
        <w:rPr>
          <w:rFonts w:hint="eastAsia" w:ascii="宋体" w:hAnsi="宋体" w:cs="宋体"/>
          <w:b/>
          <w:bCs/>
          <w:color w:val="auto"/>
          <w:sz w:val="32"/>
          <w:szCs w:val="32"/>
          <w:highlight w:val="none"/>
        </w:rPr>
        <w:t>综合评分法</w:t>
      </w:r>
      <w:bookmarkEnd w:id="0"/>
    </w:p>
    <w:tbl>
      <w:tblPr>
        <w:tblStyle w:val="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10"/>
      </w:tblGrid>
      <w:tr w14:paraId="5B13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B73DB3F">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280" w:type="dxa"/>
            <w:noWrap w:val="0"/>
            <w:vAlign w:val="center"/>
          </w:tcPr>
          <w:p w14:paraId="464996CD">
            <w:pPr>
              <w:adjustRightInd w:val="0"/>
              <w:spacing w:line="42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评审因素</w:t>
            </w:r>
          </w:p>
        </w:tc>
        <w:tc>
          <w:tcPr>
            <w:tcW w:w="709" w:type="dxa"/>
            <w:noWrap w:val="0"/>
            <w:vAlign w:val="center"/>
          </w:tcPr>
          <w:p w14:paraId="43E09FCF">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6969" w:type="dxa"/>
            <w:gridSpan w:val="2"/>
            <w:noWrap w:val="0"/>
            <w:vAlign w:val="center"/>
          </w:tcPr>
          <w:p w14:paraId="430E7193">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评标标准</w:t>
            </w:r>
          </w:p>
        </w:tc>
      </w:tr>
      <w:tr w14:paraId="279A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40D708C">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280" w:type="dxa"/>
            <w:noWrap w:val="0"/>
            <w:vAlign w:val="center"/>
          </w:tcPr>
          <w:p w14:paraId="1CA65933">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投标报价</w:t>
            </w:r>
          </w:p>
        </w:tc>
        <w:tc>
          <w:tcPr>
            <w:tcW w:w="709" w:type="dxa"/>
            <w:noWrap w:val="0"/>
            <w:vAlign w:val="center"/>
          </w:tcPr>
          <w:p w14:paraId="465DB40F">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10分</w:t>
            </w:r>
          </w:p>
        </w:tc>
        <w:tc>
          <w:tcPr>
            <w:tcW w:w="6969" w:type="dxa"/>
            <w:gridSpan w:val="2"/>
            <w:noWrap w:val="0"/>
            <w:vAlign w:val="center"/>
          </w:tcPr>
          <w:p w14:paraId="66FDC39B">
            <w:pPr>
              <w:pStyle w:val="4"/>
              <w:spacing w:line="420" w:lineRule="exact"/>
              <w:rPr>
                <w:rFonts w:hint="eastAsia" w:hAnsi="宋体" w:cs="宋体"/>
                <w:b/>
                <w:color w:val="auto"/>
                <w:sz w:val="21"/>
                <w:highlight w:val="none"/>
              </w:rPr>
            </w:pPr>
            <w:r>
              <w:rPr>
                <w:rFonts w:hint="eastAsia" w:hAnsi="宋体" w:cs="宋体"/>
                <w:b/>
                <w:color w:val="auto"/>
                <w:sz w:val="21"/>
                <w:highlight w:val="none"/>
              </w:rPr>
              <w:t>一、政府采购政策扣除</w:t>
            </w:r>
          </w:p>
          <w:p w14:paraId="6FD5174E">
            <w:pPr>
              <w:pStyle w:val="4"/>
              <w:spacing w:line="420" w:lineRule="exact"/>
              <w:ind w:firstLine="422" w:firstLineChars="200"/>
              <w:rPr>
                <w:rFonts w:hint="eastAsia" w:hAnsi="宋体" w:cs="宋体"/>
                <w:b/>
                <w:color w:val="auto"/>
                <w:sz w:val="21"/>
                <w:highlight w:val="none"/>
              </w:rPr>
            </w:pPr>
            <w:r>
              <w:rPr>
                <w:rFonts w:hint="eastAsia" w:hAnsi="宋体" w:cs="宋体"/>
                <w:b/>
                <w:color w:val="auto"/>
                <w:sz w:val="21"/>
                <w:highlight w:val="none"/>
              </w:rPr>
              <w:t xml:space="preserve">本项目为专门面向小微企业采购的项目，不再执行价格评审优惠的扶持政策。 </w:t>
            </w:r>
          </w:p>
          <w:p w14:paraId="25B19A14">
            <w:pPr>
              <w:pStyle w:val="4"/>
              <w:spacing w:line="420" w:lineRule="exact"/>
              <w:rPr>
                <w:rFonts w:hint="eastAsia" w:hAnsi="宋体" w:cs="宋体"/>
                <w:b/>
                <w:color w:val="auto"/>
                <w:sz w:val="21"/>
                <w:highlight w:val="none"/>
              </w:rPr>
            </w:pPr>
            <w:r>
              <w:rPr>
                <w:rFonts w:hint="eastAsia" w:hAnsi="宋体" w:cs="宋体"/>
                <w:b/>
                <w:color w:val="auto"/>
                <w:sz w:val="21"/>
                <w:highlight w:val="none"/>
              </w:rPr>
              <w:t>二、投标报价分（满分10分）</w:t>
            </w:r>
          </w:p>
          <w:p w14:paraId="4F248512">
            <w:pPr>
              <w:pStyle w:val="4"/>
              <w:spacing w:line="4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1.投标报价分采用低价优先法计算，满足招标文件要求且投标报价最低的有效投标人的投标报价为评标基准价，其投标报价分为满分。</w:t>
            </w:r>
          </w:p>
          <w:p w14:paraId="1D7A1615">
            <w:pPr>
              <w:pStyle w:val="4"/>
              <w:spacing w:line="4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2.其他投标人的价格分统一按照下列公式计算：</w:t>
            </w:r>
          </w:p>
          <w:p w14:paraId="2FC14435">
            <w:pPr>
              <w:pStyle w:val="4"/>
              <w:spacing w:line="420" w:lineRule="exact"/>
              <w:ind w:firstLine="420" w:firstLineChars="200"/>
              <w:rPr>
                <w:rFonts w:hint="eastAsia" w:hAnsi="宋体" w:cs="宋体"/>
                <w:bCs/>
                <w:color w:val="auto"/>
                <w:kern w:val="2"/>
                <w:sz w:val="21"/>
                <w:highlight w:val="none"/>
              </w:rPr>
            </w:pPr>
            <w:r>
              <w:rPr>
                <w:rFonts w:hint="eastAsia" w:hAnsi="宋体" w:cs="宋体"/>
                <w:bCs/>
                <w:color w:val="auto"/>
                <w:sz w:val="21"/>
                <w:highlight w:val="none"/>
              </w:rPr>
              <w:t>某有效投标人的投标报价分=（评标基准价／某有效投标人</w:t>
            </w:r>
            <w:r>
              <w:rPr>
                <w:rFonts w:hint="eastAsia" w:hAnsi="宋体" w:cs="宋体"/>
                <w:bCs/>
                <w:color w:val="auto"/>
                <w:sz w:val="21"/>
                <w:highlight w:val="none"/>
                <w:lang w:val="en-US" w:eastAsia="zh-CN"/>
              </w:rPr>
              <w:t>的</w:t>
            </w:r>
            <w:r>
              <w:rPr>
                <w:rFonts w:hint="eastAsia" w:hAnsi="宋体" w:cs="宋体"/>
                <w:bCs/>
                <w:color w:val="auto"/>
                <w:sz w:val="21"/>
                <w:highlight w:val="none"/>
              </w:rPr>
              <w:t>投标报价）× 10分</w:t>
            </w:r>
          </w:p>
        </w:tc>
      </w:tr>
      <w:tr w14:paraId="0B2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noWrap w:val="0"/>
            <w:vAlign w:val="center"/>
          </w:tcPr>
          <w:p w14:paraId="0723C4D3">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280" w:type="dxa"/>
            <w:vMerge w:val="restart"/>
            <w:noWrap w:val="0"/>
            <w:vAlign w:val="center"/>
          </w:tcPr>
          <w:p w14:paraId="7BFDFAB6">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技术</w:t>
            </w:r>
          </w:p>
        </w:tc>
        <w:tc>
          <w:tcPr>
            <w:tcW w:w="709" w:type="dxa"/>
            <w:vMerge w:val="restart"/>
            <w:noWrap w:val="0"/>
            <w:vAlign w:val="center"/>
          </w:tcPr>
          <w:p w14:paraId="7F9459D8">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76</w:t>
            </w:r>
            <w:r>
              <w:rPr>
                <w:rFonts w:hint="eastAsia" w:ascii="宋体" w:hAnsi="宋体" w:cs="宋体"/>
                <w:b/>
                <w:color w:val="auto"/>
                <w:szCs w:val="21"/>
                <w:highlight w:val="none"/>
              </w:rPr>
              <w:t>分</w:t>
            </w:r>
          </w:p>
        </w:tc>
        <w:tc>
          <w:tcPr>
            <w:tcW w:w="1559" w:type="dxa"/>
            <w:noWrap w:val="0"/>
            <w:vAlign w:val="center"/>
          </w:tcPr>
          <w:p w14:paraId="0C73DBE4">
            <w:pPr>
              <w:spacing w:line="420" w:lineRule="exact"/>
              <w:jc w:val="center"/>
              <w:rPr>
                <w:rFonts w:ascii="宋体" w:hAnsi="宋体" w:cs="宋体"/>
                <w:b/>
                <w:color w:val="auto"/>
                <w:szCs w:val="21"/>
                <w:highlight w:val="none"/>
              </w:rPr>
            </w:pPr>
            <w:r>
              <w:rPr>
                <w:rFonts w:hint="eastAsia" w:ascii="宋体" w:hAnsi="宋体" w:cs="宋体"/>
                <w:b/>
                <w:color w:val="auto"/>
                <w:szCs w:val="21"/>
                <w:highlight w:val="none"/>
              </w:rPr>
              <w:t>（1）技术响应分（满分</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分）</w:t>
            </w:r>
          </w:p>
        </w:tc>
        <w:tc>
          <w:tcPr>
            <w:tcW w:w="5410" w:type="dxa"/>
            <w:noWrap w:val="0"/>
            <w:vAlign w:val="center"/>
          </w:tcPr>
          <w:p w14:paraId="4105FDB0">
            <w:pPr>
              <w:spacing w:line="420" w:lineRule="exact"/>
              <w:jc w:val="left"/>
              <w:rPr>
                <w:rFonts w:hint="eastAsia" w:ascii="宋体" w:hAnsi="宋体" w:cs="宋体"/>
                <w:bCs/>
                <w:color w:val="auto"/>
                <w:szCs w:val="21"/>
                <w:highlight w:val="none"/>
              </w:rPr>
            </w:pPr>
            <w:r>
              <w:rPr>
                <w:rFonts w:hint="eastAsia" w:ascii="宋体" w:hAnsi="宋体"/>
                <w:color w:val="auto"/>
                <w:szCs w:val="21"/>
                <w:highlight w:val="none"/>
                <w:lang w:val="en-US" w:eastAsia="zh-CN"/>
              </w:rPr>
              <w:t>全部满足技术要求的得满分10分。带</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号的技术要求有一项负偏离扣1分；不带</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号的技术要求有一项负偏离扣0.5分，</w:t>
            </w:r>
            <w:r>
              <w:rPr>
                <w:rFonts w:hint="eastAsia"/>
                <w:highlight w:val="none"/>
                <w:vertAlign w:val="baseline"/>
              </w:rPr>
              <w:t>扣完为止</w:t>
            </w:r>
            <w:r>
              <w:rPr>
                <w:rFonts w:hint="eastAsia" w:ascii="宋体" w:hAnsi="宋体"/>
                <w:color w:val="auto"/>
                <w:szCs w:val="21"/>
                <w:highlight w:val="none"/>
                <w:lang w:val="en-US" w:eastAsia="zh-CN"/>
              </w:rPr>
              <w:t>。</w:t>
            </w:r>
          </w:p>
        </w:tc>
      </w:tr>
      <w:tr w14:paraId="0369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2907D73">
            <w:pPr>
              <w:adjustRightInd w:val="0"/>
              <w:spacing w:line="42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007DF4E5">
            <w:pPr>
              <w:adjustRightInd w:val="0"/>
              <w:spacing w:line="42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248C8B96">
            <w:pPr>
              <w:adjustRightInd w:val="0"/>
              <w:spacing w:line="420" w:lineRule="exact"/>
              <w:jc w:val="center"/>
              <w:textAlignment w:val="baseline"/>
              <w:rPr>
                <w:rFonts w:hint="eastAsia" w:ascii="宋体" w:hAnsi="宋体" w:cs="宋体"/>
                <w:b/>
                <w:color w:val="auto"/>
                <w:szCs w:val="21"/>
                <w:highlight w:val="none"/>
              </w:rPr>
            </w:pPr>
          </w:p>
        </w:tc>
        <w:tc>
          <w:tcPr>
            <w:tcW w:w="1559" w:type="dxa"/>
            <w:noWrap w:val="0"/>
            <w:vAlign w:val="center"/>
          </w:tcPr>
          <w:p w14:paraId="221770E0">
            <w:pPr>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b/>
                <w:bCs/>
                <w:color w:val="auto"/>
                <w:szCs w:val="21"/>
                <w:highlight w:val="none"/>
                <w:lang w:val="en-US" w:eastAsia="zh-CN"/>
              </w:rPr>
              <w:t>建设</w:t>
            </w:r>
            <w:r>
              <w:rPr>
                <w:rFonts w:hint="eastAsia" w:ascii="宋体" w:hAnsi="宋体"/>
                <w:b/>
                <w:bCs/>
                <w:color w:val="auto"/>
                <w:szCs w:val="21"/>
                <w:highlight w:val="none"/>
              </w:rPr>
              <w:t>方案</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5410" w:type="dxa"/>
            <w:noWrap w:val="0"/>
            <w:vAlign w:val="center"/>
          </w:tcPr>
          <w:p w14:paraId="119D0F19">
            <w:pPr>
              <w:pStyle w:val="4"/>
              <w:spacing w:line="420" w:lineRule="exact"/>
              <w:rPr>
                <w:rFonts w:hint="eastAsia" w:hAnsi="宋体" w:cs="宋体"/>
                <w:bCs/>
                <w:color w:val="auto"/>
                <w:sz w:val="21"/>
                <w:highlight w:val="none"/>
              </w:rPr>
            </w:pPr>
            <w:r>
              <w:rPr>
                <w:rFonts w:hint="eastAsia" w:hAnsi="宋体" w:cs="宋体"/>
                <w:bCs/>
                <w:color w:val="auto"/>
                <w:sz w:val="21"/>
                <w:highlight w:val="none"/>
              </w:rPr>
              <w:t>由</w:t>
            </w:r>
            <w:r>
              <w:rPr>
                <w:rFonts w:hint="eastAsia" w:ascii="宋体" w:hAnsi="宋体" w:eastAsia="宋体" w:cs="宋体"/>
                <w:bCs/>
                <w:color w:val="auto"/>
                <w:sz w:val="21"/>
                <w:highlight w:val="none"/>
              </w:rPr>
              <w:t>评委根据各投标人提供的</w:t>
            </w:r>
            <w:r>
              <w:rPr>
                <w:rFonts w:hint="eastAsia" w:ascii="宋体" w:hAnsi="宋体" w:eastAsia="宋体" w:cs="宋体"/>
                <w:bCs/>
                <w:color w:val="auto"/>
                <w:sz w:val="21"/>
                <w:highlight w:val="none"/>
                <w:lang w:val="en-US" w:eastAsia="zh-CN"/>
              </w:rPr>
              <w:t>建设方案（包括但不限于</w:t>
            </w:r>
            <w:r>
              <w:rPr>
                <w:rFonts w:hint="default" w:ascii="宋体" w:hAnsi="宋体" w:eastAsia="宋体" w:cs="宋体"/>
                <w:bCs/>
                <w:color w:val="auto"/>
                <w:sz w:val="21"/>
                <w:highlight w:val="none"/>
                <w:lang w:val="en-US" w:eastAsia="zh-CN"/>
              </w:rPr>
              <w:t>①</w:t>
            </w:r>
            <w:r>
              <w:rPr>
                <w:rFonts w:hint="eastAsia" w:ascii="宋体" w:hAnsi="宋体" w:eastAsia="宋体" w:cs="宋体"/>
                <w:bCs/>
                <w:color w:val="auto"/>
                <w:sz w:val="21"/>
                <w:highlight w:val="none"/>
                <w:lang w:val="en-US" w:eastAsia="zh-CN"/>
              </w:rPr>
              <w:t>针对项目特点提出详尽的需求分析</w:t>
            </w:r>
            <w:r>
              <w:rPr>
                <w:rFonts w:hint="eastAsia" w:hAnsi="宋体" w:cs="宋体"/>
                <w:bCs/>
                <w:color w:val="auto"/>
                <w:sz w:val="21"/>
                <w:highlight w:val="none"/>
                <w:lang w:val="en-US" w:eastAsia="zh-CN"/>
              </w:rPr>
              <w:t>，</w:t>
            </w:r>
            <w:r>
              <w:rPr>
                <w:rFonts w:hint="eastAsia" w:ascii="宋体" w:hAnsi="宋体" w:eastAsia="宋体" w:cs="宋体"/>
                <w:bCs/>
                <w:color w:val="auto"/>
                <w:sz w:val="21"/>
                <w:highlight w:val="none"/>
                <w:lang w:val="en-US" w:eastAsia="zh-CN"/>
              </w:rPr>
              <w:t>逻辑清晰，描述具体；</w:t>
            </w:r>
            <w:r>
              <w:rPr>
                <w:rFonts w:hint="default" w:ascii="宋体" w:hAnsi="宋体" w:eastAsia="宋体" w:cs="宋体"/>
                <w:bCs/>
                <w:color w:val="auto"/>
                <w:sz w:val="21"/>
                <w:highlight w:val="none"/>
                <w:lang w:val="en-US" w:eastAsia="zh-CN"/>
              </w:rPr>
              <w:t>②</w:t>
            </w:r>
            <w:r>
              <w:rPr>
                <w:rFonts w:hint="eastAsia" w:ascii="宋体" w:hAnsi="宋体" w:eastAsia="宋体" w:cs="宋体"/>
                <w:bCs/>
                <w:color w:val="auto"/>
                <w:sz w:val="21"/>
                <w:highlight w:val="none"/>
                <w:lang w:val="en-US" w:eastAsia="zh-CN"/>
              </w:rPr>
              <w:t>系统功能内容分析透彻，逻辑清晰、描述具体）</w:t>
            </w:r>
            <w:r>
              <w:rPr>
                <w:rFonts w:hint="eastAsia" w:ascii="宋体" w:hAnsi="宋体" w:eastAsia="宋体" w:cs="宋体"/>
                <w:bCs/>
                <w:color w:val="auto"/>
                <w:sz w:val="21"/>
                <w:highlight w:val="none"/>
              </w:rPr>
              <w:t>，确定各投标人所属档次及分值。</w:t>
            </w:r>
          </w:p>
          <w:p w14:paraId="1CAB4506">
            <w:pPr>
              <w:pStyle w:val="4"/>
              <w:spacing w:line="420" w:lineRule="exact"/>
              <w:rPr>
                <w:rFonts w:hint="eastAsia" w:hAnsi="宋体" w:cs="宋体"/>
                <w:bCs/>
                <w:color w:val="auto"/>
                <w:sz w:val="21"/>
                <w:highlight w:val="none"/>
              </w:rPr>
            </w:pPr>
            <w:r>
              <w:rPr>
                <w:rFonts w:hint="eastAsia" w:hAnsi="宋体" w:cs="宋体"/>
                <w:bCs/>
                <w:color w:val="auto"/>
                <w:sz w:val="21"/>
                <w:highlight w:val="none"/>
              </w:rPr>
              <w:t xml:space="preserve">一档（0分）：未提供方案或方案内容与本项目无关。  </w:t>
            </w:r>
          </w:p>
          <w:p w14:paraId="2C4663E3">
            <w:pPr>
              <w:pStyle w:val="4"/>
              <w:spacing w:line="420" w:lineRule="exact"/>
              <w:rPr>
                <w:rFonts w:hint="eastAsia" w:hAnsi="宋体" w:cs="宋体"/>
                <w:bCs/>
                <w:color w:val="auto"/>
                <w:sz w:val="21"/>
                <w:highlight w:val="none"/>
              </w:rPr>
            </w:pPr>
            <w:r>
              <w:rPr>
                <w:rFonts w:hint="eastAsia" w:hAnsi="宋体" w:cs="宋体"/>
                <w:bCs/>
                <w:color w:val="auto"/>
                <w:sz w:val="21"/>
                <w:highlight w:val="none"/>
              </w:rPr>
              <w:t>二档（</w:t>
            </w:r>
            <w:r>
              <w:rPr>
                <w:rFonts w:hint="eastAsia" w:hAnsi="宋体" w:cs="宋体"/>
                <w:bCs/>
                <w:color w:val="auto"/>
                <w:sz w:val="21"/>
                <w:highlight w:val="none"/>
                <w:lang w:val="en-US" w:eastAsia="zh-CN"/>
              </w:rPr>
              <w:t>5</w:t>
            </w:r>
            <w:r>
              <w:rPr>
                <w:rFonts w:hint="eastAsia" w:hAnsi="宋体" w:cs="宋体"/>
                <w:bCs/>
                <w:color w:val="auto"/>
                <w:sz w:val="21"/>
                <w:highlight w:val="none"/>
              </w:rPr>
              <w:t>分）：投标人对项目建设目标、整体架构、功能模块、技术方案等方面内容，未完整表述，仅满足公开招标文件中功能要求及性能要求</w:t>
            </w:r>
            <w:r>
              <w:rPr>
                <w:rFonts w:hint="eastAsia" w:hAnsi="宋体" w:cs="宋体"/>
                <w:color w:val="auto"/>
                <w:highlight w:val="none"/>
              </w:rPr>
              <w:t>。</w:t>
            </w:r>
          </w:p>
          <w:p w14:paraId="5F7DC841">
            <w:pPr>
              <w:pStyle w:val="4"/>
              <w:spacing w:line="420" w:lineRule="exact"/>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10</w:t>
            </w:r>
            <w:r>
              <w:rPr>
                <w:rFonts w:hint="eastAsia" w:hAnsi="宋体" w:cs="宋体"/>
                <w:bCs/>
                <w:color w:val="auto"/>
                <w:sz w:val="21"/>
                <w:highlight w:val="none"/>
              </w:rPr>
              <w:t>分）：</w:t>
            </w:r>
            <w:r>
              <w:rPr>
                <w:rFonts w:hint="eastAsia" w:hAnsi="宋体" w:cs="宋体"/>
                <w:bCs/>
                <w:color w:val="auto"/>
                <w:sz w:val="21"/>
                <w:highlight w:val="none"/>
                <w:lang w:val="en-US" w:eastAsia="zh-CN"/>
              </w:rPr>
              <w:t>二</w:t>
            </w:r>
            <w:r>
              <w:rPr>
                <w:rFonts w:hint="eastAsia" w:ascii="宋体" w:hAnsi="宋体"/>
                <w:color w:val="auto"/>
                <w:szCs w:val="21"/>
                <w:highlight w:val="none"/>
              </w:rPr>
              <w:t>档基础上，提供的</w:t>
            </w:r>
            <w:r>
              <w:rPr>
                <w:rFonts w:hint="eastAsia" w:ascii="宋体" w:hAnsi="宋体"/>
                <w:color w:val="auto"/>
                <w:szCs w:val="21"/>
                <w:highlight w:val="none"/>
                <w:lang w:val="en-US" w:eastAsia="zh-CN"/>
              </w:rPr>
              <w:t>建设</w:t>
            </w:r>
            <w:r>
              <w:rPr>
                <w:rFonts w:hint="eastAsia" w:ascii="宋体" w:hAnsi="宋体"/>
                <w:color w:val="auto"/>
                <w:szCs w:val="21"/>
                <w:highlight w:val="none"/>
              </w:rPr>
              <w:t>方案满足招标文件的系统模块需求，需求分析需结合广西实际情况；整体规划及技术架构、应用架构、网络架构、数据架构清晰，系统应用功能业务流程清晰、功能描述详实，能</w:t>
            </w:r>
            <w:r>
              <w:rPr>
                <w:rFonts w:hint="eastAsia" w:ascii="宋体" w:hAnsi="宋体"/>
                <w:color w:val="auto"/>
                <w:szCs w:val="21"/>
                <w:highlight w:val="none"/>
                <w:lang w:val="en-US" w:eastAsia="zh-CN"/>
              </w:rPr>
              <w:t>在方案中</w:t>
            </w:r>
            <w:r>
              <w:rPr>
                <w:rFonts w:hint="eastAsia" w:ascii="宋体" w:hAnsi="宋体"/>
                <w:color w:val="auto"/>
                <w:szCs w:val="21"/>
                <w:highlight w:val="none"/>
              </w:rPr>
              <w:t>承诺与现有</w:t>
            </w:r>
            <w:r>
              <w:rPr>
                <w:rFonts w:hint="eastAsia" w:ascii="宋体" w:hAnsi="宋体"/>
                <w:highlight w:val="none"/>
              </w:rPr>
              <w:t>广西公安机关声纹数据库对接</w:t>
            </w:r>
            <w:r>
              <w:rPr>
                <w:rFonts w:ascii="宋体" w:hAnsi="宋体"/>
                <w:highlight w:val="none"/>
              </w:rPr>
              <w:t>，</w:t>
            </w:r>
            <w:r>
              <w:rPr>
                <w:rFonts w:hint="eastAsia" w:ascii="宋体" w:hAnsi="宋体"/>
                <w:highlight w:val="none"/>
              </w:rPr>
              <w:t>对接后</w:t>
            </w:r>
            <w:r>
              <w:rPr>
                <w:rFonts w:ascii="宋体" w:hAnsi="宋体"/>
                <w:highlight w:val="none"/>
              </w:rPr>
              <w:t>可从声纹数据库中</w:t>
            </w:r>
            <w:r>
              <w:rPr>
                <w:rFonts w:hint="eastAsia" w:ascii="宋体" w:hAnsi="宋体"/>
                <w:highlight w:val="none"/>
              </w:rPr>
              <w:t>下载音频文件</w:t>
            </w:r>
            <w:r>
              <w:rPr>
                <w:rFonts w:ascii="宋体" w:hAnsi="宋体"/>
                <w:highlight w:val="none"/>
              </w:rPr>
              <w:t>，</w:t>
            </w:r>
            <w:r>
              <w:rPr>
                <w:rFonts w:hint="eastAsia" w:ascii="宋体" w:hAnsi="宋体"/>
                <w:highlight w:val="none"/>
              </w:rPr>
              <w:t>下载的音频文件自动</w:t>
            </w:r>
            <w:r>
              <w:rPr>
                <w:rFonts w:ascii="宋体" w:hAnsi="宋体"/>
                <w:highlight w:val="none"/>
              </w:rPr>
              <w:t>导入案件中进行</w:t>
            </w:r>
            <w:r>
              <w:rPr>
                <w:rFonts w:hint="eastAsia" w:ascii="宋体" w:hAnsi="宋体"/>
                <w:highlight w:val="none"/>
              </w:rPr>
              <w:t>检验鉴定</w:t>
            </w:r>
            <w:r>
              <w:rPr>
                <w:rFonts w:hint="eastAsia" w:ascii="宋体" w:hAnsi="宋体"/>
                <w:highlight w:val="none"/>
                <w:lang w:eastAsia="zh-CN"/>
              </w:rPr>
              <w:t>；</w:t>
            </w:r>
            <w:r>
              <w:rPr>
                <w:rFonts w:hint="eastAsia" w:ascii="宋体" w:hAnsi="宋体"/>
                <w:color w:val="auto"/>
                <w:szCs w:val="21"/>
                <w:highlight w:val="none"/>
              </w:rPr>
              <w:t>能</w:t>
            </w:r>
            <w:r>
              <w:rPr>
                <w:rFonts w:hint="eastAsia" w:ascii="宋体" w:hAnsi="宋体"/>
                <w:color w:val="auto"/>
                <w:szCs w:val="21"/>
                <w:highlight w:val="none"/>
                <w:lang w:val="en-US" w:eastAsia="zh-CN"/>
              </w:rPr>
              <w:t>在方案中承诺</w:t>
            </w:r>
            <w:r>
              <w:rPr>
                <w:rFonts w:hint="eastAsia" w:ascii="宋体" w:hAnsi="宋体"/>
                <w:highlight w:val="none"/>
              </w:rPr>
              <w:t>与广西刑侦综合应用系统对接，对接后可以把检验鉴定结果推送到刑侦综合应用系统，进行嫌疑人员身份确认、案件串并等</w:t>
            </w:r>
            <w:r>
              <w:rPr>
                <w:rFonts w:hint="eastAsia" w:hAnsi="宋体" w:cs="宋体"/>
                <w:color w:val="auto"/>
                <w:highlight w:val="none"/>
              </w:rPr>
              <w:t>。</w:t>
            </w:r>
          </w:p>
          <w:p w14:paraId="7F35D808">
            <w:pPr>
              <w:pStyle w:val="4"/>
              <w:spacing w:line="420" w:lineRule="exact"/>
              <w:rPr>
                <w:rFonts w:hint="eastAsia" w:hAnsi="宋体" w:cs="宋体"/>
                <w:bCs/>
                <w:color w:val="auto"/>
                <w:sz w:val="21"/>
                <w:highlight w:val="none"/>
              </w:rPr>
            </w:pPr>
            <w:r>
              <w:rPr>
                <w:rFonts w:hint="eastAsia" w:hAnsi="宋体" w:cs="宋体"/>
                <w:bCs/>
                <w:color w:val="auto"/>
                <w:sz w:val="21"/>
                <w:highlight w:val="none"/>
              </w:rPr>
              <w:t>四档（</w:t>
            </w:r>
            <w:r>
              <w:rPr>
                <w:rFonts w:hint="eastAsia" w:hAnsi="宋体" w:cs="宋体"/>
                <w:bCs/>
                <w:color w:val="auto"/>
                <w:sz w:val="21"/>
                <w:highlight w:val="none"/>
                <w:lang w:val="en-US" w:eastAsia="zh-CN"/>
              </w:rPr>
              <w:t>15</w:t>
            </w:r>
            <w:r>
              <w:rPr>
                <w:rFonts w:hint="eastAsia" w:hAnsi="宋体" w:cs="宋体"/>
                <w:bCs/>
                <w:color w:val="auto"/>
                <w:sz w:val="21"/>
                <w:highlight w:val="none"/>
              </w:rPr>
              <w:t>分）：</w:t>
            </w:r>
            <w:r>
              <w:rPr>
                <w:rFonts w:hint="eastAsia" w:ascii="宋体" w:hAnsi="宋体"/>
                <w:color w:val="auto"/>
                <w:szCs w:val="21"/>
                <w:highlight w:val="none"/>
              </w:rPr>
              <w:t>在</w:t>
            </w:r>
            <w:r>
              <w:rPr>
                <w:rFonts w:hint="eastAsia" w:hAnsi="宋体"/>
                <w:color w:val="auto"/>
                <w:szCs w:val="21"/>
                <w:highlight w:val="none"/>
                <w:lang w:val="en-US" w:eastAsia="zh-CN"/>
              </w:rPr>
              <w:t>三</w:t>
            </w:r>
            <w:r>
              <w:rPr>
                <w:rFonts w:hint="eastAsia" w:ascii="宋体" w:hAnsi="宋体"/>
                <w:color w:val="auto"/>
                <w:szCs w:val="21"/>
                <w:highlight w:val="none"/>
              </w:rPr>
              <w:t>档基础上，提供的</w:t>
            </w:r>
            <w:r>
              <w:rPr>
                <w:rFonts w:hint="eastAsia" w:ascii="宋体" w:hAnsi="宋体"/>
                <w:color w:val="auto"/>
                <w:szCs w:val="21"/>
                <w:highlight w:val="none"/>
                <w:lang w:val="en-US" w:eastAsia="zh-CN"/>
              </w:rPr>
              <w:t>建设</w:t>
            </w:r>
            <w:r>
              <w:rPr>
                <w:rFonts w:hint="eastAsia" w:ascii="宋体" w:hAnsi="宋体"/>
                <w:color w:val="auto"/>
                <w:szCs w:val="21"/>
                <w:highlight w:val="none"/>
              </w:rPr>
              <w:t>方案优于招标文件的系统模块需求，需求分析需结合广西实际情况；整体规划及技术架构、应用架构、网络架构、数据架构清晰，系统应用功能业务流程清晰、功能描述详实</w:t>
            </w:r>
            <w:r>
              <w:rPr>
                <w:rFonts w:hint="eastAsia" w:ascii="宋体" w:hAnsi="宋体"/>
                <w:color w:val="auto"/>
                <w:szCs w:val="21"/>
                <w:highlight w:val="none"/>
                <w:lang w:val="en-US" w:eastAsia="zh-CN"/>
              </w:rPr>
              <w:t>且每项功能点都能提供软件/软件原型截图，产品功能、</w:t>
            </w:r>
            <w:r>
              <w:rPr>
                <w:rFonts w:hint="eastAsia" w:ascii="宋体" w:hAnsi="宋体"/>
                <w:color w:val="auto"/>
                <w:szCs w:val="21"/>
                <w:highlight w:val="none"/>
              </w:rPr>
              <w:t>整体技术方案与需求契合度高；在整体规划及技术方案层面与需求契合度优秀；能</w:t>
            </w:r>
            <w:r>
              <w:rPr>
                <w:rFonts w:hint="eastAsia" w:ascii="宋体" w:hAnsi="宋体"/>
                <w:color w:val="auto"/>
                <w:szCs w:val="21"/>
                <w:highlight w:val="none"/>
                <w:lang w:val="en-US" w:eastAsia="zh-CN"/>
              </w:rPr>
              <w:t>在方案中</w:t>
            </w:r>
            <w:r>
              <w:rPr>
                <w:rFonts w:hint="eastAsia" w:ascii="宋体" w:hAnsi="宋体"/>
                <w:color w:val="auto"/>
                <w:szCs w:val="21"/>
                <w:highlight w:val="none"/>
              </w:rPr>
              <w:t>承诺与现有</w:t>
            </w:r>
            <w:r>
              <w:rPr>
                <w:rFonts w:hint="eastAsia" w:ascii="宋体" w:hAnsi="宋体"/>
                <w:highlight w:val="none"/>
              </w:rPr>
              <w:t>广西公安机关声纹数据库对接</w:t>
            </w:r>
            <w:r>
              <w:rPr>
                <w:rFonts w:ascii="宋体" w:hAnsi="宋体"/>
                <w:highlight w:val="none"/>
              </w:rPr>
              <w:t>，</w:t>
            </w:r>
            <w:r>
              <w:rPr>
                <w:rFonts w:hint="eastAsia" w:ascii="宋体" w:hAnsi="宋体"/>
                <w:highlight w:val="none"/>
              </w:rPr>
              <w:t>对接后</w:t>
            </w:r>
            <w:r>
              <w:rPr>
                <w:rFonts w:ascii="宋体" w:hAnsi="宋体"/>
                <w:highlight w:val="none"/>
              </w:rPr>
              <w:t>可从声纹数据库中</w:t>
            </w:r>
            <w:r>
              <w:rPr>
                <w:rFonts w:hint="eastAsia" w:ascii="宋体" w:hAnsi="宋体"/>
                <w:highlight w:val="none"/>
              </w:rPr>
              <w:t>下载音频文件</w:t>
            </w:r>
            <w:r>
              <w:rPr>
                <w:rFonts w:hint="eastAsia" w:hAnsi="宋体"/>
                <w:highlight w:val="none"/>
                <w:lang w:eastAsia="zh-CN"/>
              </w:rPr>
              <w:t>，将</w:t>
            </w:r>
            <w:r>
              <w:rPr>
                <w:rFonts w:hint="eastAsia" w:ascii="宋体" w:hAnsi="宋体"/>
                <w:highlight w:val="none"/>
              </w:rPr>
              <w:t>下载的音频文件自动</w:t>
            </w:r>
            <w:r>
              <w:rPr>
                <w:rFonts w:ascii="宋体" w:hAnsi="宋体"/>
                <w:highlight w:val="none"/>
              </w:rPr>
              <w:t>导入案件中进行</w:t>
            </w:r>
            <w:r>
              <w:rPr>
                <w:rFonts w:hint="eastAsia" w:ascii="宋体" w:hAnsi="宋体"/>
                <w:highlight w:val="none"/>
              </w:rPr>
              <w:t>检验鉴定</w:t>
            </w:r>
            <w:r>
              <w:rPr>
                <w:rFonts w:hint="eastAsia" w:ascii="宋体" w:hAnsi="宋体"/>
                <w:highlight w:val="none"/>
                <w:lang w:eastAsia="zh-CN"/>
              </w:rPr>
              <w:t>；</w:t>
            </w:r>
            <w:r>
              <w:rPr>
                <w:rFonts w:hint="eastAsia" w:ascii="宋体" w:hAnsi="宋体"/>
                <w:color w:val="auto"/>
                <w:szCs w:val="21"/>
                <w:highlight w:val="none"/>
              </w:rPr>
              <w:t>能</w:t>
            </w:r>
            <w:r>
              <w:rPr>
                <w:rFonts w:hint="eastAsia" w:ascii="宋体" w:hAnsi="宋体"/>
                <w:color w:val="auto"/>
                <w:szCs w:val="21"/>
                <w:highlight w:val="none"/>
                <w:lang w:val="en-US" w:eastAsia="zh-CN"/>
              </w:rPr>
              <w:t>在方案中</w:t>
            </w:r>
            <w:r>
              <w:rPr>
                <w:rFonts w:hint="eastAsia" w:ascii="宋体" w:hAnsi="宋体"/>
                <w:color w:val="auto"/>
                <w:szCs w:val="21"/>
                <w:highlight w:val="none"/>
              </w:rPr>
              <w:t>承诺</w:t>
            </w:r>
            <w:r>
              <w:rPr>
                <w:rFonts w:hint="eastAsia" w:ascii="宋体" w:hAnsi="宋体"/>
                <w:highlight w:val="none"/>
              </w:rPr>
              <w:t>与广西刑侦综合应用系统对接，对接后可以把检验鉴定结果推送到刑侦综合应用系统，进行嫌疑人员身份确认、案件串并等</w:t>
            </w:r>
            <w:r>
              <w:rPr>
                <w:rFonts w:hint="eastAsia" w:ascii="宋体" w:hAnsi="宋体"/>
                <w:color w:val="auto"/>
                <w:szCs w:val="21"/>
                <w:highlight w:val="none"/>
              </w:rPr>
              <w:t>；同时方案能体现先进性、可行性和可扩展性，完全符合项目建设的实际需求</w:t>
            </w:r>
            <w:r>
              <w:rPr>
                <w:rFonts w:hint="eastAsia" w:hAnsi="宋体" w:cs="宋体"/>
                <w:bCs/>
                <w:color w:val="auto"/>
                <w:sz w:val="21"/>
                <w:highlight w:val="none"/>
              </w:rPr>
              <w:t>。</w:t>
            </w:r>
          </w:p>
        </w:tc>
      </w:tr>
      <w:tr w14:paraId="665F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46956917">
            <w:pPr>
              <w:adjustRightInd w:val="0"/>
              <w:spacing w:line="42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18CAF75F">
            <w:pPr>
              <w:adjustRightInd w:val="0"/>
              <w:spacing w:line="42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77821A8A">
            <w:pPr>
              <w:adjustRightInd w:val="0"/>
              <w:spacing w:line="420" w:lineRule="exact"/>
              <w:jc w:val="center"/>
              <w:textAlignment w:val="baseline"/>
              <w:rPr>
                <w:rFonts w:hint="eastAsia" w:ascii="宋体" w:hAnsi="宋体" w:cs="宋体"/>
                <w:b/>
                <w:color w:val="auto"/>
                <w:szCs w:val="21"/>
                <w:highlight w:val="none"/>
              </w:rPr>
            </w:pPr>
          </w:p>
        </w:tc>
        <w:tc>
          <w:tcPr>
            <w:tcW w:w="1559" w:type="dxa"/>
            <w:noWrap w:val="0"/>
            <w:vAlign w:val="center"/>
          </w:tcPr>
          <w:p w14:paraId="10777332">
            <w:pPr>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（3）实施方案（</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5分）</w:t>
            </w:r>
          </w:p>
        </w:tc>
        <w:tc>
          <w:tcPr>
            <w:tcW w:w="5410" w:type="dxa"/>
            <w:noWrap w:val="0"/>
            <w:vAlign w:val="center"/>
          </w:tcPr>
          <w:p w14:paraId="3F33C4DA">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由评委根据投标人的实施方案（包括但不限于①</w:t>
            </w:r>
            <w:r>
              <w:rPr>
                <w:rFonts w:hint="eastAsia" w:ascii="宋体" w:hAnsi="宋体" w:cs="宋体"/>
                <w:bCs/>
                <w:color w:val="auto"/>
                <w:szCs w:val="21"/>
                <w:highlight w:val="none"/>
                <w:lang w:val="en-US" w:eastAsia="zh-CN"/>
              </w:rPr>
              <w:t>对项目的理解、重点难点分析</w:t>
            </w:r>
            <w:r>
              <w:rPr>
                <w:rFonts w:hint="eastAsia" w:ascii="宋体" w:hAnsi="宋体" w:cs="宋体"/>
                <w:bCs/>
                <w:color w:val="auto"/>
                <w:szCs w:val="21"/>
                <w:highlight w:val="none"/>
              </w:rPr>
              <w:t>；②</w:t>
            </w:r>
            <w:r>
              <w:rPr>
                <w:rFonts w:hint="eastAsia" w:ascii="宋体" w:hAnsi="宋体" w:cs="宋体"/>
                <w:bCs/>
                <w:color w:val="auto"/>
                <w:szCs w:val="21"/>
                <w:highlight w:val="none"/>
                <w:lang w:val="en-US" w:eastAsia="zh-CN"/>
              </w:rPr>
              <w:t>组</w:t>
            </w:r>
            <w:r>
              <w:rPr>
                <w:rFonts w:hint="eastAsia"/>
                <w:highlight w:val="none"/>
              </w:rPr>
              <w:t>织架构与角色分工、实施计划与进度管控、资源保障计划、风险与质量控制</w:t>
            </w:r>
            <w:r>
              <w:rPr>
                <w:rFonts w:hint="eastAsia" w:ascii="宋体" w:hAnsi="宋体" w:cs="宋体"/>
                <w:bCs/>
                <w:color w:val="auto"/>
                <w:szCs w:val="21"/>
                <w:highlight w:val="none"/>
              </w:rPr>
              <w:t>；③安装部署方案、运行调试方案），确定各投标人所属档次及分值。</w:t>
            </w:r>
          </w:p>
          <w:p w14:paraId="3FEF66CB">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一档（0分）：未提供方案或方案内容与本项目无关。</w:t>
            </w:r>
          </w:p>
          <w:p w14:paraId="60F66A9E">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r>
              <w:rPr>
                <w:rFonts w:hint="eastAsia" w:ascii="宋体" w:hAnsi="宋体"/>
                <w:color w:val="auto"/>
                <w:szCs w:val="21"/>
                <w:highlight w:val="none"/>
                <w:lang w:val="en-US" w:eastAsia="zh-CN"/>
              </w:rPr>
              <w:t>基本理解本项目的建设内容、目标，基本满足项目工作要求及服务要求，提出了基本可行的项目实施方案</w:t>
            </w:r>
            <w:r>
              <w:rPr>
                <w:rFonts w:hint="eastAsia" w:ascii="宋体" w:hAnsi="宋体" w:cs="宋体"/>
                <w:bCs/>
                <w:color w:val="auto"/>
                <w:szCs w:val="21"/>
                <w:highlight w:val="none"/>
              </w:rPr>
              <w:t>。</w:t>
            </w:r>
          </w:p>
          <w:p w14:paraId="70246004">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r>
              <w:rPr>
                <w:rFonts w:hint="eastAsia" w:ascii="宋体" w:hAnsi="宋体"/>
                <w:color w:val="auto"/>
                <w:szCs w:val="21"/>
                <w:highlight w:val="none"/>
                <w:lang w:val="en-US" w:eastAsia="zh-CN"/>
              </w:rPr>
              <w:t>能理解本项目建设内容、目标，项目实施方案较详细，满足项目工作要求及服务要求，把握本项目需求的重点、难点和要点；能针对项目硬件内容提出方案；有相关保障措施能力、各项关键工作安排等描述</w:t>
            </w:r>
            <w:r>
              <w:rPr>
                <w:rFonts w:hint="eastAsia" w:ascii="宋体" w:hAnsi="宋体" w:cs="宋体"/>
                <w:bCs/>
                <w:color w:val="auto"/>
                <w:szCs w:val="21"/>
                <w:highlight w:val="none"/>
              </w:rPr>
              <w:t>。</w:t>
            </w:r>
          </w:p>
          <w:p w14:paraId="3010A6F3">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r>
              <w:rPr>
                <w:rFonts w:hint="eastAsia" w:ascii="宋体" w:hAnsi="宋体"/>
                <w:color w:val="auto"/>
                <w:szCs w:val="21"/>
                <w:highlight w:val="none"/>
                <w:lang w:val="en-US" w:eastAsia="zh-CN"/>
              </w:rPr>
              <w:t>能准确理解本项目建设内容、目标，项目实施方案全面且详细，满足项目工作要求及服务要求，能准确把握本项目需求的重点、难点和要点；能针对项目软硬件内容提出详细可行的方案；能提供满足实际的网络拓扑系统图，能详细说明项目各个阶段的相关保障措施及工作进度安排，对本项目的风险预见、风险应对措施完备，有完善地保障项目实施质量方案</w:t>
            </w:r>
            <w:r>
              <w:rPr>
                <w:rFonts w:hint="eastAsia" w:ascii="宋体" w:hAnsi="宋体" w:cs="宋体"/>
                <w:bCs/>
                <w:color w:val="auto"/>
                <w:szCs w:val="21"/>
                <w:highlight w:val="none"/>
              </w:rPr>
              <w:t>。</w:t>
            </w:r>
          </w:p>
        </w:tc>
      </w:tr>
      <w:tr w14:paraId="0B32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31E13EBE">
            <w:pPr>
              <w:adjustRightInd w:val="0"/>
              <w:spacing w:line="42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35568002">
            <w:pPr>
              <w:adjustRightInd w:val="0"/>
              <w:spacing w:line="42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23B95F9A">
            <w:pPr>
              <w:adjustRightInd w:val="0"/>
              <w:spacing w:line="420" w:lineRule="exact"/>
              <w:jc w:val="center"/>
              <w:textAlignment w:val="baseline"/>
              <w:rPr>
                <w:rFonts w:hint="eastAsia" w:ascii="宋体" w:hAnsi="宋体" w:cs="宋体"/>
                <w:b/>
                <w:color w:val="auto"/>
                <w:szCs w:val="21"/>
                <w:highlight w:val="none"/>
              </w:rPr>
            </w:pPr>
          </w:p>
        </w:tc>
        <w:tc>
          <w:tcPr>
            <w:tcW w:w="1559" w:type="dxa"/>
            <w:noWrap w:val="0"/>
            <w:vAlign w:val="center"/>
          </w:tcPr>
          <w:p w14:paraId="64529BA3">
            <w:pPr>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服务方案（</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分）</w:t>
            </w:r>
          </w:p>
        </w:tc>
        <w:tc>
          <w:tcPr>
            <w:tcW w:w="5410" w:type="dxa"/>
            <w:noWrap w:val="0"/>
            <w:vAlign w:val="center"/>
          </w:tcPr>
          <w:p w14:paraId="0036EE79">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由评委根据投</w:t>
            </w:r>
            <w:r>
              <w:rPr>
                <w:rFonts w:hint="eastAsia" w:ascii="宋体" w:hAnsi="宋体" w:eastAsia="宋体" w:cs="宋体"/>
                <w:bCs/>
                <w:color w:val="auto"/>
                <w:szCs w:val="21"/>
                <w:highlight w:val="none"/>
              </w:rPr>
              <w:t>标人的服务方案（包括但不限于</w:t>
            </w:r>
            <w:r>
              <w:rPr>
                <w:rFonts w:hint="default" w:ascii="宋体" w:hAnsi="宋体" w:eastAsia="宋体" w:cs="宋体"/>
                <w:bCs/>
                <w:color w:val="auto"/>
                <w:szCs w:val="21"/>
                <w:highlight w:val="none"/>
                <w:lang w:val="en-US" w:eastAsia="zh-CN"/>
              </w:rPr>
              <w:t>①</w:t>
            </w:r>
            <w:r>
              <w:rPr>
                <w:rFonts w:hint="eastAsia" w:ascii="宋体" w:hAnsi="宋体" w:eastAsia="宋体" w:cs="宋体"/>
                <w:bCs/>
                <w:color w:val="auto"/>
                <w:szCs w:val="21"/>
                <w:highlight w:val="none"/>
                <w:lang w:val="en-US" w:eastAsia="zh-CN"/>
              </w:rPr>
              <w:t>声纹检验鉴定服务方案；</w:t>
            </w:r>
            <w:r>
              <w:rPr>
                <w:rFonts w:hint="default" w:ascii="宋体" w:hAnsi="宋体" w:eastAsia="宋体" w:cs="宋体"/>
                <w:bCs/>
                <w:color w:val="auto"/>
                <w:szCs w:val="21"/>
                <w:highlight w:val="none"/>
                <w:lang w:val="en-US" w:eastAsia="zh-CN"/>
              </w:rPr>
              <w:t>②</w:t>
            </w:r>
            <w:r>
              <w:rPr>
                <w:rFonts w:hint="eastAsia" w:ascii="宋体" w:hAnsi="宋体" w:eastAsia="宋体" w:cs="宋体"/>
                <w:bCs/>
                <w:color w:val="auto"/>
                <w:szCs w:val="21"/>
                <w:highlight w:val="none"/>
                <w:lang w:val="en-US" w:eastAsia="zh-CN"/>
              </w:rPr>
              <w:t>驻场服务方案；</w:t>
            </w:r>
            <w:r>
              <w:rPr>
                <w:rFonts w:hint="default" w:ascii="宋体" w:hAnsi="宋体" w:eastAsia="宋体" w:cs="宋体"/>
                <w:bCs/>
                <w:color w:val="auto"/>
                <w:szCs w:val="21"/>
                <w:highlight w:val="none"/>
                <w:lang w:val="en-US" w:eastAsia="zh-CN"/>
              </w:rPr>
              <w:t>③</w:t>
            </w:r>
            <w:r>
              <w:rPr>
                <w:rFonts w:hint="eastAsia" w:ascii="宋体" w:hAnsi="宋体" w:eastAsia="宋体" w:cs="宋体"/>
                <w:bCs/>
                <w:color w:val="auto"/>
                <w:szCs w:val="21"/>
                <w:highlight w:val="none"/>
                <w:lang w:val="en-US" w:eastAsia="zh-CN"/>
              </w:rPr>
              <w:t>系统运行维护方案；④定制化开发与业务适配服务方案；⑤案件协查服务方案；⑥应急响应服务方案；⑦保密承诺</w:t>
            </w:r>
            <w:r>
              <w:rPr>
                <w:rFonts w:hint="eastAsia" w:ascii="宋体" w:hAnsi="宋体" w:eastAsia="宋体" w:cs="宋体"/>
                <w:bCs/>
                <w:color w:val="auto"/>
                <w:szCs w:val="21"/>
                <w:highlight w:val="none"/>
              </w:rPr>
              <w:t>），确定各投标人所属档次及分值。</w:t>
            </w:r>
          </w:p>
          <w:p w14:paraId="0BD2D685">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一档（0分）：未提供方案或方案内容与本项目无关。</w:t>
            </w:r>
          </w:p>
          <w:p w14:paraId="7CD1AA99">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r>
              <w:rPr>
                <w:rFonts w:hint="default" w:ascii="宋体" w:hAnsi="宋体"/>
                <w:color w:val="auto"/>
                <w:szCs w:val="21"/>
                <w:highlight w:val="none"/>
                <w:lang w:val="en-US" w:eastAsia="zh-CN"/>
              </w:rPr>
              <w:t>服务方案基本完整，对服务流程、故障处理、系统运维、人员配备等内容有初步描述，但缺乏细节和针对性，未能充分体现对本项目声纹检验鉴定业务的理解和支持能力</w:t>
            </w:r>
            <w:r>
              <w:rPr>
                <w:rFonts w:hint="eastAsia" w:ascii="宋体" w:hAnsi="宋体" w:cs="宋体"/>
                <w:bCs/>
                <w:color w:val="auto"/>
                <w:szCs w:val="21"/>
                <w:highlight w:val="none"/>
              </w:rPr>
              <w:t>。</w:t>
            </w:r>
          </w:p>
          <w:p w14:paraId="7761915D">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分）：</w:t>
            </w:r>
            <w:r>
              <w:rPr>
                <w:rFonts w:hint="default" w:ascii="宋体" w:hAnsi="宋体"/>
                <w:color w:val="auto"/>
                <w:szCs w:val="21"/>
                <w:highlight w:val="none"/>
                <w:lang w:val="en-US" w:eastAsia="zh-CN"/>
              </w:rPr>
              <w:t>服务方案全面、合理，对故障处理流程、系统巡检机制、服务响应体系、技术培训服务、案件协查支持</w:t>
            </w:r>
            <w:r>
              <w:rPr>
                <w:rFonts w:hint="eastAsia" w:ascii="宋体" w:hAnsi="宋体"/>
                <w:color w:val="auto"/>
                <w:szCs w:val="21"/>
                <w:highlight w:val="none"/>
                <w:lang w:val="en-US" w:eastAsia="zh-CN"/>
              </w:rPr>
              <w:t>、拟投入人员信息</w:t>
            </w:r>
            <w:r>
              <w:rPr>
                <w:rFonts w:hint="default" w:ascii="宋体" w:hAnsi="宋体"/>
                <w:color w:val="auto"/>
                <w:szCs w:val="21"/>
                <w:highlight w:val="none"/>
                <w:lang w:val="en-US" w:eastAsia="zh-CN"/>
              </w:rPr>
              <w:t>等有较详细描述，具备一定的实操性和可行性，能基本满足项目实战需求</w:t>
            </w:r>
            <w:r>
              <w:rPr>
                <w:rFonts w:hint="eastAsia" w:ascii="宋体" w:hAnsi="宋体" w:cs="宋体"/>
                <w:bCs/>
                <w:color w:val="auto"/>
                <w:szCs w:val="21"/>
                <w:highlight w:val="none"/>
              </w:rPr>
              <w:t>。</w:t>
            </w:r>
          </w:p>
          <w:p w14:paraId="5BF29284">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分）：</w:t>
            </w:r>
            <w:r>
              <w:rPr>
                <w:rFonts w:hint="default" w:ascii="宋体" w:hAnsi="宋体"/>
                <w:color w:val="auto"/>
                <w:szCs w:val="21"/>
                <w:highlight w:val="none"/>
                <w:lang w:val="en-US" w:eastAsia="zh-CN"/>
              </w:rPr>
              <w:t>服务方案全面、系统、详实，内容紧扣声纹检验鉴定业务全流程，</w:t>
            </w:r>
            <w:r>
              <w:rPr>
                <w:rFonts w:hint="default" w:ascii="宋体" w:hAnsi="宋体"/>
                <w:b w:val="0"/>
                <w:bCs w:val="0"/>
                <w:color w:val="auto"/>
                <w:szCs w:val="21"/>
                <w:highlight w:val="none"/>
                <w:lang w:val="en-US" w:eastAsia="zh-CN"/>
              </w:rPr>
              <w:t>对</w:t>
            </w:r>
            <w:r>
              <w:rPr>
                <w:rFonts w:hint="eastAsia" w:ascii="宋体" w:hAnsi="宋体"/>
                <w:b w:val="0"/>
                <w:bCs w:val="0"/>
                <w:color w:val="auto"/>
                <w:szCs w:val="21"/>
                <w:highlight w:val="none"/>
                <w:lang w:val="en-US" w:eastAsia="zh-CN"/>
              </w:rPr>
              <w:t>声纹检验鉴定服务、服务</w:t>
            </w:r>
            <w:r>
              <w:rPr>
                <w:rFonts w:hint="default" w:ascii="宋体" w:hAnsi="宋体"/>
                <w:b w:val="0"/>
                <w:bCs w:val="0"/>
                <w:color w:val="auto"/>
                <w:szCs w:val="21"/>
                <w:highlight w:val="none"/>
                <w:lang w:val="en-US" w:eastAsia="zh-CN"/>
              </w:rPr>
              <w:t>沟通</w:t>
            </w:r>
            <w:r>
              <w:rPr>
                <w:rFonts w:hint="default" w:ascii="宋体" w:hAnsi="宋体"/>
                <w:color w:val="auto"/>
                <w:szCs w:val="21"/>
                <w:highlight w:val="none"/>
                <w:lang w:val="en-US" w:eastAsia="zh-CN"/>
              </w:rPr>
              <w:t>机制、定期巡检、故障应急响应、数据安全管理、驻场服务</w:t>
            </w:r>
            <w:r>
              <w:rPr>
                <w:rFonts w:hint="eastAsia" w:ascii="宋体" w:hAnsi="宋体"/>
                <w:color w:val="auto"/>
                <w:szCs w:val="21"/>
                <w:highlight w:val="none"/>
                <w:lang w:val="en-US" w:eastAsia="zh-CN"/>
              </w:rPr>
              <w:t>、拟投入人员信息</w:t>
            </w:r>
            <w:r>
              <w:rPr>
                <w:rFonts w:hint="default" w:ascii="宋体" w:hAnsi="宋体"/>
                <w:color w:val="auto"/>
                <w:szCs w:val="21"/>
                <w:highlight w:val="none"/>
                <w:lang w:val="en-US" w:eastAsia="zh-CN"/>
              </w:rPr>
              <w:t>等有详细说明；提供完整的服务流程图纸、工作记录模板；包含针对本项目特色的声纹鉴定</w:t>
            </w:r>
            <w:r>
              <w:rPr>
                <w:rFonts w:hint="eastAsia" w:ascii="宋体" w:hAnsi="宋体"/>
                <w:color w:val="auto"/>
                <w:szCs w:val="21"/>
                <w:highlight w:val="none"/>
                <w:lang w:val="en-US" w:eastAsia="zh-CN"/>
              </w:rPr>
              <w:t>服务方案</w:t>
            </w:r>
            <w:r>
              <w:rPr>
                <w:rFonts w:hint="default" w:ascii="宋体" w:hAnsi="宋体"/>
                <w:color w:val="auto"/>
                <w:szCs w:val="21"/>
                <w:highlight w:val="none"/>
                <w:lang w:val="en-US" w:eastAsia="zh-CN"/>
              </w:rPr>
              <w:t>、案件协查机制、跨省资源调度方案等；具备保密承诺、应急响应承诺等保障措施；方案体现对公安实战场景的深入理解，具备可操作性、可追溯性和持续优化机制</w:t>
            </w:r>
            <w:r>
              <w:rPr>
                <w:rFonts w:hint="eastAsia" w:ascii="宋体" w:hAnsi="宋体" w:cs="宋体"/>
                <w:bCs/>
                <w:color w:val="auto"/>
                <w:szCs w:val="21"/>
                <w:highlight w:val="none"/>
              </w:rPr>
              <w:t>。</w:t>
            </w:r>
          </w:p>
          <w:p w14:paraId="1540B24D">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注：</w:t>
            </w:r>
            <w:r>
              <w:rPr>
                <w:rFonts w:hint="eastAsia" w:ascii="宋体" w:hAnsi="宋体" w:cs="宋体"/>
                <w:bCs/>
                <w:color w:val="auto"/>
                <w:szCs w:val="21"/>
                <w:highlight w:val="none"/>
                <w:lang w:val="en-US"/>
              </w:rPr>
              <w:t>驻场人员应为</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lang w:val="en-US"/>
              </w:rPr>
              <w:t>本单位正式员工</w:t>
            </w:r>
            <w:r>
              <w:rPr>
                <w:rFonts w:hint="eastAsia" w:hAnsi="宋体" w:cs="宋体"/>
                <w:bCs/>
                <w:color w:val="auto"/>
                <w:sz w:val="21"/>
                <w:highlight w:val="none"/>
              </w:rPr>
              <w:t>，并提供</w:t>
            </w:r>
            <w:r>
              <w:rPr>
                <w:rFonts w:hint="eastAsia" w:hAnsi="宋体" w:cs="宋体"/>
                <w:bCs/>
                <w:color w:val="auto"/>
                <w:sz w:val="21"/>
                <w:highlight w:val="none"/>
                <w:lang w:val="en-US" w:eastAsia="zh-CN"/>
              </w:rPr>
              <w:t>投标截止之日前半年内任意一个月</w:t>
            </w:r>
            <w:r>
              <w:rPr>
                <w:rFonts w:hint="eastAsia" w:hAnsi="宋体" w:cs="宋体"/>
                <w:bCs/>
                <w:color w:val="auto"/>
                <w:sz w:val="21"/>
                <w:highlight w:val="none"/>
              </w:rPr>
              <w:t>在投标人处缴纳社会保险的证明材料[对于取得营业执照时间起到投标截止时间为止不足一个月的投标人，按实际情况提供书面说明（格式自拟）；依法不需要缴纳社保的，提供相关证明材料]，同时加盖投标人公章，否则不予计分。</w:t>
            </w:r>
          </w:p>
        </w:tc>
      </w:tr>
      <w:tr w14:paraId="5551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0" w:type="dxa"/>
            <w:vMerge w:val="continue"/>
            <w:noWrap w:val="0"/>
            <w:vAlign w:val="center"/>
          </w:tcPr>
          <w:p w14:paraId="002CE542">
            <w:pPr>
              <w:adjustRightInd w:val="0"/>
              <w:spacing w:line="420" w:lineRule="exact"/>
              <w:jc w:val="center"/>
              <w:textAlignment w:val="baseline"/>
              <w:rPr>
                <w:rFonts w:hint="eastAsia" w:ascii="宋体" w:hAnsi="宋体" w:cs="宋体"/>
                <w:b/>
                <w:color w:val="auto"/>
                <w:szCs w:val="21"/>
                <w:highlight w:val="none"/>
              </w:rPr>
            </w:pPr>
          </w:p>
        </w:tc>
        <w:tc>
          <w:tcPr>
            <w:tcW w:w="1280" w:type="dxa"/>
            <w:vMerge w:val="continue"/>
            <w:noWrap w:val="0"/>
            <w:vAlign w:val="center"/>
          </w:tcPr>
          <w:p w14:paraId="2D6A711F">
            <w:pPr>
              <w:adjustRightInd w:val="0"/>
              <w:spacing w:line="420" w:lineRule="exact"/>
              <w:jc w:val="center"/>
              <w:textAlignment w:val="baseline"/>
              <w:rPr>
                <w:rFonts w:hint="eastAsia" w:ascii="宋体" w:hAnsi="宋体" w:cs="宋体"/>
                <w:b/>
                <w:color w:val="auto"/>
                <w:szCs w:val="21"/>
                <w:highlight w:val="none"/>
              </w:rPr>
            </w:pPr>
          </w:p>
        </w:tc>
        <w:tc>
          <w:tcPr>
            <w:tcW w:w="709" w:type="dxa"/>
            <w:vMerge w:val="continue"/>
            <w:noWrap w:val="0"/>
            <w:vAlign w:val="center"/>
          </w:tcPr>
          <w:p w14:paraId="1197A6F3">
            <w:pPr>
              <w:adjustRightInd w:val="0"/>
              <w:spacing w:line="420" w:lineRule="exact"/>
              <w:jc w:val="center"/>
              <w:textAlignment w:val="baseline"/>
              <w:rPr>
                <w:rFonts w:hint="eastAsia" w:ascii="宋体" w:hAnsi="宋体" w:cs="宋体"/>
                <w:b/>
                <w:color w:val="auto"/>
                <w:szCs w:val="21"/>
                <w:highlight w:val="none"/>
              </w:rPr>
            </w:pPr>
          </w:p>
        </w:tc>
        <w:tc>
          <w:tcPr>
            <w:tcW w:w="1559" w:type="dxa"/>
            <w:noWrap w:val="0"/>
            <w:vAlign w:val="center"/>
          </w:tcPr>
          <w:p w14:paraId="62E5E8B9">
            <w:pPr>
              <w:spacing w:line="420" w:lineRule="exact"/>
              <w:jc w:val="center"/>
              <w:rPr>
                <w:rFonts w:hint="eastAsia" w:ascii="宋体" w:hAnsi="宋体" w:cs="宋体"/>
                <w:b/>
                <w:color w:val="auto"/>
                <w:szCs w:val="21"/>
                <w:highlight w:val="none"/>
              </w:rPr>
            </w:pPr>
            <w:r>
              <w:rPr>
                <w:rFonts w:hint="eastAsia" w:ascii="宋体" w:hAnsi="宋体" w:cs="宋体"/>
                <w:b/>
                <w:bCs/>
                <w:color w:val="auto"/>
                <w:szCs w:val="21"/>
                <w:highlight w:val="none"/>
              </w:rPr>
              <w:t>（5）培训方案</w:t>
            </w:r>
            <w:r>
              <w:rPr>
                <w:rFonts w:hint="eastAsia" w:ascii="宋体" w:hAnsi="宋体" w:cs="宋体"/>
                <w:b/>
                <w:color w:val="auto"/>
                <w:szCs w:val="21"/>
                <w:highlight w:val="none"/>
              </w:rPr>
              <w:t>（</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5410" w:type="dxa"/>
            <w:noWrap w:val="0"/>
            <w:vAlign w:val="center"/>
          </w:tcPr>
          <w:p w14:paraId="1883CBC8">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由评委根据投标人的</w:t>
            </w:r>
            <w:r>
              <w:rPr>
                <w:rFonts w:hint="eastAsia" w:ascii="宋体" w:hAnsi="宋体" w:cs="宋体"/>
                <w:bCs/>
                <w:color w:val="auto"/>
                <w:szCs w:val="21"/>
                <w:highlight w:val="none"/>
                <w:lang w:val="en-US" w:eastAsia="zh-CN"/>
              </w:rPr>
              <w:t>培训方案</w:t>
            </w:r>
            <w:r>
              <w:rPr>
                <w:rFonts w:hint="eastAsia" w:ascii="宋体" w:hAnsi="宋体" w:cs="宋体"/>
                <w:bCs/>
                <w:color w:val="auto"/>
                <w:szCs w:val="21"/>
                <w:highlight w:val="none"/>
              </w:rPr>
              <w:t>，确定各投标人所属档次及分值。</w:t>
            </w:r>
          </w:p>
          <w:p w14:paraId="6DCB7CDD">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一档（0</w:t>
            </w:r>
            <w:r>
              <w:rPr>
                <w:rFonts w:hint="eastAsia" w:ascii="宋体" w:hAnsi="宋体" w:cs="宋体"/>
                <w:bCs/>
                <w:color w:val="auto"/>
                <w:szCs w:val="21"/>
                <w:highlight w:val="none"/>
                <w:lang w:val="en-US" w:eastAsia="zh-CN"/>
              </w:rPr>
              <w:t>分</w:t>
            </w:r>
            <w:r>
              <w:rPr>
                <w:rFonts w:hint="eastAsia" w:ascii="宋体" w:hAnsi="宋体" w:cs="宋体"/>
                <w:bCs/>
                <w:color w:val="auto"/>
                <w:szCs w:val="21"/>
                <w:highlight w:val="none"/>
              </w:rPr>
              <w:t>）：未提供方案或方案内容与本项目无关。</w:t>
            </w:r>
          </w:p>
          <w:p w14:paraId="38A69845">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分）：针对本项目的培训任务，能提供培训计划、培训课程，配备有培训管理团队，有培训组织管理措施。</w:t>
            </w:r>
          </w:p>
          <w:p w14:paraId="1782EDB9">
            <w:pPr>
              <w:spacing w:line="42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r>
              <w:rPr>
                <w:rFonts w:hint="eastAsia" w:ascii="宋体" w:hAnsi="宋体"/>
                <w:color w:val="auto"/>
                <w:szCs w:val="21"/>
                <w:highlight w:val="none"/>
              </w:rPr>
              <w:t>针对本项目的培训任务有相关培训管理制度，能提供培训计划、培训课程，配备的管理团队人员并有分工说明，培训组织管理措施具体</w:t>
            </w:r>
            <w:r>
              <w:rPr>
                <w:rFonts w:hint="eastAsia" w:ascii="宋体" w:hAnsi="宋体"/>
                <w:color w:val="auto"/>
                <w:szCs w:val="21"/>
                <w:highlight w:val="none"/>
                <w:lang w:eastAsia="zh-CN"/>
              </w:rPr>
              <w:t>。</w:t>
            </w:r>
          </w:p>
          <w:p w14:paraId="5E9BF2D4">
            <w:pPr>
              <w:pStyle w:val="4"/>
              <w:spacing w:line="420" w:lineRule="exact"/>
              <w:rPr>
                <w:rFonts w:hint="eastAsia" w:hAnsi="宋体" w:cs="宋体"/>
                <w:bCs/>
                <w:color w:val="auto"/>
                <w:sz w:val="21"/>
                <w:highlight w:val="none"/>
              </w:rPr>
            </w:pPr>
            <w:r>
              <w:rPr>
                <w:rFonts w:hint="eastAsia" w:hAnsi="宋体" w:cs="宋体"/>
                <w:bCs/>
                <w:color w:val="auto"/>
                <w:sz w:val="21"/>
                <w:highlight w:val="none"/>
              </w:rPr>
              <w:t>四档（</w:t>
            </w:r>
            <w:r>
              <w:rPr>
                <w:rFonts w:hint="eastAsia" w:hAnsi="宋体" w:cs="宋体"/>
                <w:bCs/>
                <w:color w:val="auto"/>
                <w:sz w:val="21"/>
                <w:highlight w:val="none"/>
                <w:lang w:val="en-US" w:eastAsia="zh-CN"/>
              </w:rPr>
              <w:t>15</w:t>
            </w:r>
            <w:r>
              <w:rPr>
                <w:rFonts w:hint="eastAsia" w:hAnsi="宋体" w:cs="宋体"/>
                <w:bCs/>
                <w:color w:val="auto"/>
                <w:sz w:val="21"/>
                <w:highlight w:val="none"/>
              </w:rPr>
              <w:t>分）：</w:t>
            </w:r>
            <w:r>
              <w:rPr>
                <w:rFonts w:hint="eastAsia" w:ascii="宋体" w:hAnsi="宋体"/>
                <w:color w:val="auto"/>
                <w:szCs w:val="21"/>
                <w:highlight w:val="none"/>
              </w:rPr>
              <w:t>针对本项目的培训任务，能提供培训计划、培训课程，同时提供培训场地布置及配套设施照片，配备管理团队并且培训管理制度健全；有完成项目的整个工作流程，包括细化的教务管理流程，管理团队人员分工明确，有丰富的管理经验；培训组织管理措施有具体的时间、质量、进度控制，科学合理，有针对性且可行性高</w:t>
            </w:r>
            <w:r>
              <w:rPr>
                <w:rFonts w:hint="eastAsia" w:hAnsi="宋体" w:cs="宋体"/>
                <w:color w:val="auto"/>
                <w:sz w:val="21"/>
                <w:highlight w:val="none"/>
              </w:rPr>
              <w:t>。</w:t>
            </w:r>
          </w:p>
        </w:tc>
      </w:tr>
      <w:tr w14:paraId="1CDD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FCBE97E">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280" w:type="dxa"/>
            <w:noWrap w:val="0"/>
            <w:vAlign w:val="center"/>
          </w:tcPr>
          <w:p w14:paraId="31100DA6">
            <w:pPr>
              <w:adjustRightInd w:val="0"/>
              <w:spacing w:line="420" w:lineRule="exact"/>
              <w:jc w:val="center"/>
              <w:textAlignment w:val="baseline"/>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履约能力分</w:t>
            </w:r>
          </w:p>
        </w:tc>
        <w:tc>
          <w:tcPr>
            <w:tcW w:w="709" w:type="dxa"/>
            <w:noWrap w:val="0"/>
            <w:vAlign w:val="center"/>
          </w:tcPr>
          <w:p w14:paraId="271452E6">
            <w:pPr>
              <w:adjustRightInd w:val="0"/>
              <w:spacing w:line="42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14</w:t>
            </w:r>
            <w:r>
              <w:rPr>
                <w:rFonts w:hint="eastAsia" w:ascii="宋体" w:hAnsi="宋体" w:cs="宋体"/>
                <w:b/>
                <w:color w:val="auto"/>
                <w:szCs w:val="21"/>
                <w:highlight w:val="none"/>
              </w:rPr>
              <w:t>分</w:t>
            </w:r>
          </w:p>
        </w:tc>
        <w:tc>
          <w:tcPr>
            <w:tcW w:w="6969" w:type="dxa"/>
            <w:gridSpan w:val="2"/>
            <w:noWrap w:val="0"/>
            <w:vAlign w:val="center"/>
          </w:tcPr>
          <w:p w14:paraId="69DC3FFD">
            <w:pPr>
              <w:pStyle w:val="4"/>
              <w:numPr>
                <w:ilvl w:val="0"/>
                <w:numId w:val="0"/>
              </w:numPr>
              <w:spacing w:line="42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lang w:val="en-US" w:eastAsia="zh-CN" w:bidi="ar-SA"/>
              </w:rPr>
              <w:t>（1）</w:t>
            </w:r>
            <w:r>
              <w:rPr>
                <w:rFonts w:hint="eastAsia" w:ascii="宋体" w:hAnsi="宋体" w:eastAsia="宋体" w:cs="宋体"/>
                <w:bCs/>
                <w:color w:val="auto"/>
                <w:kern w:val="2"/>
                <w:sz w:val="21"/>
                <w:szCs w:val="21"/>
                <w:highlight w:val="none"/>
                <w:lang w:val="en-US" w:eastAsia="zh-CN" w:bidi="ar-SA"/>
              </w:rPr>
              <w:t>投标人</w:t>
            </w:r>
            <w:r>
              <w:rPr>
                <w:rFonts w:hint="eastAsia" w:hAnsi="宋体" w:cs="宋体"/>
                <w:bCs/>
                <w:color w:val="auto"/>
                <w:kern w:val="2"/>
                <w:sz w:val="21"/>
                <w:szCs w:val="21"/>
                <w:highlight w:val="none"/>
                <w:lang w:val="en-US" w:eastAsia="zh-CN" w:bidi="ar-SA"/>
              </w:rPr>
              <w:t>通过</w:t>
            </w:r>
            <w:r>
              <w:rPr>
                <w:rFonts w:hint="eastAsia" w:ascii="宋体" w:hAnsi="宋体" w:eastAsia="宋体" w:cs="宋体"/>
                <w:bCs/>
                <w:color w:val="auto"/>
                <w:kern w:val="2"/>
                <w:sz w:val="21"/>
                <w:szCs w:val="21"/>
                <w:highlight w:val="none"/>
                <w:lang w:val="en-US" w:eastAsia="zh-CN" w:bidi="ar-SA"/>
              </w:rPr>
              <w:t>由国家认证认可监督管理委员会资质审批的认证机构出具的质量管理体系</w:t>
            </w:r>
            <w:r>
              <w:rPr>
                <w:rFonts w:hint="eastAsia" w:hAnsi="宋体" w:cs="宋体"/>
                <w:bCs/>
                <w:color w:val="auto"/>
                <w:kern w:val="2"/>
                <w:sz w:val="21"/>
                <w:szCs w:val="21"/>
                <w:highlight w:val="none"/>
                <w:lang w:val="en-US" w:eastAsia="zh-CN" w:bidi="ar-SA"/>
              </w:rPr>
              <w:t>（ISO9001</w:t>
            </w:r>
            <w:r>
              <w:rPr>
                <w:rFonts w:hint="eastAsia" w:ascii="宋体" w:hAnsi="宋体" w:eastAsia="宋体" w:cs="宋体"/>
                <w:bCs/>
                <w:color w:val="auto"/>
                <w:kern w:val="2"/>
                <w:sz w:val="21"/>
                <w:szCs w:val="21"/>
                <w:highlight w:val="none"/>
                <w:lang w:val="en-US" w:eastAsia="zh-CN" w:bidi="ar-SA"/>
              </w:rPr>
              <w:t>或GB/T19001</w:t>
            </w:r>
            <w:r>
              <w:rPr>
                <w:rFonts w:hint="eastAsia"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认证</w:t>
            </w:r>
            <w:r>
              <w:rPr>
                <w:rFonts w:hint="eastAsia" w:hAnsi="宋体" w:cs="宋体"/>
                <w:bCs/>
                <w:color w:val="auto"/>
                <w:kern w:val="2"/>
                <w:sz w:val="21"/>
                <w:szCs w:val="21"/>
                <w:highlight w:val="none"/>
                <w:lang w:val="en-US" w:eastAsia="zh-CN" w:bidi="ar-SA"/>
              </w:rPr>
              <w:t>且</w:t>
            </w:r>
            <w:r>
              <w:rPr>
                <w:rFonts w:hint="eastAsia" w:ascii="宋体" w:hAnsi="宋体"/>
                <w:color w:val="auto"/>
                <w:sz w:val="21"/>
                <w:szCs w:val="21"/>
                <w:highlight w:val="none"/>
              </w:rPr>
              <w:t>认证的业务范围</w:t>
            </w:r>
            <w:r>
              <w:rPr>
                <w:rFonts w:hint="eastAsia" w:ascii="宋体" w:hAnsi="宋体"/>
                <w:color w:val="auto"/>
                <w:sz w:val="21"/>
                <w:szCs w:val="21"/>
                <w:highlight w:val="none"/>
                <w:lang w:val="en-US" w:eastAsia="zh-CN"/>
              </w:rPr>
              <w:t>至少</w:t>
            </w:r>
            <w:r>
              <w:rPr>
                <w:rFonts w:hint="eastAsia" w:ascii="宋体" w:hAnsi="宋体"/>
                <w:color w:val="auto"/>
                <w:sz w:val="21"/>
                <w:szCs w:val="21"/>
                <w:highlight w:val="none"/>
              </w:rPr>
              <w:t>覆盖“声纹鉴定”产品研发设计</w:t>
            </w:r>
            <w:r>
              <w:rPr>
                <w:rFonts w:hint="eastAsia" w:hAnsi="宋体" w:cs="宋体"/>
                <w:bCs/>
                <w:color w:val="auto"/>
                <w:kern w:val="2"/>
                <w:sz w:val="21"/>
                <w:szCs w:val="21"/>
                <w:highlight w:val="none"/>
                <w:lang w:val="en-US" w:eastAsia="zh-CN" w:bidi="ar-SA"/>
              </w:rPr>
              <w:t>的</w:t>
            </w:r>
            <w:r>
              <w:rPr>
                <w:rFonts w:hint="eastAsia" w:ascii="宋体" w:hAnsi="宋体" w:eastAsia="宋体" w:cs="宋体"/>
                <w:bCs/>
                <w:color w:val="auto"/>
                <w:kern w:val="2"/>
                <w:sz w:val="21"/>
                <w:szCs w:val="21"/>
                <w:highlight w:val="none"/>
                <w:lang w:val="en-US" w:eastAsia="zh-CN" w:bidi="ar-SA"/>
              </w:rPr>
              <w:t>得</w:t>
            </w:r>
            <w:r>
              <w:rPr>
                <w:rFonts w:hint="eastAsia"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分[以证书原件扫描件及国家市场监督管理总局“全国认证认可信息公共服务平台”</w:t>
            </w:r>
            <w:r>
              <w:rPr>
                <w:rFonts w:hint="eastAsia"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http://cx.cnca.cn/</w:t>
            </w:r>
            <w:r>
              <w:rPr>
                <w:rFonts w:hint="eastAsia"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查询的质量管理体系认证信息截图</w:t>
            </w:r>
            <w:r>
              <w:rPr>
                <w:rFonts w:hint="eastAsia"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截图须体现查询日期，查询日期为公告之日到响应截止之日</w:t>
            </w:r>
            <w:r>
              <w:rPr>
                <w:rFonts w:hint="eastAsia"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为准，并加盖投标人公章，否则不予计分]。</w:t>
            </w:r>
          </w:p>
          <w:p w14:paraId="3B2B301F">
            <w:pPr>
              <w:pStyle w:val="4"/>
              <w:numPr>
                <w:ilvl w:val="0"/>
                <w:numId w:val="0"/>
              </w:numPr>
              <w:spacing w:line="42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lang w:val="en-US" w:eastAsia="zh-CN" w:bidi="ar-SA"/>
              </w:rPr>
              <w:t>（2）</w:t>
            </w:r>
            <w:r>
              <w:rPr>
                <w:rFonts w:hint="eastAsia" w:ascii="宋体" w:hAnsi="宋体" w:eastAsia="宋体" w:cs="宋体"/>
                <w:bCs/>
                <w:color w:val="auto"/>
                <w:kern w:val="2"/>
                <w:sz w:val="21"/>
                <w:szCs w:val="21"/>
                <w:highlight w:val="none"/>
                <w:lang w:val="en-US" w:eastAsia="zh-CN" w:bidi="ar-SA"/>
              </w:rPr>
              <w:t>拟投入项目实施人员中具有人力资源管理部门颁发的信息系统项目管理师专业技术资格证书的得2分。</w:t>
            </w:r>
          </w:p>
          <w:p w14:paraId="5F616A55">
            <w:pPr>
              <w:pStyle w:val="4"/>
              <w:spacing w:line="420" w:lineRule="exact"/>
              <w:rPr>
                <w:rFonts w:hint="default" w:hAnsi="宋体" w:cs="宋体"/>
                <w:bCs/>
                <w:color w:val="auto"/>
                <w:sz w:val="21"/>
                <w:highlight w:val="none"/>
                <w:lang w:val="en-US" w:eastAsia="zh-CN"/>
              </w:rPr>
            </w:pPr>
            <w:r>
              <w:rPr>
                <w:rFonts w:hint="eastAsia" w:hAnsi="宋体" w:cs="宋体"/>
                <w:bCs/>
                <w:color w:val="auto"/>
                <w:sz w:val="21"/>
                <w:highlight w:val="none"/>
              </w:rPr>
              <w:t>注：以上人员</w:t>
            </w:r>
            <w:r>
              <w:rPr>
                <w:rFonts w:hint="eastAsia" w:hAnsi="宋体" w:cs="宋体"/>
                <w:bCs/>
                <w:color w:val="auto"/>
                <w:sz w:val="21"/>
                <w:highlight w:val="none"/>
                <w:lang w:val="en-US"/>
              </w:rPr>
              <w:t>应为</w:t>
            </w:r>
            <w:r>
              <w:rPr>
                <w:rFonts w:hint="eastAsia" w:hAnsi="宋体" w:cs="宋体"/>
                <w:bCs/>
                <w:color w:val="auto"/>
                <w:sz w:val="21"/>
                <w:highlight w:val="none"/>
                <w:lang w:val="en-US" w:eastAsia="zh-CN"/>
              </w:rPr>
              <w:t>投标人</w:t>
            </w:r>
            <w:r>
              <w:rPr>
                <w:rFonts w:hint="eastAsia" w:hAnsi="宋体" w:cs="宋体"/>
                <w:bCs/>
                <w:color w:val="auto"/>
                <w:sz w:val="21"/>
                <w:highlight w:val="none"/>
                <w:lang w:val="en-US"/>
              </w:rPr>
              <w:t>本单位正式员工</w:t>
            </w:r>
            <w:r>
              <w:rPr>
                <w:rFonts w:hint="eastAsia" w:hAnsi="宋体" w:cs="宋体"/>
                <w:bCs/>
                <w:color w:val="auto"/>
                <w:sz w:val="21"/>
                <w:highlight w:val="none"/>
              </w:rPr>
              <w:t>，并提供</w:t>
            </w:r>
            <w:r>
              <w:rPr>
                <w:rFonts w:hint="eastAsia" w:hAnsi="宋体" w:cs="宋体"/>
                <w:bCs/>
                <w:color w:val="auto"/>
                <w:sz w:val="21"/>
                <w:highlight w:val="none"/>
                <w:lang w:val="en-US" w:eastAsia="zh-CN"/>
              </w:rPr>
              <w:t>投标截止之日前半年内任意一个月</w:t>
            </w:r>
            <w:r>
              <w:rPr>
                <w:rFonts w:hint="eastAsia" w:hAnsi="宋体" w:cs="宋体"/>
                <w:bCs/>
                <w:color w:val="auto"/>
                <w:sz w:val="21"/>
                <w:highlight w:val="none"/>
              </w:rPr>
              <w:t>在投标人处缴纳社会保险的证明材料[对于取得营业执照时间起到投标截止时间为止不足一个月的投标人，按实际情况提供书面说明（格式自拟）；依法不需要缴纳社保的，提供相关证明材料]，同时加盖投标人公章，否则不予计分。</w:t>
            </w:r>
          </w:p>
          <w:p w14:paraId="770279F2">
            <w:pPr>
              <w:pStyle w:val="4"/>
              <w:numPr>
                <w:ilvl w:val="0"/>
                <w:numId w:val="0"/>
              </w:numPr>
              <w:spacing w:line="42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lang w:val="en-US" w:eastAsia="zh-CN" w:bidi="ar-SA"/>
              </w:rPr>
              <w:t>（3）</w:t>
            </w:r>
            <w:r>
              <w:rPr>
                <w:rFonts w:hint="eastAsia" w:ascii="宋体" w:hAnsi="宋体" w:eastAsia="宋体" w:cs="宋体"/>
                <w:bCs/>
                <w:color w:val="auto"/>
                <w:kern w:val="2"/>
                <w:sz w:val="21"/>
                <w:szCs w:val="21"/>
                <w:highlight w:val="none"/>
                <w:lang w:val="en-US" w:eastAsia="zh-CN" w:bidi="ar-SA"/>
              </w:rPr>
              <w:t>投标人自2022年1月1日以来至投标截止日期止（以合同签订时间为准），具有同类项目（指声纹检验鉴定类项目）业绩，每提供1个得2分，满分10分。（同一个项目签订多份合同的只能计算一次，不重复计分）</w:t>
            </w:r>
          </w:p>
          <w:p w14:paraId="59CD305E">
            <w:pPr>
              <w:pStyle w:val="4"/>
              <w:spacing w:line="420" w:lineRule="exact"/>
              <w:rPr>
                <w:rFonts w:hint="default"/>
                <w:color w:val="auto"/>
                <w:highlight w:val="none"/>
                <w:lang w:val="en-US"/>
              </w:rPr>
            </w:pPr>
            <w:r>
              <w:rPr>
                <w:rFonts w:hint="eastAsia" w:hAnsi="宋体" w:cs="宋体"/>
                <w:bCs/>
                <w:color w:val="auto"/>
                <w:sz w:val="21"/>
                <w:highlight w:val="none"/>
              </w:rPr>
              <w:t>注：以</w:t>
            </w:r>
            <w:r>
              <w:rPr>
                <w:rFonts w:hint="eastAsia" w:hAnsi="宋体" w:cs="宋体"/>
                <w:bCs/>
                <w:color w:val="auto"/>
                <w:sz w:val="21"/>
                <w:highlight w:val="none"/>
                <w:lang w:val="en-US" w:eastAsia="zh-CN"/>
              </w:rPr>
              <w:t>提供的中标通知书和</w:t>
            </w:r>
            <w:r>
              <w:rPr>
                <w:rFonts w:hint="eastAsia" w:hAnsi="宋体" w:cs="宋体"/>
                <w:bCs/>
                <w:color w:val="auto"/>
                <w:sz w:val="21"/>
                <w:highlight w:val="none"/>
              </w:rPr>
              <w:t>合同扫描件为准，要求清晰反映合同内容及签订时间，同时加盖投标人公章，否则不予计分。</w:t>
            </w:r>
          </w:p>
        </w:tc>
      </w:tr>
      <w:tr w14:paraId="0A95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5"/>
            <w:noWrap w:val="0"/>
            <w:vAlign w:val="center"/>
          </w:tcPr>
          <w:p w14:paraId="79C86E5F">
            <w:pPr>
              <w:pStyle w:val="4"/>
              <w:spacing w:line="420" w:lineRule="exact"/>
              <w:rPr>
                <w:rFonts w:hint="eastAsia" w:hAnsi="宋体" w:cs="宋体"/>
                <w:bCs/>
                <w:color w:val="auto"/>
                <w:sz w:val="21"/>
                <w:highlight w:val="none"/>
              </w:rPr>
            </w:pPr>
            <w:r>
              <w:rPr>
                <w:rFonts w:hint="eastAsia" w:hAnsi="宋体" w:cs="宋体"/>
                <w:b/>
                <w:bCs/>
                <w:color w:val="auto"/>
                <w:sz w:val="21"/>
                <w:highlight w:val="none"/>
              </w:rPr>
              <w:t>总得分=1+2+3。</w:t>
            </w:r>
          </w:p>
        </w:tc>
      </w:tr>
    </w:tbl>
    <w:p w14:paraId="2EBAA7B9">
      <w:pPr>
        <w:pStyle w:val="4"/>
        <w:spacing w:line="420" w:lineRule="exact"/>
        <w:ind w:firstLine="420"/>
        <w:rPr>
          <w:rFonts w:hint="eastAsia" w:hAnsi="宋体" w:cs="宋体"/>
          <w:bCs/>
          <w:color w:val="auto"/>
          <w:sz w:val="21"/>
          <w:highlight w:val="none"/>
        </w:rPr>
      </w:pPr>
      <w:r>
        <w:rPr>
          <w:rFonts w:hint="eastAsia" w:hAnsi="宋体" w:cs="宋体"/>
          <w:bCs/>
          <w:color w:val="auto"/>
          <w:sz w:val="21"/>
          <w:highlight w:val="none"/>
        </w:rPr>
        <w:t>注：计分方法按四舍五入取至百分位。</w:t>
      </w:r>
    </w:p>
    <w:p w14:paraId="56028C9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7B1592E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5DB786E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3612AA8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447FAA8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7DA72AC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0878499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104C675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3B7486A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b/>
          <w:bCs/>
          <w:highlight w:val="yellow"/>
          <w:lang w:val="en-US" w:eastAsia="zh-CN"/>
        </w:rPr>
      </w:pPr>
    </w:p>
    <w:p w14:paraId="1E94CF35">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三</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rPr>
        <w:t>更正后内容</w:t>
      </w:r>
      <w:r>
        <w:rPr>
          <w:rFonts w:hint="eastAsia" w:ascii="宋体" w:hAnsi="宋体" w:eastAsia="宋体" w:cs="宋体"/>
          <w:b/>
          <w:bCs/>
          <w:color w:val="auto"/>
          <w:sz w:val="28"/>
          <w:szCs w:val="28"/>
          <w:highlight w:val="yellow"/>
          <w:lang w:eastAsia="zh-CN"/>
        </w:rPr>
        <w:t>：</w:t>
      </w:r>
    </w:p>
    <w:p w14:paraId="70702029">
      <w:pPr>
        <w:snapToGrid w:val="0"/>
        <w:spacing w:line="420" w:lineRule="exact"/>
        <w:ind w:firstLine="420" w:firstLineChars="200"/>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1.标的一览表</w:t>
      </w:r>
    </w:p>
    <w:tbl>
      <w:tblPr>
        <w:tblStyle w:val="7"/>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231"/>
        <w:gridCol w:w="1040"/>
        <w:gridCol w:w="4140"/>
        <w:gridCol w:w="1139"/>
      </w:tblGrid>
      <w:tr w14:paraId="36A0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76D7942E">
            <w:pPr>
              <w:snapToGrid w:val="0"/>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序号</w:t>
            </w:r>
          </w:p>
        </w:tc>
        <w:tc>
          <w:tcPr>
            <w:tcW w:w="2231"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5517BDC9">
            <w:pPr>
              <w:snapToGrid w:val="0"/>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标的名称</w:t>
            </w:r>
          </w:p>
        </w:tc>
        <w:tc>
          <w:tcPr>
            <w:tcW w:w="1040"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0BCB8F52">
            <w:pPr>
              <w:snapToGrid w:val="0"/>
              <w:spacing w:line="420" w:lineRule="exact"/>
              <w:jc w:val="center"/>
              <w:textAlignment w:val="baseline"/>
              <w:rPr>
                <w:rStyle w:val="10"/>
                <w:rFonts w:ascii="宋体" w:hAnsi="宋体"/>
                <w:color w:val="auto"/>
                <w:szCs w:val="21"/>
                <w:highlight w:val="none"/>
              </w:rPr>
            </w:pPr>
            <w:r>
              <w:rPr>
                <w:rStyle w:val="10"/>
                <w:rFonts w:hint="eastAsia" w:ascii="宋体" w:hAnsi="宋体"/>
                <w:color w:val="auto"/>
                <w:szCs w:val="21"/>
                <w:highlight w:val="none"/>
              </w:rPr>
              <w:t>数量</w:t>
            </w:r>
          </w:p>
        </w:tc>
        <w:tc>
          <w:tcPr>
            <w:tcW w:w="4140"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05DC31CB">
            <w:pPr>
              <w:snapToGrid w:val="0"/>
              <w:spacing w:line="420" w:lineRule="exact"/>
              <w:jc w:val="center"/>
              <w:textAlignment w:val="baseline"/>
              <w:rPr>
                <w:rStyle w:val="10"/>
                <w:rFonts w:hint="eastAsia" w:ascii="宋体" w:hAnsi="宋体"/>
                <w:color w:val="auto"/>
                <w:szCs w:val="21"/>
                <w:highlight w:val="none"/>
              </w:rPr>
            </w:pPr>
            <w:r>
              <w:rPr>
                <w:rFonts w:hint="eastAsia" w:ascii="宋体" w:hAnsi="宋体" w:cs="宋体"/>
                <w:bCs/>
                <w:color w:val="auto"/>
                <w:szCs w:val="21"/>
                <w:highlight w:val="none"/>
              </w:rPr>
              <w:t>服务内容</w:t>
            </w:r>
          </w:p>
        </w:tc>
        <w:tc>
          <w:tcPr>
            <w:tcW w:w="1139"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352D348E">
            <w:pPr>
              <w:snapToGrid w:val="0"/>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备注</w:t>
            </w:r>
          </w:p>
        </w:tc>
      </w:tr>
      <w:tr w14:paraId="5C4A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3FCCFB2E">
            <w:pPr>
              <w:snapToGrid w:val="0"/>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1</w:t>
            </w:r>
          </w:p>
        </w:tc>
        <w:tc>
          <w:tcPr>
            <w:tcW w:w="2231"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6B128D8B">
            <w:pPr>
              <w:snapToGrid w:val="0"/>
              <w:spacing w:line="420" w:lineRule="exact"/>
              <w:jc w:val="center"/>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广西公安声纹检验鉴定服务项目</w:t>
            </w:r>
          </w:p>
        </w:tc>
        <w:tc>
          <w:tcPr>
            <w:tcW w:w="1040"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59B825E4">
            <w:pPr>
              <w:snapToGrid w:val="0"/>
              <w:spacing w:line="420" w:lineRule="exact"/>
              <w:jc w:val="center"/>
              <w:textAlignment w:val="baseline"/>
              <w:rPr>
                <w:rStyle w:val="10"/>
                <w:rFonts w:hint="default" w:ascii="宋体" w:hAnsi="宋体"/>
                <w:color w:val="auto"/>
                <w:szCs w:val="21"/>
                <w:highlight w:val="none"/>
                <w:lang w:val="en-US"/>
              </w:rPr>
            </w:pPr>
            <w:r>
              <w:rPr>
                <w:rStyle w:val="10"/>
                <w:rFonts w:hint="eastAsia" w:ascii="宋体" w:hAnsi="宋体"/>
                <w:color w:val="auto"/>
                <w:szCs w:val="21"/>
                <w:highlight w:val="none"/>
                <w:lang w:val="en-US"/>
              </w:rPr>
              <w:t>1项</w:t>
            </w:r>
          </w:p>
        </w:tc>
        <w:tc>
          <w:tcPr>
            <w:tcW w:w="4140"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3C35D2FF">
            <w:pPr>
              <w:snapToGrid w:val="0"/>
              <w:spacing w:line="420" w:lineRule="exact"/>
              <w:jc w:val="center"/>
              <w:textAlignment w:val="baseline"/>
              <w:rPr>
                <w:rStyle w:val="10"/>
                <w:rFonts w:hint="default" w:ascii="宋体" w:hAnsi="宋体"/>
                <w:color w:val="auto"/>
                <w:szCs w:val="21"/>
                <w:highlight w:val="none"/>
                <w:lang w:val="en-US"/>
              </w:rPr>
            </w:pPr>
            <w:r>
              <w:rPr>
                <w:rStyle w:val="10"/>
                <w:rFonts w:hint="eastAsia" w:ascii="宋体" w:hAnsi="宋体"/>
                <w:color w:val="auto"/>
                <w:szCs w:val="21"/>
                <w:highlight w:val="none"/>
                <w:lang w:val="en-US"/>
              </w:rPr>
              <w:t>以招标文件第二章《采购需求》为准</w:t>
            </w:r>
          </w:p>
        </w:tc>
        <w:tc>
          <w:tcPr>
            <w:tcW w:w="1139" w:type="dxa"/>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6F4B2EFE">
            <w:pPr>
              <w:snapToGrid w:val="0"/>
              <w:spacing w:line="420" w:lineRule="exact"/>
              <w:jc w:val="center"/>
              <w:textAlignment w:val="baseline"/>
              <w:rPr>
                <w:rStyle w:val="10"/>
                <w:rFonts w:hint="eastAsia" w:ascii="宋体" w:hAnsi="宋体"/>
                <w:color w:val="auto"/>
                <w:szCs w:val="21"/>
                <w:highlight w:val="none"/>
              </w:rPr>
            </w:pPr>
          </w:p>
        </w:tc>
      </w:tr>
      <w:tr w14:paraId="021D9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9288" w:type="dxa"/>
            <w:gridSpan w:val="5"/>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03D96888">
            <w:pPr>
              <w:snapToGrid w:val="0"/>
              <w:spacing w:line="420" w:lineRule="exact"/>
              <w:jc w:val="left"/>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 xml:space="preserve">合计金额（大写）：人民币                 （￥            ）  </w:t>
            </w:r>
          </w:p>
        </w:tc>
      </w:tr>
      <w:tr w14:paraId="2502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9288" w:type="dxa"/>
            <w:gridSpan w:val="5"/>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05640E13">
            <w:pPr>
              <w:snapToGrid w:val="0"/>
              <w:spacing w:line="420" w:lineRule="exact"/>
              <w:jc w:val="left"/>
              <w:textAlignment w:val="baseline"/>
              <w:rPr>
                <w:rStyle w:val="10"/>
                <w:rFonts w:hint="eastAsia" w:ascii="宋体" w:hAnsi="宋体"/>
                <w:color w:val="auto"/>
                <w:szCs w:val="21"/>
                <w:highlight w:val="none"/>
                <w:u w:val="single"/>
              </w:rPr>
            </w:pPr>
            <w:r>
              <w:rPr>
                <w:rStyle w:val="10"/>
                <w:rFonts w:hint="eastAsia" w:ascii="宋体" w:hAnsi="宋体"/>
                <w:color w:val="auto"/>
                <w:szCs w:val="21"/>
                <w:highlight w:val="none"/>
              </w:rPr>
              <w:t>服务期限：</w:t>
            </w:r>
            <w:r>
              <w:rPr>
                <w:rStyle w:val="10"/>
                <w:rFonts w:hint="eastAsia" w:ascii="宋体" w:hAnsi="宋体"/>
                <w:color w:val="auto"/>
                <w:szCs w:val="21"/>
                <w:highlight w:val="none"/>
                <w:lang w:val="en-US" w:eastAsia="zh-CN"/>
              </w:rPr>
              <w:t>自签订合同之日起</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lang w:val="en-US" w:eastAsia="zh-CN"/>
              </w:rPr>
              <w:t>天内开始提供服务；合同期</w:t>
            </w:r>
            <w:r>
              <w:rPr>
                <w:rStyle w:val="10"/>
                <w:rFonts w:hint="eastAsia" w:ascii="宋体" w:hAnsi="宋体"/>
                <w:color w:val="auto"/>
                <w:szCs w:val="21"/>
                <w:highlight w:val="none"/>
              </w:rPr>
              <w:t>3年，即</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rPr>
              <w:t>年</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rPr>
              <w:t>月</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rPr>
              <w:t>日起至</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rPr>
              <w:t>年</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rPr>
              <w:t>月</w:t>
            </w:r>
            <w:r>
              <w:rPr>
                <w:rStyle w:val="10"/>
                <w:rFonts w:hint="eastAsia" w:ascii="宋体" w:hAnsi="宋体"/>
                <w:color w:val="auto"/>
                <w:szCs w:val="21"/>
                <w:highlight w:val="none"/>
                <w:u w:val="single"/>
              </w:rPr>
              <w:t xml:space="preserve">    </w:t>
            </w:r>
            <w:r>
              <w:rPr>
                <w:rStyle w:val="10"/>
                <w:rFonts w:hint="eastAsia" w:ascii="宋体" w:hAnsi="宋体"/>
                <w:color w:val="auto"/>
                <w:szCs w:val="21"/>
                <w:highlight w:val="none"/>
              </w:rPr>
              <w:t>日止。</w:t>
            </w:r>
          </w:p>
        </w:tc>
      </w:tr>
      <w:tr w14:paraId="46C3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9288" w:type="dxa"/>
            <w:gridSpan w:val="5"/>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1C927F3C">
            <w:pPr>
              <w:snapToGrid w:val="0"/>
              <w:spacing w:line="420" w:lineRule="exact"/>
              <w:jc w:val="left"/>
              <w:textAlignment w:val="baseline"/>
              <w:rPr>
                <w:rStyle w:val="10"/>
                <w:rFonts w:hint="eastAsia" w:ascii="宋体" w:hAnsi="宋体"/>
                <w:color w:val="auto"/>
                <w:szCs w:val="21"/>
                <w:highlight w:val="none"/>
              </w:rPr>
            </w:pPr>
            <w:r>
              <w:rPr>
                <w:rStyle w:val="10"/>
                <w:rFonts w:hint="eastAsia" w:ascii="宋体" w:hAnsi="宋体"/>
                <w:color w:val="auto"/>
                <w:szCs w:val="21"/>
                <w:highlight w:val="none"/>
              </w:rPr>
              <w:t>服务地点：</w:t>
            </w:r>
            <w:r>
              <w:rPr>
                <w:rStyle w:val="10"/>
                <w:rFonts w:hint="eastAsia" w:ascii="宋体" w:hAnsi="宋体"/>
                <w:bCs/>
                <w:color w:val="auto"/>
                <w:szCs w:val="21"/>
                <w:highlight w:val="none"/>
              </w:rPr>
              <w:t>甲方指定地点</w:t>
            </w:r>
            <w:r>
              <w:rPr>
                <w:rStyle w:val="10"/>
                <w:rFonts w:hint="eastAsia" w:ascii="宋体" w:hAnsi="宋体"/>
                <w:color w:val="auto"/>
                <w:szCs w:val="21"/>
                <w:highlight w:val="none"/>
              </w:rPr>
              <w:t>。</w:t>
            </w:r>
          </w:p>
        </w:tc>
      </w:tr>
    </w:tbl>
    <w:p w14:paraId="34837069">
      <w:pPr>
        <w:snapToGrid w:val="0"/>
        <w:spacing w:line="420" w:lineRule="exact"/>
        <w:ind w:firstLine="420" w:firstLineChars="200"/>
        <w:textAlignment w:val="baseline"/>
        <w:rPr>
          <w:rStyle w:val="10"/>
          <w:rFonts w:hint="eastAsia" w:ascii="宋体" w:hAnsi="宋体"/>
          <w:color w:val="auto"/>
          <w:highlight w:val="none"/>
        </w:rPr>
      </w:pPr>
      <w:r>
        <w:rPr>
          <w:rStyle w:val="10"/>
          <w:rFonts w:hint="eastAsia" w:ascii="宋体" w:hAnsi="宋体"/>
          <w:color w:val="auto"/>
          <w:szCs w:val="21"/>
          <w:highlight w:val="none"/>
        </w:rPr>
        <w:t>2.合同合计金额为完成甲方指定内容的整体内容包干价，包括全部服务内容价款及服务所涉及的</w:t>
      </w:r>
      <w:r>
        <w:rPr>
          <w:rStyle w:val="10"/>
          <w:rFonts w:hint="eastAsia" w:ascii="宋体" w:hAnsi="宋体"/>
          <w:color w:val="auto"/>
          <w:szCs w:val="21"/>
          <w:highlight w:val="none"/>
          <w:lang w:val="en-US"/>
        </w:rPr>
        <w:t>定制、</w:t>
      </w:r>
      <w:r>
        <w:rPr>
          <w:rStyle w:val="10"/>
          <w:rFonts w:hint="eastAsia" w:ascii="宋体" w:hAnsi="宋体"/>
          <w:color w:val="auto"/>
          <w:szCs w:val="21"/>
          <w:highlight w:val="none"/>
          <w:lang w:val="zh-CN"/>
        </w:rPr>
        <w:t>开发、</w:t>
      </w:r>
      <w:r>
        <w:rPr>
          <w:rStyle w:val="10"/>
          <w:rFonts w:hint="eastAsia" w:ascii="宋体" w:hAnsi="宋体"/>
          <w:color w:val="auto"/>
          <w:szCs w:val="21"/>
          <w:highlight w:val="none"/>
        </w:rPr>
        <w:t>配件、备品备件、工具、材料、运输、装卸、安装、调试、验收、培训、技术支持、维护服务、线路故障紧急抢险辅助等费用及必要的保险费用和各项税金等。</w:t>
      </w:r>
    </w:p>
    <w:p w14:paraId="0D56E810">
      <w:pPr>
        <w:pStyle w:val="2"/>
        <w:keepNext w:val="0"/>
        <w:keepLines w:val="0"/>
        <w:pageBreakBefore w:val="0"/>
        <w:widowControl w:val="0"/>
        <w:kinsoku/>
        <w:wordWrap/>
        <w:overflowPunct/>
        <w:topLinePunct w:val="0"/>
        <w:autoSpaceDE/>
        <w:autoSpaceDN/>
        <w:bidi w:val="0"/>
        <w:adjustRightInd/>
        <w:spacing w:line="420" w:lineRule="exact"/>
        <w:ind w:left="0" w:leftChars="0" w:firstLine="0" w:firstLineChars="0"/>
        <w:rPr>
          <w:rFonts w:hint="default" w:ascii="宋体" w:hAnsi="宋体" w:cs="宋体"/>
          <w:b/>
          <w:bCs/>
          <w:color w:val="auto"/>
          <w:szCs w:val="21"/>
          <w:highlight w:val="none"/>
          <w:lang w:val="en-US" w:eastAsia="zh-CN"/>
        </w:rPr>
      </w:pPr>
    </w:p>
    <w:p w14:paraId="3EE332A0">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p>
    <w:p w14:paraId="18B28326">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p>
    <w:p w14:paraId="59F44ABE">
      <w:pPr>
        <w:pStyle w:val="2"/>
        <w:rPr>
          <w:rFonts w:hint="eastAsia" w:ascii="宋体" w:hAnsi="宋体" w:eastAsia="宋体" w:cs="宋体"/>
          <w:b/>
          <w:bCs/>
          <w:color w:val="auto"/>
          <w:sz w:val="28"/>
          <w:szCs w:val="28"/>
          <w:highlight w:val="yellow"/>
          <w:lang w:eastAsia="zh-CN"/>
        </w:rPr>
      </w:pPr>
    </w:p>
    <w:p w14:paraId="10B26B73">
      <w:pPr>
        <w:pStyle w:val="2"/>
        <w:rPr>
          <w:rFonts w:hint="eastAsia" w:ascii="宋体" w:hAnsi="宋体" w:eastAsia="宋体" w:cs="宋体"/>
          <w:b/>
          <w:bCs/>
          <w:color w:val="auto"/>
          <w:sz w:val="28"/>
          <w:szCs w:val="28"/>
          <w:highlight w:val="yellow"/>
          <w:lang w:eastAsia="zh-CN"/>
        </w:rPr>
      </w:pPr>
    </w:p>
    <w:p w14:paraId="0FB89E21">
      <w:pPr>
        <w:pStyle w:val="2"/>
        <w:rPr>
          <w:rFonts w:hint="eastAsia" w:ascii="宋体" w:hAnsi="宋体" w:eastAsia="宋体" w:cs="宋体"/>
          <w:b/>
          <w:bCs/>
          <w:color w:val="auto"/>
          <w:sz w:val="28"/>
          <w:szCs w:val="28"/>
          <w:highlight w:val="yellow"/>
          <w:lang w:eastAsia="zh-CN"/>
        </w:rPr>
      </w:pPr>
    </w:p>
    <w:p w14:paraId="1B520C1D">
      <w:pPr>
        <w:pStyle w:val="2"/>
        <w:rPr>
          <w:rFonts w:hint="eastAsia" w:ascii="宋体" w:hAnsi="宋体" w:eastAsia="宋体" w:cs="宋体"/>
          <w:b/>
          <w:bCs/>
          <w:color w:val="auto"/>
          <w:sz w:val="28"/>
          <w:szCs w:val="28"/>
          <w:highlight w:val="yellow"/>
          <w:lang w:eastAsia="zh-CN"/>
        </w:rPr>
      </w:pPr>
    </w:p>
    <w:p w14:paraId="0F909722">
      <w:pPr>
        <w:pStyle w:val="2"/>
        <w:rPr>
          <w:rFonts w:hint="eastAsia" w:ascii="宋体" w:hAnsi="宋体" w:eastAsia="宋体" w:cs="宋体"/>
          <w:b/>
          <w:bCs/>
          <w:color w:val="auto"/>
          <w:sz w:val="28"/>
          <w:szCs w:val="28"/>
          <w:highlight w:val="yellow"/>
          <w:lang w:eastAsia="zh-CN"/>
        </w:rPr>
      </w:pPr>
    </w:p>
    <w:p w14:paraId="184B76D6">
      <w:pPr>
        <w:pStyle w:val="2"/>
        <w:rPr>
          <w:rFonts w:hint="eastAsia" w:ascii="宋体" w:hAnsi="宋体" w:eastAsia="宋体" w:cs="宋体"/>
          <w:b/>
          <w:bCs/>
          <w:color w:val="auto"/>
          <w:sz w:val="28"/>
          <w:szCs w:val="28"/>
          <w:highlight w:val="yellow"/>
          <w:lang w:eastAsia="zh-CN"/>
        </w:rPr>
      </w:pPr>
    </w:p>
    <w:p w14:paraId="07BBC32C">
      <w:pPr>
        <w:pStyle w:val="2"/>
        <w:rPr>
          <w:rFonts w:hint="eastAsia" w:ascii="宋体" w:hAnsi="宋体" w:eastAsia="宋体" w:cs="宋体"/>
          <w:b/>
          <w:bCs/>
          <w:color w:val="auto"/>
          <w:sz w:val="28"/>
          <w:szCs w:val="28"/>
          <w:highlight w:val="yellow"/>
          <w:lang w:eastAsia="zh-CN"/>
        </w:rPr>
      </w:pPr>
    </w:p>
    <w:p w14:paraId="689698EC">
      <w:pPr>
        <w:pStyle w:val="2"/>
        <w:rPr>
          <w:rFonts w:hint="eastAsia" w:ascii="宋体" w:hAnsi="宋体" w:eastAsia="宋体" w:cs="宋体"/>
          <w:b/>
          <w:bCs/>
          <w:color w:val="auto"/>
          <w:sz w:val="28"/>
          <w:szCs w:val="28"/>
          <w:highlight w:val="yellow"/>
          <w:lang w:eastAsia="zh-CN"/>
        </w:rPr>
      </w:pPr>
    </w:p>
    <w:p w14:paraId="4EC01095">
      <w:pPr>
        <w:pStyle w:val="2"/>
        <w:rPr>
          <w:rFonts w:hint="eastAsia" w:ascii="宋体" w:hAnsi="宋体" w:eastAsia="宋体" w:cs="宋体"/>
          <w:b/>
          <w:bCs/>
          <w:color w:val="auto"/>
          <w:sz w:val="28"/>
          <w:szCs w:val="28"/>
          <w:highlight w:val="yellow"/>
          <w:lang w:eastAsia="zh-CN"/>
        </w:rPr>
      </w:pPr>
    </w:p>
    <w:p w14:paraId="00ADB470">
      <w:pPr>
        <w:pStyle w:val="2"/>
        <w:rPr>
          <w:rFonts w:hint="eastAsia" w:ascii="宋体" w:hAnsi="宋体" w:eastAsia="宋体" w:cs="宋体"/>
          <w:b/>
          <w:bCs/>
          <w:color w:val="auto"/>
          <w:sz w:val="28"/>
          <w:szCs w:val="28"/>
          <w:highlight w:val="yellow"/>
          <w:lang w:eastAsia="zh-CN"/>
        </w:rPr>
      </w:pPr>
    </w:p>
    <w:p w14:paraId="232B80EB">
      <w:pPr>
        <w:pStyle w:val="2"/>
        <w:rPr>
          <w:rFonts w:hint="eastAsia" w:ascii="宋体" w:hAnsi="宋体" w:eastAsia="宋体" w:cs="宋体"/>
          <w:b/>
          <w:bCs/>
          <w:color w:val="auto"/>
          <w:sz w:val="28"/>
          <w:szCs w:val="28"/>
          <w:highlight w:val="yellow"/>
          <w:lang w:eastAsia="zh-CN"/>
        </w:rPr>
      </w:pPr>
    </w:p>
    <w:p w14:paraId="2AABB192">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p>
    <w:p w14:paraId="2DFCE19A">
      <w:pPr>
        <w:keepNext w:val="0"/>
        <w:keepLines w:val="0"/>
        <w:pageBreakBefore w:val="0"/>
        <w:widowControl w:val="0"/>
        <w:kinsoku/>
        <w:wordWrap/>
        <w:overflowPunct/>
        <w:topLinePunct w:val="0"/>
        <w:autoSpaceDE/>
        <w:autoSpaceDN/>
        <w:bidi w:val="0"/>
        <w:adjustRightInd/>
        <w:spacing w:line="420" w:lineRule="exact"/>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四</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rPr>
        <w:t>更正后内容</w:t>
      </w:r>
      <w:r>
        <w:rPr>
          <w:rFonts w:hint="eastAsia" w:ascii="宋体" w:hAnsi="宋体" w:eastAsia="宋体" w:cs="宋体"/>
          <w:b/>
          <w:bCs/>
          <w:color w:val="auto"/>
          <w:sz w:val="28"/>
          <w:szCs w:val="28"/>
          <w:highlight w:val="yellow"/>
          <w:lang w:eastAsia="zh-CN"/>
        </w:rPr>
        <w:t>：</w:t>
      </w:r>
    </w:p>
    <w:p w14:paraId="222DC12E">
      <w:pPr>
        <w:snapToGrid w:val="0"/>
        <w:spacing w:before="120" w:beforeLines="50" w:after="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开标一览表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997"/>
        <w:gridCol w:w="1759"/>
        <w:gridCol w:w="2139"/>
      </w:tblGrid>
      <w:tr w14:paraId="6F4D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9" w:type="dxa"/>
            <w:noWrap w:val="0"/>
            <w:vAlign w:val="center"/>
          </w:tcPr>
          <w:p w14:paraId="0972CC46">
            <w:pPr>
              <w:pStyle w:val="4"/>
              <w:spacing w:line="420" w:lineRule="exact"/>
              <w:jc w:val="center"/>
              <w:rPr>
                <w:rFonts w:hint="eastAsia" w:hAnsi="宋体" w:cs="宋体"/>
                <w:bCs/>
                <w:color w:val="auto"/>
                <w:kern w:val="2"/>
                <w:sz w:val="24"/>
                <w:szCs w:val="24"/>
                <w:highlight w:val="none"/>
              </w:rPr>
            </w:pPr>
            <w:r>
              <w:rPr>
                <w:rFonts w:hint="eastAsia" w:hAnsi="宋体" w:cs="宋体"/>
                <w:bCs/>
                <w:color w:val="auto"/>
                <w:kern w:val="2"/>
                <w:sz w:val="24"/>
                <w:szCs w:val="24"/>
                <w:highlight w:val="none"/>
              </w:rPr>
              <w:t>序号</w:t>
            </w:r>
          </w:p>
        </w:tc>
        <w:tc>
          <w:tcPr>
            <w:tcW w:w="3997" w:type="dxa"/>
            <w:noWrap w:val="0"/>
            <w:vAlign w:val="center"/>
          </w:tcPr>
          <w:p w14:paraId="04D36F01">
            <w:pPr>
              <w:pStyle w:val="4"/>
              <w:spacing w:line="420" w:lineRule="exact"/>
              <w:jc w:val="center"/>
              <w:rPr>
                <w:rFonts w:hint="eastAsia" w:hAnsi="宋体" w:cs="宋体"/>
                <w:bCs/>
                <w:color w:val="auto"/>
                <w:kern w:val="2"/>
                <w:sz w:val="24"/>
                <w:szCs w:val="24"/>
                <w:highlight w:val="none"/>
              </w:rPr>
            </w:pPr>
            <w:r>
              <w:rPr>
                <w:rFonts w:hint="eastAsia" w:hAnsi="宋体" w:cs="宋体"/>
                <w:bCs/>
                <w:color w:val="auto"/>
                <w:kern w:val="2"/>
                <w:sz w:val="24"/>
                <w:szCs w:val="24"/>
                <w:highlight w:val="none"/>
              </w:rPr>
              <w:t>标的名称</w:t>
            </w:r>
          </w:p>
        </w:tc>
        <w:tc>
          <w:tcPr>
            <w:tcW w:w="1759" w:type="dxa"/>
            <w:noWrap w:val="0"/>
            <w:vAlign w:val="center"/>
          </w:tcPr>
          <w:p w14:paraId="6A255044">
            <w:pPr>
              <w:pStyle w:val="4"/>
              <w:spacing w:line="420" w:lineRule="exact"/>
              <w:jc w:val="center"/>
              <w:rPr>
                <w:rFonts w:hint="eastAsia" w:hAnsi="宋体" w:cs="宋体"/>
                <w:bCs/>
                <w:color w:val="auto"/>
                <w:kern w:val="2"/>
                <w:sz w:val="24"/>
                <w:szCs w:val="24"/>
                <w:highlight w:val="none"/>
              </w:rPr>
            </w:pPr>
            <w:r>
              <w:rPr>
                <w:rFonts w:hint="eastAsia" w:hAnsi="宋体" w:cs="宋体"/>
                <w:bCs/>
                <w:color w:val="auto"/>
                <w:kern w:val="2"/>
                <w:sz w:val="24"/>
                <w:szCs w:val="24"/>
                <w:highlight w:val="none"/>
              </w:rPr>
              <w:t>数量及单位</w:t>
            </w:r>
          </w:p>
        </w:tc>
        <w:tc>
          <w:tcPr>
            <w:tcW w:w="2139" w:type="dxa"/>
            <w:noWrap w:val="0"/>
            <w:vAlign w:val="center"/>
          </w:tcPr>
          <w:p w14:paraId="353FDBF5">
            <w:pPr>
              <w:pStyle w:val="4"/>
              <w:spacing w:line="420" w:lineRule="exact"/>
              <w:jc w:val="center"/>
              <w:rPr>
                <w:rFonts w:hAnsi="宋体" w:cs="宋体"/>
                <w:bCs/>
                <w:color w:val="auto"/>
                <w:kern w:val="2"/>
                <w:sz w:val="24"/>
                <w:szCs w:val="24"/>
                <w:highlight w:val="none"/>
              </w:rPr>
            </w:pPr>
            <w:r>
              <w:rPr>
                <w:rFonts w:hint="eastAsia" w:hAnsi="宋体" w:cs="宋体"/>
                <w:bCs/>
                <w:color w:val="auto"/>
                <w:kern w:val="2"/>
                <w:sz w:val="24"/>
                <w:szCs w:val="24"/>
                <w:highlight w:val="none"/>
              </w:rPr>
              <w:t>备注</w:t>
            </w:r>
          </w:p>
        </w:tc>
      </w:tr>
      <w:tr w14:paraId="3406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9" w:type="dxa"/>
            <w:noWrap w:val="0"/>
            <w:vAlign w:val="center"/>
          </w:tcPr>
          <w:p w14:paraId="69C54030">
            <w:pPr>
              <w:pStyle w:val="4"/>
              <w:spacing w:line="420" w:lineRule="exact"/>
              <w:jc w:val="center"/>
              <w:rPr>
                <w:rFonts w:hint="eastAsia" w:hAnsi="宋体" w:cs="宋体"/>
                <w:bCs/>
                <w:color w:val="auto"/>
                <w:kern w:val="2"/>
                <w:sz w:val="24"/>
                <w:szCs w:val="24"/>
                <w:highlight w:val="none"/>
              </w:rPr>
            </w:pPr>
            <w:r>
              <w:rPr>
                <w:rFonts w:hint="eastAsia" w:hAnsi="宋体" w:cs="宋体"/>
                <w:bCs/>
                <w:color w:val="auto"/>
                <w:kern w:val="2"/>
                <w:sz w:val="24"/>
                <w:szCs w:val="24"/>
                <w:highlight w:val="none"/>
              </w:rPr>
              <w:t>1</w:t>
            </w:r>
          </w:p>
        </w:tc>
        <w:tc>
          <w:tcPr>
            <w:tcW w:w="3997" w:type="dxa"/>
            <w:noWrap w:val="0"/>
            <w:vAlign w:val="center"/>
          </w:tcPr>
          <w:p w14:paraId="778438DD">
            <w:pPr>
              <w:pStyle w:val="4"/>
              <w:spacing w:line="420" w:lineRule="exact"/>
              <w:jc w:val="center"/>
              <w:rPr>
                <w:rFonts w:hint="eastAsia" w:hAnsi="宋体" w:cs="宋体"/>
                <w:bCs/>
                <w:color w:val="auto"/>
                <w:kern w:val="2"/>
                <w:sz w:val="24"/>
                <w:szCs w:val="24"/>
                <w:highlight w:val="none"/>
              </w:rPr>
            </w:pPr>
          </w:p>
        </w:tc>
        <w:tc>
          <w:tcPr>
            <w:tcW w:w="1759" w:type="dxa"/>
            <w:noWrap w:val="0"/>
            <w:vAlign w:val="center"/>
          </w:tcPr>
          <w:p w14:paraId="5CFD6D39">
            <w:pPr>
              <w:pStyle w:val="4"/>
              <w:spacing w:line="420" w:lineRule="exact"/>
              <w:jc w:val="center"/>
              <w:rPr>
                <w:rFonts w:hAnsi="宋体" w:cs="宋体"/>
                <w:bCs/>
                <w:color w:val="auto"/>
                <w:kern w:val="2"/>
                <w:sz w:val="24"/>
                <w:szCs w:val="24"/>
                <w:highlight w:val="none"/>
              </w:rPr>
            </w:pPr>
          </w:p>
        </w:tc>
        <w:tc>
          <w:tcPr>
            <w:tcW w:w="2139" w:type="dxa"/>
            <w:noWrap w:val="0"/>
            <w:vAlign w:val="center"/>
          </w:tcPr>
          <w:p w14:paraId="1604EB74">
            <w:pPr>
              <w:pStyle w:val="4"/>
              <w:spacing w:line="420" w:lineRule="exact"/>
              <w:jc w:val="center"/>
              <w:rPr>
                <w:rFonts w:hint="eastAsia" w:hAnsi="宋体" w:cs="宋体"/>
                <w:bCs/>
                <w:color w:val="auto"/>
                <w:kern w:val="2"/>
                <w:sz w:val="24"/>
                <w:szCs w:val="24"/>
                <w:highlight w:val="none"/>
              </w:rPr>
            </w:pPr>
          </w:p>
        </w:tc>
      </w:tr>
      <w:tr w14:paraId="6770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04" w:type="dxa"/>
            <w:gridSpan w:val="4"/>
            <w:noWrap w:val="0"/>
            <w:vAlign w:val="center"/>
          </w:tcPr>
          <w:p w14:paraId="14FE1123">
            <w:pPr>
              <w:pStyle w:val="4"/>
              <w:spacing w:line="420" w:lineRule="exact"/>
              <w:jc w:val="left"/>
              <w:rPr>
                <w:rFonts w:hAnsi="宋体" w:cs="宋体"/>
                <w:bCs/>
                <w:color w:val="auto"/>
                <w:kern w:val="2"/>
                <w:sz w:val="24"/>
                <w:szCs w:val="24"/>
                <w:highlight w:val="none"/>
              </w:rPr>
            </w:pPr>
            <w:r>
              <w:rPr>
                <w:rFonts w:hint="eastAsia" w:hAnsi="宋体" w:cs="宋体"/>
                <w:bCs/>
                <w:color w:val="auto"/>
                <w:kern w:val="2"/>
                <w:sz w:val="24"/>
                <w:szCs w:val="24"/>
                <w:highlight w:val="none"/>
              </w:rPr>
              <w:t>投标总报价：人民币</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w:t>
            </w:r>
            <w:r>
              <w:rPr>
                <w:rFonts w:hAnsi="宋体" w:cs="宋体"/>
                <w:bCs/>
                <w:color w:val="auto"/>
                <w:kern w:val="2"/>
                <w:sz w:val="24"/>
                <w:szCs w:val="24"/>
                <w:highlight w:val="none"/>
              </w:rPr>
              <w:t>¥</w:t>
            </w:r>
            <w:r>
              <w:rPr>
                <w:rFonts w:hint="eastAsia" w:hAnsi="宋体" w:cs="宋体"/>
                <w:bCs/>
                <w:color w:val="auto"/>
                <w:kern w:val="2"/>
                <w:sz w:val="24"/>
                <w:szCs w:val="24"/>
                <w:highlight w:val="none"/>
                <w:u w:val="single"/>
              </w:rPr>
              <w:t xml:space="preserve">             </w:t>
            </w:r>
            <w:r>
              <w:rPr>
                <w:rFonts w:hint="eastAsia" w:hAnsi="宋体" w:cs="宋体"/>
                <w:bCs/>
                <w:color w:val="auto"/>
                <w:kern w:val="2"/>
                <w:sz w:val="24"/>
                <w:szCs w:val="24"/>
                <w:highlight w:val="none"/>
              </w:rPr>
              <w:t>）</w:t>
            </w:r>
          </w:p>
        </w:tc>
      </w:tr>
      <w:tr w14:paraId="7D97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04" w:type="dxa"/>
            <w:gridSpan w:val="4"/>
            <w:noWrap w:val="0"/>
            <w:vAlign w:val="center"/>
          </w:tcPr>
          <w:p w14:paraId="2787680D">
            <w:pPr>
              <w:pStyle w:val="4"/>
              <w:spacing w:line="420" w:lineRule="exact"/>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服务期限：</w:t>
            </w:r>
            <w:r>
              <w:rPr>
                <w:rFonts w:hint="eastAsia" w:hAnsi="宋体" w:cs="宋体"/>
                <w:bCs/>
                <w:color w:val="auto"/>
                <w:kern w:val="2"/>
                <w:sz w:val="24"/>
                <w:szCs w:val="24"/>
                <w:highlight w:val="none"/>
                <w:lang w:val="en-US" w:eastAsia="zh-CN"/>
              </w:rPr>
              <w:t>自签订合同之日起</w:t>
            </w:r>
            <w:r>
              <w:rPr>
                <w:rFonts w:hint="eastAsia" w:hAnsi="宋体" w:cs="宋体"/>
                <w:bCs/>
                <w:color w:val="auto"/>
                <w:kern w:val="2"/>
                <w:sz w:val="24"/>
                <w:szCs w:val="24"/>
                <w:highlight w:val="none"/>
                <w:u w:val="single"/>
                <w:lang w:val="en-US" w:eastAsia="zh-CN"/>
              </w:rPr>
              <w:t xml:space="preserve">   </w:t>
            </w:r>
            <w:r>
              <w:rPr>
                <w:rFonts w:hint="eastAsia" w:hAnsi="宋体" w:cs="宋体"/>
                <w:bCs/>
                <w:color w:val="auto"/>
                <w:kern w:val="2"/>
                <w:sz w:val="24"/>
                <w:szCs w:val="24"/>
                <w:highlight w:val="none"/>
                <w:lang w:val="en-US" w:eastAsia="zh-CN"/>
              </w:rPr>
              <w:t>天内开始提供服务；合同期</w:t>
            </w:r>
            <w:r>
              <w:rPr>
                <w:rFonts w:hint="eastAsia" w:hAnsi="宋体" w:cs="宋体"/>
                <w:bCs/>
                <w:color w:val="auto"/>
                <w:kern w:val="2"/>
                <w:sz w:val="24"/>
                <w:szCs w:val="24"/>
                <w:highlight w:val="none"/>
              </w:rPr>
              <w:t>3年，具体服务起止时间以合同约定日期为准。</w:t>
            </w:r>
          </w:p>
        </w:tc>
      </w:tr>
    </w:tbl>
    <w:p w14:paraId="59ED747A">
      <w:pPr>
        <w:snapToGrid w:val="0"/>
        <w:spacing w:before="50" w:after="50" w:line="360" w:lineRule="auto"/>
        <w:rPr>
          <w:rFonts w:hint="eastAsia" w:ascii="宋体" w:hAnsi="宋体" w:cs="宋体"/>
          <w:color w:val="auto"/>
          <w:sz w:val="24"/>
          <w:highlight w:val="none"/>
        </w:rPr>
      </w:pPr>
    </w:p>
    <w:p w14:paraId="795B500E">
      <w:pPr>
        <w:snapToGrid w:val="0"/>
        <w:spacing w:before="50" w:after="50" w:line="42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7BCE09C3">
      <w:pPr>
        <w:snapToGrid w:val="0"/>
        <w:spacing w:before="50" w:after="50"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4CBE88E2">
      <w:pPr>
        <w:snapToGrid w:val="0"/>
        <w:spacing w:before="50" w:after="50" w:line="420" w:lineRule="exact"/>
        <w:ind w:firstLine="480" w:firstLineChars="200"/>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0C57F77B">
      <w:pPr>
        <w:snapToGrid w:val="0"/>
        <w:spacing w:before="120" w:beforeLines="50" w:after="50" w:line="420" w:lineRule="exact"/>
        <w:ind w:right="480" w:firstLine="3600" w:firstLineChars="1500"/>
        <w:rPr>
          <w:rFonts w:hint="eastAsia" w:ascii="宋体" w:hAnsi="宋体" w:cs="宋体"/>
          <w:color w:val="auto"/>
          <w:sz w:val="24"/>
          <w:highlight w:val="none"/>
        </w:rPr>
      </w:pPr>
    </w:p>
    <w:p w14:paraId="0243CC9F">
      <w:pPr>
        <w:snapToGrid w:val="0"/>
        <w:spacing w:before="120" w:beforeLines="50" w:after="50" w:line="420" w:lineRule="exact"/>
        <w:ind w:right="480" w:firstLine="3600" w:firstLineChars="1500"/>
        <w:rPr>
          <w:rFonts w:hint="eastAsia" w:ascii="宋体" w:hAnsi="宋体" w:cs="宋体"/>
          <w:color w:val="auto"/>
          <w:sz w:val="24"/>
          <w:highlight w:val="none"/>
        </w:rPr>
      </w:pPr>
      <w:r>
        <w:rPr>
          <w:rFonts w:hint="eastAsia" w:ascii="宋体" w:hAnsi="宋体" w:cs="宋体"/>
          <w:color w:val="auto"/>
          <w:sz w:val="24"/>
          <w:highlight w:val="none"/>
        </w:rPr>
        <w:t>投标人名称（盖公章）：</w:t>
      </w:r>
      <w:r>
        <w:rPr>
          <w:rFonts w:hint="eastAsia" w:ascii="宋体" w:hAnsi="宋体" w:cs="宋体"/>
          <w:color w:val="auto"/>
          <w:sz w:val="24"/>
          <w:highlight w:val="none"/>
          <w:u w:val="single"/>
        </w:rPr>
        <w:t xml:space="preserve">                        </w:t>
      </w:r>
    </w:p>
    <w:p w14:paraId="78207B27">
      <w:pPr>
        <w:snapToGrid w:val="0"/>
        <w:spacing w:before="120" w:beforeLines="50" w:line="420" w:lineRule="exact"/>
        <w:ind w:right="48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E37F8DD">
      <w:pPr>
        <w:snapToGrid w:val="0"/>
        <w:spacing w:before="120" w:beforeLines="50" w:after="50" w:line="420" w:lineRule="exact"/>
        <w:ind w:right="480"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1DEA002">
      <w:pPr>
        <w:pStyle w:val="2"/>
        <w:keepNext w:val="0"/>
        <w:keepLines w:val="0"/>
        <w:pageBreakBefore w:val="0"/>
        <w:widowControl w:val="0"/>
        <w:kinsoku/>
        <w:wordWrap/>
        <w:overflowPunct/>
        <w:topLinePunct w:val="0"/>
        <w:autoSpaceDE/>
        <w:autoSpaceDN/>
        <w:bidi w:val="0"/>
        <w:adjustRightInd/>
        <w:spacing w:line="420" w:lineRule="exact"/>
        <w:ind w:left="0" w:leftChars="0" w:firstLine="0" w:firstLineChars="0"/>
        <w:rPr>
          <w:rFonts w:hint="default" w:ascii="宋体" w:hAnsi="宋体" w:cs="宋体"/>
          <w:b/>
          <w:bCs/>
          <w:color w:val="auto"/>
          <w:szCs w:val="21"/>
          <w:highlight w:val="none"/>
          <w:lang w:val="en-US" w:eastAsia="zh-CN"/>
        </w:rPr>
      </w:pPr>
    </w:p>
    <w:sectPr>
      <w:footerReference r:id="rId3" w:type="default"/>
      <w:pgSz w:w="11906" w:h="16838"/>
      <w:pgMar w:top="907" w:right="1134" w:bottom="90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AB83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D97C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1D97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formatting="1" w:enforcement="1" w:cryptProviderType="rsaFull" w:cryptAlgorithmClass="hash" w:cryptAlgorithmType="typeAny" w:cryptAlgorithmSid="4" w:cryptSpinCount="0" w:hash="4uke+vWimbbOjPGPbyUbt0PcEnI=" w:salt="n2sRyyYufpBoc8hscAqZs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F290B"/>
    <w:rsid w:val="04C11604"/>
    <w:rsid w:val="085F360E"/>
    <w:rsid w:val="0B623F32"/>
    <w:rsid w:val="1DB775F0"/>
    <w:rsid w:val="1F17646C"/>
    <w:rsid w:val="212C5BFF"/>
    <w:rsid w:val="26325A66"/>
    <w:rsid w:val="28292E99"/>
    <w:rsid w:val="28C904D5"/>
    <w:rsid w:val="2ABF290B"/>
    <w:rsid w:val="2D6A01DB"/>
    <w:rsid w:val="341B222F"/>
    <w:rsid w:val="37BC0447"/>
    <w:rsid w:val="41E50477"/>
    <w:rsid w:val="423170C2"/>
    <w:rsid w:val="42557F64"/>
    <w:rsid w:val="43386575"/>
    <w:rsid w:val="43993170"/>
    <w:rsid w:val="4D487FC0"/>
    <w:rsid w:val="577303E5"/>
    <w:rsid w:val="59396B30"/>
    <w:rsid w:val="5F922AF6"/>
    <w:rsid w:val="64D860E0"/>
    <w:rsid w:val="65D976D1"/>
    <w:rsid w:val="678C47CB"/>
    <w:rsid w:val="6B054AC4"/>
    <w:rsid w:val="6B0E3683"/>
    <w:rsid w:val="70ED4226"/>
    <w:rsid w:val="71DE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Plain Text"/>
    <w:basedOn w:val="1"/>
    <w:next w:val="1"/>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qFormat/>
    <w:uiPriority w:val="0"/>
    <w:rPr>
      <w:rFonts w:ascii="Calibri" w:hAnsi="Calibri"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11376</Words>
  <Characters>11595</Characters>
  <Lines>0</Lines>
  <Paragraphs>0</Paragraphs>
  <TotalTime>11</TotalTime>
  <ScaleCrop>false</ScaleCrop>
  <LinksUpToDate>false</LinksUpToDate>
  <CharactersWithSpaces>11762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2025-10-23T02:11:00Z</dcterms:created>
  <dc:creator>L</dc:creator>
  <cp:lastModifiedBy>L</cp:lastModifiedBy>
  <dcterms:modified xsi:type="dcterms:W3CDTF">2025-10-28T03:50:57Z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5678C89304BD4A74AAADEB60F2AC6356_11</vt:lpwstr>
  </property>
  <property fmtid="{D5CDD505-2E9C-101B-9397-08002B2CF9AE}" pid="4" name="KSOTemplateDocerSaveRecord">
    <vt:lpwstr>eyJoZGlkIjoiNmY1YWY2YTFjNDQzYjJkY2NkY2Q1ODhkY2Q4Y2JhOWYiLCJ1c2VySWQiOiI1NDQ0NTQzODUifQ==</vt:lpwstr>
  </property>
</Properties>
</file>