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6F39">
      <w:pPr>
        <w:spacing w:line="360" w:lineRule="auto"/>
        <w:jc w:val="center"/>
        <w:rPr>
          <w:rFonts w:ascii="方正小标宋简体" w:hAnsi="宋体" w:eastAsia="方正小标宋简体"/>
          <w:color w:val="auto"/>
          <w:sz w:val="52"/>
          <w:szCs w:val="52"/>
          <w:highlight w:val="none"/>
          <w:shd w:val="clear" w:color="auto" w:fill="FFFFFF" w:themeFill="background1"/>
        </w:rPr>
      </w:pPr>
      <w:r>
        <w:rPr>
          <w:rFonts w:hint="eastAsia" w:ascii="方正小标宋简体" w:hAnsi="宋体" w:eastAsia="方正小标宋简体"/>
          <w:color w:val="auto"/>
          <w:sz w:val="52"/>
          <w:szCs w:val="52"/>
          <w:highlight w:val="none"/>
          <w:shd w:val="clear" w:color="auto" w:fill="FFFFFF" w:themeFill="background1"/>
        </w:rPr>
        <w:t>广西同泽工程项目管理股份有限公司</w:t>
      </w:r>
    </w:p>
    <w:p w14:paraId="1379D8A1">
      <w:pPr>
        <w:pStyle w:val="23"/>
        <w:ind w:firstLine="482"/>
        <w:rPr>
          <w:color w:val="auto"/>
          <w:highlight w:val="none"/>
          <w:shd w:val="clear" w:color="auto" w:fill="FFFFFF" w:themeFill="background1"/>
        </w:rPr>
      </w:pPr>
    </w:p>
    <w:p w14:paraId="36D2B83B">
      <w:pPr>
        <w:snapToGrid w:val="0"/>
        <w:spacing w:beforeLines="50" w:line="360" w:lineRule="auto"/>
        <w:jc w:val="center"/>
        <w:rPr>
          <w:rFonts w:ascii="华文新魏" w:hAnsi="宋体" w:eastAsia="华文新魏"/>
          <w:color w:val="auto"/>
          <w:sz w:val="72"/>
          <w:szCs w:val="72"/>
          <w:highlight w:val="none"/>
          <w:shd w:val="clear" w:color="auto" w:fill="FFFFFF" w:themeFill="background1"/>
        </w:rPr>
      </w:pPr>
      <w:r>
        <w:rPr>
          <w:rFonts w:hint="eastAsia" w:ascii="华文新魏" w:hAnsi="宋体" w:eastAsia="华文新魏"/>
          <w:color w:val="auto"/>
          <w:sz w:val="120"/>
          <w:szCs w:val="120"/>
          <w:highlight w:val="none"/>
          <w:shd w:val="clear" w:color="auto" w:fill="FFFFFF" w:themeFill="background1"/>
        </w:rPr>
        <w:t>招 标 文 件</w:t>
      </w:r>
    </w:p>
    <w:p w14:paraId="377CB4A5">
      <w:pPr>
        <w:snapToGrid w:val="0"/>
        <w:spacing w:beforeLines="50" w:line="360" w:lineRule="auto"/>
        <w:jc w:val="center"/>
        <w:rPr>
          <w:rFonts w:ascii="仿宋_GB2312" w:hAnsi="宋体" w:eastAsia="仿宋_GB2312"/>
          <w:b/>
          <w:color w:val="auto"/>
          <w:sz w:val="48"/>
          <w:szCs w:val="48"/>
          <w:highlight w:val="none"/>
          <w:shd w:val="clear" w:color="auto" w:fill="FFFFFF" w:themeFill="background1"/>
        </w:rPr>
      </w:pPr>
      <w:r>
        <w:rPr>
          <w:rFonts w:hint="eastAsia" w:ascii="仿宋_GB2312" w:hAnsi="宋体" w:eastAsia="仿宋_GB2312"/>
          <w:b/>
          <w:color w:val="auto"/>
          <w:sz w:val="48"/>
          <w:szCs w:val="48"/>
          <w:highlight w:val="none"/>
          <w:shd w:val="clear" w:color="auto" w:fill="FFFFFF" w:themeFill="background1"/>
        </w:rPr>
        <w:t>（全流程电子化采购）</w:t>
      </w:r>
    </w:p>
    <w:p w14:paraId="36869453">
      <w:pPr>
        <w:snapToGrid w:val="0"/>
        <w:spacing w:line="360" w:lineRule="auto"/>
        <w:ind w:firstLine="602"/>
        <w:rPr>
          <w:rFonts w:ascii="仿宋_GB2312" w:hAnsi="宋体" w:eastAsia="仿宋_GB2312"/>
          <w:color w:val="auto"/>
          <w:sz w:val="30"/>
          <w:szCs w:val="72"/>
          <w:highlight w:val="none"/>
          <w:shd w:val="clear" w:color="auto" w:fill="FFFFFF" w:themeFill="background1"/>
        </w:rPr>
      </w:pPr>
    </w:p>
    <w:p w14:paraId="25A953D6">
      <w:pPr>
        <w:pStyle w:val="31"/>
        <w:snapToGrid w:val="0"/>
        <w:spacing w:line="480" w:lineRule="auto"/>
        <w:ind w:firstLine="600"/>
        <w:rPr>
          <w:rFonts w:ascii="仿宋_GB2312" w:hAnsi="宋体" w:eastAsia="仿宋_GB2312"/>
          <w:b/>
          <w:bCs/>
          <w:color w:val="auto"/>
          <w:sz w:val="30"/>
          <w:szCs w:val="30"/>
          <w:highlight w:val="none"/>
          <w:shd w:val="clear" w:color="auto" w:fill="FFFFFF" w:themeFill="background1"/>
        </w:rPr>
      </w:pPr>
    </w:p>
    <w:p w14:paraId="209F8FB4">
      <w:pPr>
        <w:pStyle w:val="31"/>
        <w:snapToGrid w:val="0"/>
        <w:spacing w:line="480" w:lineRule="auto"/>
        <w:ind w:firstLine="600"/>
        <w:rPr>
          <w:rFonts w:ascii="仿宋_GB2312" w:hAnsi="宋体" w:eastAsia="仿宋_GB2312"/>
          <w:b/>
          <w:bCs/>
          <w:color w:val="auto"/>
          <w:sz w:val="30"/>
          <w:szCs w:val="30"/>
          <w:highlight w:val="none"/>
          <w:shd w:val="clear" w:color="auto" w:fill="FFFFFF" w:themeFill="background1"/>
        </w:rPr>
      </w:pPr>
    </w:p>
    <w:p w14:paraId="0C2E6C8C">
      <w:pPr>
        <w:pStyle w:val="31"/>
        <w:snapToGrid w:val="0"/>
        <w:spacing w:line="480" w:lineRule="auto"/>
        <w:ind w:firstLine="640"/>
        <w:rPr>
          <w:rFonts w:ascii="仿宋_GB2312" w:hAnsi="宋体" w:eastAsia="仿宋_GB2312"/>
          <w:b/>
          <w:bCs/>
          <w:color w:val="auto"/>
          <w:sz w:val="32"/>
          <w:szCs w:val="32"/>
          <w:highlight w:val="none"/>
          <w:shd w:val="clear" w:color="auto" w:fill="FFFFFF" w:themeFill="background1"/>
        </w:rPr>
      </w:pPr>
    </w:p>
    <w:p w14:paraId="37885D42">
      <w:pPr>
        <w:pStyle w:val="31"/>
        <w:snapToGrid w:val="0"/>
        <w:spacing w:line="480" w:lineRule="auto"/>
        <w:rPr>
          <w:rFonts w:hint="eastAsia" w:ascii="仿宋_GB2312" w:hAnsi="宋体" w:eastAsia="仿宋_GB2312"/>
          <w:b/>
          <w:bCs/>
          <w:color w:val="auto"/>
          <w:w w:val="95"/>
          <w:sz w:val="32"/>
          <w:szCs w:val="32"/>
          <w:highlight w:val="none"/>
          <w:shd w:val="clear" w:color="auto" w:fill="FFFFFF" w:themeFill="background1"/>
          <w:lang w:eastAsia="zh-CN"/>
        </w:rPr>
      </w:pPr>
      <w:r>
        <w:rPr>
          <w:rFonts w:hint="eastAsia" w:ascii="仿宋_GB2312" w:hAnsi="宋体" w:eastAsia="仿宋_GB2312"/>
          <w:b/>
          <w:bCs/>
          <w:color w:val="auto"/>
          <w:sz w:val="32"/>
          <w:szCs w:val="32"/>
          <w:highlight w:val="none"/>
          <w:shd w:val="clear" w:color="auto" w:fill="FFFFFF" w:themeFill="background1"/>
        </w:rPr>
        <w:t>项目</w:t>
      </w:r>
      <w:r>
        <w:rPr>
          <w:rFonts w:hint="eastAsia" w:ascii="仿宋_GB2312" w:hAnsi="宋体" w:eastAsia="仿宋_GB2312" w:cs="Courier New"/>
          <w:b/>
          <w:bCs/>
          <w:color w:val="auto"/>
          <w:w w:val="95"/>
          <w:sz w:val="32"/>
          <w:szCs w:val="32"/>
          <w:highlight w:val="none"/>
          <w:shd w:val="clear" w:color="auto" w:fill="FFFFFF" w:themeFill="background1"/>
        </w:rPr>
        <w:t>名称：</w:t>
      </w:r>
      <w:r>
        <w:rPr>
          <w:rFonts w:hint="eastAsia" w:ascii="仿宋_GB2312" w:hAnsi="宋体" w:eastAsia="仿宋_GB2312"/>
          <w:b/>
          <w:bCs/>
          <w:color w:val="auto"/>
          <w:sz w:val="32"/>
          <w:szCs w:val="32"/>
          <w:highlight w:val="none"/>
          <w:shd w:val="clear" w:color="auto" w:fill="FFFFFF" w:themeFill="background1"/>
          <w:lang w:eastAsia="zh-CN"/>
        </w:rPr>
        <w:t>钦州港1号至12号外锚地建设工程（外1#、外2#锚地及锚地通道）勘察测量及方案设计</w:t>
      </w:r>
    </w:p>
    <w:p w14:paraId="00E9D10C">
      <w:pPr>
        <w:pStyle w:val="31"/>
        <w:snapToGrid w:val="0"/>
        <w:spacing w:line="480" w:lineRule="auto"/>
        <w:rPr>
          <w:rFonts w:hint="eastAsia" w:ascii="仿宋_GB2312" w:hAnsi="宋体" w:eastAsia="仿宋_GB2312" w:cs="Courier New"/>
          <w:b/>
          <w:bCs/>
          <w:color w:val="auto"/>
          <w:w w:val="95"/>
          <w:sz w:val="32"/>
          <w:szCs w:val="32"/>
          <w:highlight w:val="none"/>
          <w:shd w:val="clear" w:color="auto" w:fill="FFFFFF" w:themeFill="background1"/>
          <w:lang w:eastAsia="zh-CN"/>
        </w:rPr>
      </w:pPr>
      <w:r>
        <w:rPr>
          <w:rFonts w:hint="eastAsia" w:ascii="仿宋_GB2312" w:hAnsi="宋体" w:eastAsia="仿宋_GB2312" w:cs="Courier New"/>
          <w:b/>
          <w:bCs/>
          <w:color w:val="auto"/>
          <w:w w:val="95"/>
          <w:sz w:val="32"/>
          <w:szCs w:val="32"/>
          <w:highlight w:val="none"/>
          <w:shd w:val="clear" w:color="auto" w:fill="FFFFFF" w:themeFill="background1"/>
        </w:rPr>
        <w:t>项目</w:t>
      </w:r>
      <w:r>
        <w:rPr>
          <w:rFonts w:hint="eastAsia" w:ascii="仿宋_GB2312" w:hAnsi="宋体" w:eastAsia="仿宋_GB2312"/>
          <w:b/>
          <w:bCs/>
          <w:color w:val="auto"/>
          <w:sz w:val="32"/>
          <w:szCs w:val="32"/>
          <w:highlight w:val="none"/>
          <w:shd w:val="clear" w:color="auto" w:fill="FFFFFF" w:themeFill="background1"/>
        </w:rPr>
        <w:t>编号</w:t>
      </w:r>
      <w:r>
        <w:rPr>
          <w:rFonts w:hint="eastAsia" w:ascii="仿宋_GB2312" w:hAnsi="宋体" w:eastAsia="仿宋_GB2312" w:cs="Courier New"/>
          <w:b/>
          <w:bCs/>
          <w:color w:val="auto"/>
          <w:w w:val="95"/>
          <w:sz w:val="32"/>
          <w:szCs w:val="32"/>
          <w:highlight w:val="none"/>
          <w:shd w:val="clear" w:color="auto" w:fill="FFFFFF" w:themeFill="background1"/>
        </w:rPr>
        <w:t>：</w:t>
      </w:r>
      <w:r>
        <w:rPr>
          <w:rFonts w:hint="eastAsia" w:ascii="仿宋_GB2312" w:hAnsi="宋体" w:eastAsia="仿宋_GB2312" w:cs="Courier New"/>
          <w:b/>
          <w:bCs/>
          <w:color w:val="auto"/>
          <w:w w:val="95"/>
          <w:sz w:val="32"/>
          <w:szCs w:val="32"/>
          <w:highlight w:val="none"/>
          <w:shd w:val="clear" w:color="auto" w:fill="FFFFFF" w:themeFill="background1"/>
          <w:lang w:eastAsia="zh-CN"/>
        </w:rPr>
        <w:t>GXZC2025-G3-000755-GXTZ</w:t>
      </w:r>
    </w:p>
    <w:p w14:paraId="29EDFCC7">
      <w:pPr>
        <w:pStyle w:val="31"/>
        <w:snapToGrid w:val="0"/>
        <w:spacing w:line="480" w:lineRule="auto"/>
        <w:rPr>
          <w:rFonts w:ascii="仿宋_GB2312" w:hAnsi="宋体" w:eastAsia="仿宋_GB2312"/>
          <w:b/>
          <w:bCs/>
          <w:color w:val="auto"/>
          <w:w w:val="95"/>
          <w:sz w:val="32"/>
          <w:szCs w:val="32"/>
          <w:highlight w:val="none"/>
          <w:shd w:val="clear" w:color="auto" w:fill="FFFFFF" w:themeFill="background1"/>
        </w:rPr>
      </w:pPr>
      <w:r>
        <w:rPr>
          <w:rFonts w:hint="eastAsia" w:ascii="仿宋_GB2312" w:hAnsi="宋体" w:eastAsia="仿宋_GB2312"/>
          <w:b/>
          <w:bCs/>
          <w:color w:val="auto"/>
          <w:w w:val="95"/>
          <w:sz w:val="32"/>
          <w:szCs w:val="32"/>
          <w:highlight w:val="none"/>
          <w:shd w:val="clear" w:color="auto" w:fill="FFFFFF" w:themeFill="background1"/>
        </w:rPr>
        <w:t xml:space="preserve">采 购 人：广西壮族自治区港航发展中心 </w:t>
      </w:r>
    </w:p>
    <w:p w14:paraId="786BEBA3">
      <w:pPr>
        <w:pStyle w:val="31"/>
        <w:snapToGrid w:val="0"/>
        <w:spacing w:line="480" w:lineRule="auto"/>
        <w:rPr>
          <w:rFonts w:ascii="仿宋_GB2312" w:hAnsi="宋体" w:eastAsia="仿宋_GB2312"/>
          <w:b/>
          <w:bCs/>
          <w:color w:val="auto"/>
          <w:w w:val="95"/>
          <w:sz w:val="32"/>
          <w:szCs w:val="32"/>
          <w:highlight w:val="none"/>
          <w:shd w:val="clear" w:color="auto" w:fill="FFFFFF" w:themeFill="background1"/>
        </w:rPr>
      </w:pPr>
      <w:r>
        <w:rPr>
          <w:rFonts w:hint="eastAsia" w:ascii="仿宋_GB2312" w:hAnsi="宋体" w:eastAsia="仿宋_GB2312"/>
          <w:b/>
          <w:bCs/>
          <w:color w:val="auto"/>
          <w:w w:val="95"/>
          <w:sz w:val="32"/>
          <w:szCs w:val="32"/>
          <w:highlight w:val="none"/>
          <w:shd w:val="clear" w:color="auto" w:fill="FFFFFF" w:themeFill="background1"/>
        </w:rPr>
        <w:t>采购代理机构：广西同泽工程项目管理股份有限公司</w:t>
      </w:r>
    </w:p>
    <w:p w14:paraId="65479A78">
      <w:pPr>
        <w:pStyle w:val="31"/>
        <w:snapToGrid w:val="0"/>
        <w:spacing w:line="360" w:lineRule="auto"/>
        <w:ind w:firstLine="1125" w:firstLineChars="393"/>
        <w:rPr>
          <w:rFonts w:ascii="仿宋_GB2312" w:hAnsi="宋体" w:eastAsia="仿宋_GB2312"/>
          <w:b/>
          <w:bCs/>
          <w:color w:val="auto"/>
          <w:w w:val="95"/>
          <w:sz w:val="30"/>
          <w:szCs w:val="30"/>
          <w:highlight w:val="none"/>
          <w:shd w:val="clear" w:color="auto" w:fill="FFFFFF" w:themeFill="background1"/>
        </w:rPr>
      </w:pPr>
    </w:p>
    <w:p w14:paraId="0083A2E1">
      <w:pPr>
        <w:pStyle w:val="31"/>
        <w:snapToGrid w:val="0"/>
        <w:spacing w:line="360" w:lineRule="auto"/>
        <w:ind w:firstLine="3642" w:firstLineChars="1193"/>
        <w:rPr>
          <w:rFonts w:ascii="仿宋_GB2312" w:eastAsia="仿宋_GB2312"/>
          <w:color w:val="auto"/>
          <w:sz w:val="32"/>
          <w:szCs w:val="32"/>
          <w:highlight w:val="none"/>
          <w:shd w:val="clear" w:color="auto" w:fill="FFFFFF" w:themeFill="background1"/>
        </w:rPr>
      </w:pPr>
      <w:r>
        <w:rPr>
          <w:rFonts w:hint="eastAsia" w:ascii="仿宋_GB2312" w:hAnsi="宋体" w:eastAsia="仿宋_GB2312"/>
          <w:b/>
          <w:bCs/>
          <w:color w:val="auto"/>
          <w:w w:val="95"/>
          <w:sz w:val="32"/>
          <w:szCs w:val="32"/>
          <w:highlight w:val="none"/>
          <w:shd w:val="clear" w:color="auto" w:fill="FFFFFF" w:themeFill="background1"/>
          <w:lang w:eastAsia="zh-CN"/>
        </w:rPr>
        <w:t>2025</w:t>
      </w:r>
      <w:r>
        <w:rPr>
          <w:rFonts w:hint="eastAsia" w:ascii="仿宋_GB2312" w:hAnsi="宋体" w:eastAsia="仿宋_GB2312"/>
          <w:b/>
          <w:bCs/>
          <w:color w:val="auto"/>
          <w:w w:val="95"/>
          <w:sz w:val="32"/>
          <w:szCs w:val="32"/>
          <w:highlight w:val="none"/>
          <w:shd w:val="clear" w:color="auto" w:fill="FFFFFF" w:themeFill="background1"/>
        </w:rPr>
        <w:t>年</w:t>
      </w:r>
      <w:r>
        <w:rPr>
          <w:rFonts w:hint="eastAsia" w:ascii="仿宋_GB2312" w:hAnsi="宋体" w:eastAsia="仿宋_GB2312"/>
          <w:b/>
          <w:bCs/>
          <w:color w:val="auto"/>
          <w:w w:val="95"/>
          <w:sz w:val="32"/>
          <w:szCs w:val="32"/>
          <w:highlight w:val="none"/>
          <w:shd w:val="clear" w:color="auto" w:fill="FFFFFF" w:themeFill="background1"/>
          <w:lang w:val="en-US" w:eastAsia="zh-CN"/>
        </w:rPr>
        <w:t xml:space="preserve">  </w:t>
      </w:r>
      <w:r>
        <w:rPr>
          <w:rFonts w:hint="eastAsia" w:ascii="仿宋_GB2312" w:hAnsi="宋体" w:eastAsia="仿宋_GB2312"/>
          <w:b/>
          <w:bCs/>
          <w:color w:val="auto"/>
          <w:w w:val="95"/>
          <w:sz w:val="32"/>
          <w:szCs w:val="32"/>
          <w:highlight w:val="none"/>
          <w:shd w:val="clear" w:color="auto" w:fill="FFFFFF" w:themeFill="background1"/>
        </w:rPr>
        <w:t>月</w:t>
      </w:r>
      <w:r>
        <w:rPr>
          <w:rFonts w:hint="eastAsia" w:ascii="仿宋_GB2312" w:hAnsi="宋体" w:eastAsia="仿宋_GB2312"/>
          <w:b/>
          <w:bCs/>
          <w:color w:val="auto"/>
          <w:w w:val="95"/>
          <w:sz w:val="32"/>
          <w:szCs w:val="32"/>
          <w:highlight w:val="none"/>
          <w:shd w:val="clear" w:color="auto" w:fill="FFFFFF" w:themeFill="background1"/>
          <w:lang w:val="en-US" w:eastAsia="zh-CN"/>
        </w:rPr>
        <w:t xml:space="preserve"> </w:t>
      </w:r>
      <w:r>
        <w:rPr>
          <w:rFonts w:hint="eastAsia" w:ascii="仿宋_GB2312" w:hAnsi="宋体" w:eastAsia="仿宋_GB2312"/>
          <w:b/>
          <w:bCs/>
          <w:color w:val="auto"/>
          <w:w w:val="95"/>
          <w:sz w:val="32"/>
          <w:szCs w:val="32"/>
          <w:highlight w:val="none"/>
          <w:shd w:val="clear" w:color="auto" w:fill="FFFFFF" w:themeFill="background1"/>
        </w:rPr>
        <w:t>日</w:t>
      </w:r>
    </w:p>
    <w:p w14:paraId="4F0112FC">
      <w:pPr>
        <w:rPr>
          <w:rFonts w:hint="eastAsia" w:ascii="方正小标宋简体" w:hAnsi="宋体" w:eastAsia="方正小标宋简体"/>
          <w:color w:val="auto"/>
          <w:sz w:val="52"/>
          <w:szCs w:val="52"/>
          <w:highlight w:val="none"/>
          <w:shd w:val="clear" w:color="auto" w:fill="FFFFFF" w:themeFill="background1"/>
        </w:rPr>
      </w:pPr>
    </w:p>
    <w:p w14:paraId="6AEA701D">
      <w:pPr>
        <w:spacing w:line="360" w:lineRule="auto"/>
        <w:ind w:firstLine="883"/>
        <w:jc w:val="center"/>
        <w:rPr>
          <w:rFonts w:ascii="宋体" w:hAnsi="宋体"/>
          <w:b/>
          <w:color w:val="auto"/>
          <w:sz w:val="44"/>
          <w:szCs w:val="44"/>
          <w:highlight w:val="none"/>
          <w:shd w:val="clear" w:color="auto" w:fill="FFFFFF" w:themeFill="background1"/>
        </w:rPr>
      </w:pPr>
      <w:r>
        <w:rPr>
          <w:rFonts w:hint="eastAsia" w:ascii="宋体" w:hAnsi="宋体"/>
          <w:b/>
          <w:color w:val="auto"/>
          <w:sz w:val="44"/>
          <w:szCs w:val="44"/>
          <w:highlight w:val="none"/>
          <w:shd w:val="clear" w:color="auto" w:fill="FFFFFF" w:themeFill="background1"/>
        </w:rPr>
        <w:t>目  录</w:t>
      </w:r>
    </w:p>
    <w:p w14:paraId="155390D8">
      <w:pPr>
        <w:spacing w:line="400" w:lineRule="exact"/>
        <w:ind w:firstLine="880"/>
        <w:jc w:val="center"/>
        <w:rPr>
          <w:rFonts w:ascii="宋体" w:hAnsi="宋体"/>
          <w:b/>
          <w:color w:val="auto"/>
          <w:sz w:val="44"/>
          <w:szCs w:val="44"/>
          <w:highlight w:val="none"/>
          <w:shd w:val="clear" w:color="auto" w:fill="FFFFFF" w:themeFill="background1"/>
        </w:rPr>
      </w:pPr>
    </w:p>
    <w:p w14:paraId="4F005CBC">
      <w:pPr>
        <w:pStyle w:val="41"/>
        <w:spacing w:line="360" w:lineRule="auto"/>
        <w:rPr>
          <w:rFonts w:asciiTheme="minorHAnsi" w:hAnsiTheme="minorHAnsi" w:eastAsiaTheme="minorEastAsia" w:cstheme="minorBidi"/>
          <w:b w:val="0"/>
          <w:bCs w:val="0"/>
          <w:caps w:val="0"/>
          <w:color w:val="auto"/>
          <w:sz w:val="21"/>
          <w:szCs w:val="22"/>
          <w:highlight w:val="none"/>
          <w:shd w:val="clear" w:color="auto" w:fill="FFFFFF" w:themeFill="background1"/>
        </w:rPr>
      </w:pPr>
      <w:r>
        <w:rPr>
          <w:rFonts w:ascii="仿宋_GB2312" w:eastAsia="仿宋_GB2312"/>
          <w:b w:val="0"/>
          <w:color w:val="auto"/>
          <w:highlight w:val="none"/>
          <w:shd w:val="clear" w:color="auto" w:fill="FFFFFF" w:themeFill="background1"/>
        </w:rPr>
        <w:fldChar w:fldCharType="begin"/>
      </w:r>
      <w:r>
        <w:rPr>
          <w:rFonts w:hint="eastAsia" w:ascii="仿宋_GB2312" w:eastAsia="仿宋_GB2312"/>
          <w:b w:val="0"/>
          <w:color w:val="auto"/>
          <w:highlight w:val="none"/>
          <w:shd w:val="clear" w:color="auto" w:fill="FFFFFF" w:themeFill="background1"/>
        </w:rPr>
        <w:instrText xml:space="preserve">TOC \o "1-2" \h \z \u</w:instrText>
      </w:r>
      <w:r>
        <w:rPr>
          <w:rFonts w:ascii="仿宋_GB2312" w:eastAsia="仿宋_GB2312"/>
          <w:b w:val="0"/>
          <w:color w:val="auto"/>
          <w:highlight w:val="none"/>
          <w:shd w:val="clear" w:color="auto" w:fill="FFFFFF" w:themeFill="background1"/>
        </w:rPr>
        <w:fldChar w:fldCharType="separate"/>
      </w:r>
      <w:r>
        <w:rPr>
          <w:color w:val="auto"/>
          <w:highlight w:val="none"/>
        </w:rPr>
        <w:fldChar w:fldCharType="begin"/>
      </w:r>
      <w:r>
        <w:rPr>
          <w:color w:val="auto"/>
          <w:highlight w:val="none"/>
        </w:rPr>
        <w:instrText xml:space="preserve"> HYPERLINK \l "_Toc158033870" </w:instrText>
      </w:r>
      <w:r>
        <w:rPr>
          <w:color w:val="auto"/>
          <w:highlight w:val="none"/>
        </w:rPr>
        <w:fldChar w:fldCharType="separate"/>
      </w:r>
      <w:r>
        <w:rPr>
          <w:rStyle w:val="71"/>
          <w:color w:val="auto"/>
          <w:highlight w:val="none"/>
          <w:shd w:val="clear" w:color="auto" w:fill="FFFFFF" w:themeFill="background1"/>
        </w:rPr>
        <w:t>第一章招标公告</w:t>
      </w:r>
      <w:r>
        <w:rPr>
          <w:color w:val="auto"/>
          <w:highlight w:val="none"/>
          <w:shd w:val="clear" w:color="auto" w:fill="FFFFFF" w:themeFill="background1"/>
        </w:rPr>
        <w:tab/>
      </w:r>
      <w:r>
        <w:rPr>
          <w:color w:val="auto"/>
          <w:highlight w:val="none"/>
          <w:shd w:val="clear" w:color="auto" w:fill="FFFFFF" w:themeFill="background1"/>
        </w:rPr>
        <w:fldChar w:fldCharType="begin"/>
      </w:r>
      <w:r>
        <w:rPr>
          <w:color w:val="auto"/>
          <w:highlight w:val="none"/>
          <w:shd w:val="clear" w:color="auto" w:fill="FFFFFF" w:themeFill="background1"/>
        </w:rPr>
        <w:instrText xml:space="preserve"> PAGEREF _Toc158033870 \h </w:instrText>
      </w:r>
      <w:r>
        <w:rPr>
          <w:color w:val="auto"/>
          <w:highlight w:val="none"/>
          <w:shd w:val="clear" w:color="auto" w:fill="FFFFFF" w:themeFill="background1"/>
        </w:rPr>
        <w:fldChar w:fldCharType="separate"/>
      </w:r>
      <w:r>
        <w:rPr>
          <w:color w:val="auto"/>
          <w:highlight w:val="none"/>
          <w:shd w:val="clear" w:color="auto" w:fill="FFFFFF" w:themeFill="background1"/>
        </w:rPr>
        <w:t>3</w:t>
      </w:r>
      <w:r>
        <w:rPr>
          <w:color w:val="auto"/>
          <w:highlight w:val="none"/>
          <w:shd w:val="clear" w:color="auto" w:fill="FFFFFF" w:themeFill="background1"/>
        </w:rPr>
        <w:fldChar w:fldCharType="end"/>
      </w:r>
      <w:r>
        <w:rPr>
          <w:color w:val="auto"/>
          <w:highlight w:val="none"/>
          <w:shd w:val="clear" w:color="auto" w:fill="FFFFFF" w:themeFill="background1"/>
        </w:rPr>
        <w:fldChar w:fldCharType="end"/>
      </w:r>
    </w:p>
    <w:p w14:paraId="4183C219">
      <w:pPr>
        <w:pStyle w:val="41"/>
        <w:spacing w:line="360" w:lineRule="auto"/>
        <w:ind w:firstLine="241"/>
        <w:rPr>
          <w:rFonts w:asciiTheme="minorHAnsi" w:hAnsiTheme="minorHAnsi" w:eastAsiaTheme="minorEastAsia" w:cstheme="minorBidi"/>
          <w:b w:val="0"/>
          <w:bCs w:val="0"/>
          <w:caps w:val="0"/>
          <w:color w:val="auto"/>
          <w:sz w:val="21"/>
          <w:szCs w:val="22"/>
          <w:highlight w:val="none"/>
          <w:shd w:val="clear" w:color="auto" w:fill="FFFFFF" w:themeFill="background1"/>
        </w:rPr>
      </w:pPr>
      <w:r>
        <w:rPr>
          <w:color w:val="auto"/>
          <w:highlight w:val="none"/>
        </w:rPr>
        <w:fldChar w:fldCharType="begin"/>
      </w:r>
      <w:r>
        <w:rPr>
          <w:color w:val="auto"/>
          <w:highlight w:val="none"/>
        </w:rPr>
        <w:instrText xml:space="preserve"> HYPERLINK \l "_Toc158033871" </w:instrText>
      </w:r>
      <w:r>
        <w:rPr>
          <w:color w:val="auto"/>
          <w:highlight w:val="none"/>
        </w:rPr>
        <w:fldChar w:fldCharType="separate"/>
      </w:r>
      <w:r>
        <w:rPr>
          <w:rStyle w:val="71"/>
          <w:color w:val="auto"/>
          <w:highlight w:val="none"/>
          <w:shd w:val="clear" w:color="auto" w:fill="FFFFFF" w:themeFill="background1"/>
        </w:rPr>
        <w:t>第二章采购需求</w:t>
      </w:r>
      <w:r>
        <w:rPr>
          <w:color w:val="auto"/>
          <w:highlight w:val="none"/>
          <w:shd w:val="clear" w:color="auto" w:fill="FFFFFF" w:themeFill="background1"/>
        </w:rPr>
        <w:tab/>
      </w:r>
      <w:r>
        <w:rPr>
          <w:color w:val="auto"/>
          <w:highlight w:val="none"/>
          <w:shd w:val="clear" w:color="auto" w:fill="FFFFFF" w:themeFill="background1"/>
        </w:rPr>
        <w:fldChar w:fldCharType="begin"/>
      </w:r>
      <w:r>
        <w:rPr>
          <w:color w:val="auto"/>
          <w:highlight w:val="none"/>
          <w:shd w:val="clear" w:color="auto" w:fill="FFFFFF" w:themeFill="background1"/>
        </w:rPr>
        <w:instrText xml:space="preserve"> PAGEREF _Toc158033871 \h </w:instrText>
      </w:r>
      <w:r>
        <w:rPr>
          <w:color w:val="auto"/>
          <w:highlight w:val="none"/>
          <w:shd w:val="clear" w:color="auto" w:fill="FFFFFF" w:themeFill="background1"/>
        </w:rPr>
        <w:fldChar w:fldCharType="separate"/>
      </w:r>
      <w:r>
        <w:rPr>
          <w:color w:val="auto"/>
          <w:highlight w:val="none"/>
          <w:shd w:val="clear" w:color="auto" w:fill="FFFFFF" w:themeFill="background1"/>
        </w:rPr>
        <w:t>7</w:t>
      </w:r>
      <w:r>
        <w:rPr>
          <w:color w:val="auto"/>
          <w:highlight w:val="none"/>
          <w:shd w:val="clear" w:color="auto" w:fill="FFFFFF" w:themeFill="background1"/>
        </w:rPr>
        <w:fldChar w:fldCharType="end"/>
      </w:r>
      <w:r>
        <w:rPr>
          <w:color w:val="auto"/>
          <w:highlight w:val="none"/>
          <w:shd w:val="clear" w:color="auto" w:fill="FFFFFF" w:themeFill="background1"/>
        </w:rPr>
        <w:fldChar w:fldCharType="end"/>
      </w:r>
    </w:p>
    <w:p w14:paraId="7790F02F">
      <w:pPr>
        <w:pStyle w:val="41"/>
        <w:spacing w:line="360" w:lineRule="auto"/>
        <w:ind w:firstLine="241"/>
        <w:rPr>
          <w:rFonts w:asciiTheme="minorHAnsi" w:hAnsiTheme="minorHAnsi" w:eastAsiaTheme="minorEastAsia" w:cstheme="minorBidi"/>
          <w:b w:val="0"/>
          <w:bCs w:val="0"/>
          <w:caps w:val="0"/>
          <w:color w:val="auto"/>
          <w:sz w:val="21"/>
          <w:szCs w:val="22"/>
          <w:highlight w:val="none"/>
          <w:shd w:val="clear" w:color="auto" w:fill="FFFFFF" w:themeFill="background1"/>
        </w:rPr>
      </w:pPr>
      <w:r>
        <w:rPr>
          <w:color w:val="auto"/>
          <w:highlight w:val="none"/>
        </w:rPr>
        <w:fldChar w:fldCharType="begin"/>
      </w:r>
      <w:r>
        <w:rPr>
          <w:color w:val="auto"/>
          <w:highlight w:val="none"/>
        </w:rPr>
        <w:instrText xml:space="preserve"> HYPERLINK \l "_Toc158033872" </w:instrText>
      </w:r>
      <w:r>
        <w:rPr>
          <w:color w:val="auto"/>
          <w:highlight w:val="none"/>
        </w:rPr>
        <w:fldChar w:fldCharType="separate"/>
      </w:r>
      <w:r>
        <w:rPr>
          <w:rStyle w:val="71"/>
          <w:color w:val="auto"/>
          <w:highlight w:val="none"/>
          <w:shd w:val="clear" w:color="auto" w:fill="FFFFFF" w:themeFill="background1"/>
        </w:rPr>
        <w:t>第三章投标人须知</w:t>
      </w:r>
      <w:r>
        <w:rPr>
          <w:color w:val="auto"/>
          <w:highlight w:val="none"/>
          <w:shd w:val="clear" w:color="auto" w:fill="FFFFFF" w:themeFill="background1"/>
        </w:rPr>
        <w:tab/>
      </w:r>
      <w:r>
        <w:rPr>
          <w:color w:val="auto"/>
          <w:highlight w:val="none"/>
          <w:shd w:val="clear" w:color="auto" w:fill="FFFFFF" w:themeFill="background1"/>
        </w:rPr>
        <w:fldChar w:fldCharType="begin"/>
      </w:r>
      <w:r>
        <w:rPr>
          <w:color w:val="auto"/>
          <w:highlight w:val="none"/>
          <w:shd w:val="clear" w:color="auto" w:fill="FFFFFF" w:themeFill="background1"/>
        </w:rPr>
        <w:instrText xml:space="preserve"> PAGEREF _Toc158033872 \h </w:instrText>
      </w:r>
      <w:r>
        <w:rPr>
          <w:color w:val="auto"/>
          <w:highlight w:val="none"/>
          <w:shd w:val="clear" w:color="auto" w:fill="FFFFFF" w:themeFill="background1"/>
        </w:rPr>
        <w:fldChar w:fldCharType="separate"/>
      </w:r>
      <w:r>
        <w:rPr>
          <w:color w:val="auto"/>
          <w:highlight w:val="none"/>
          <w:shd w:val="clear" w:color="auto" w:fill="FFFFFF" w:themeFill="background1"/>
        </w:rPr>
        <w:t>12</w:t>
      </w:r>
      <w:r>
        <w:rPr>
          <w:color w:val="auto"/>
          <w:highlight w:val="none"/>
          <w:shd w:val="clear" w:color="auto" w:fill="FFFFFF" w:themeFill="background1"/>
        </w:rPr>
        <w:fldChar w:fldCharType="end"/>
      </w:r>
      <w:r>
        <w:rPr>
          <w:color w:val="auto"/>
          <w:highlight w:val="none"/>
          <w:shd w:val="clear" w:color="auto" w:fill="FFFFFF" w:themeFill="background1"/>
        </w:rPr>
        <w:fldChar w:fldCharType="end"/>
      </w:r>
    </w:p>
    <w:p w14:paraId="3806EA5F">
      <w:pPr>
        <w:pStyle w:val="41"/>
        <w:spacing w:line="360" w:lineRule="auto"/>
        <w:ind w:firstLine="241"/>
        <w:rPr>
          <w:rFonts w:asciiTheme="minorHAnsi" w:hAnsiTheme="minorHAnsi" w:eastAsiaTheme="minorEastAsia" w:cstheme="minorBidi"/>
          <w:b w:val="0"/>
          <w:bCs w:val="0"/>
          <w:caps w:val="0"/>
          <w:color w:val="auto"/>
          <w:sz w:val="21"/>
          <w:szCs w:val="22"/>
          <w:highlight w:val="none"/>
          <w:shd w:val="clear" w:color="auto" w:fill="FFFFFF" w:themeFill="background1"/>
        </w:rPr>
      </w:pPr>
      <w:r>
        <w:rPr>
          <w:color w:val="auto"/>
          <w:highlight w:val="none"/>
        </w:rPr>
        <w:fldChar w:fldCharType="begin"/>
      </w:r>
      <w:r>
        <w:rPr>
          <w:color w:val="auto"/>
          <w:highlight w:val="none"/>
        </w:rPr>
        <w:instrText xml:space="preserve"> HYPERLINK \l "_Toc158033873" </w:instrText>
      </w:r>
      <w:r>
        <w:rPr>
          <w:color w:val="auto"/>
          <w:highlight w:val="none"/>
        </w:rPr>
        <w:fldChar w:fldCharType="separate"/>
      </w:r>
      <w:r>
        <w:rPr>
          <w:rStyle w:val="71"/>
          <w:color w:val="auto"/>
          <w:highlight w:val="none"/>
          <w:shd w:val="clear" w:color="auto" w:fill="FFFFFF" w:themeFill="background1"/>
        </w:rPr>
        <w:t>第四章评标方法及评标标准</w:t>
      </w:r>
      <w:r>
        <w:rPr>
          <w:color w:val="auto"/>
          <w:highlight w:val="none"/>
          <w:shd w:val="clear" w:color="auto" w:fill="FFFFFF" w:themeFill="background1"/>
        </w:rPr>
        <w:tab/>
      </w:r>
      <w:r>
        <w:rPr>
          <w:color w:val="auto"/>
          <w:highlight w:val="none"/>
          <w:shd w:val="clear" w:color="auto" w:fill="FFFFFF" w:themeFill="background1"/>
        </w:rPr>
        <w:fldChar w:fldCharType="begin"/>
      </w:r>
      <w:r>
        <w:rPr>
          <w:color w:val="auto"/>
          <w:highlight w:val="none"/>
          <w:shd w:val="clear" w:color="auto" w:fill="FFFFFF" w:themeFill="background1"/>
        </w:rPr>
        <w:instrText xml:space="preserve"> PAGEREF _Toc158033873 \h </w:instrText>
      </w:r>
      <w:r>
        <w:rPr>
          <w:color w:val="auto"/>
          <w:highlight w:val="none"/>
          <w:shd w:val="clear" w:color="auto" w:fill="FFFFFF" w:themeFill="background1"/>
        </w:rPr>
        <w:fldChar w:fldCharType="separate"/>
      </w:r>
      <w:r>
        <w:rPr>
          <w:color w:val="auto"/>
          <w:highlight w:val="none"/>
          <w:shd w:val="clear" w:color="auto" w:fill="FFFFFF" w:themeFill="background1"/>
        </w:rPr>
        <w:t>32</w:t>
      </w:r>
      <w:r>
        <w:rPr>
          <w:color w:val="auto"/>
          <w:highlight w:val="none"/>
          <w:shd w:val="clear" w:color="auto" w:fill="FFFFFF" w:themeFill="background1"/>
        </w:rPr>
        <w:fldChar w:fldCharType="end"/>
      </w:r>
      <w:r>
        <w:rPr>
          <w:color w:val="auto"/>
          <w:highlight w:val="none"/>
          <w:shd w:val="clear" w:color="auto" w:fill="FFFFFF" w:themeFill="background1"/>
        </w:rPr>
        <w:fldChar w:fldCharType="end"/>
      </w:r>
    </w:p>
    <w:p w14:paraId="57588CE1">
      <w:pPr>
        <w:pStyle w:val="41"/>
        <w:spacing w:line="360" w:lineRule="auto"/>
        <w:ind w:firstLine="241"/>
        <w:rPr>
          <w:rFonts w:asciiTheme="minorHAnsi" w:hAnsiTheme="minorHAnsi" w:eastAsiaTheme="minorEastAsia" w:cstheme="minorBidi"/>
          <w:b w:val="0"/>
          <w:bCs w:val="0"/>
          <w:caps w:val="0"/>
          <w:color w:val="auto"/>
          <w:sz w:val="21"/>
          <w:szCs w:val="22"/>
          <w:highlight w:val="none"/>
          <w:shd w:val="clear" w:color="auto" w:fill="FFFFFF" w:themeFill="background1"/>
        </w:rPr>
      </w:pPr>
      <w:r>
        <w:rPr>
          <w:color w:val="auto"/>
          <w:highlight w:val="none"/>
        </w:rPr>
        <w:fldChar w:fldCharType="begin"/>
      </w:r>
      <w:r>
        <w:rPr>
          <w:color w:val="auto"/>
          <w:highlight w:val="none"/>
        </w:rPr>
        <w:instrText xml:space="preserve"> HYPERLINK \l "_Toc158033874" </w:instrText>
      </w:r>
      <w:r>
        <w:rPr>
          <w:color w:val="auto"/>
          <w:highlight w:val="none"/>
        </w:rPr>
        <w:fldChar w:fldCharType="separate"/>
      </w:r>
      <w:r>
        <w:rPr>
          <w:rStyle w:val="71"/>
          <w:color w:val="auto"/>
          <w:highlight w:val="none"/>
          <w:shd w:val="clear" w:color="auto" w:fill="FFFFFF" w:themeFill="background1"/>
        </w:rPr>
        <w:t>第五章拟签订的合同文本</w:t>
      </w:r>
      <w:r>
        <w:rPr>
          <w:color w:val="auto"/>
          <w:highlight w:val="none"/>
          <w:shd w:val="clear" w:color="auto" w:fill="FFFFFF" w:themeFill="background1"/>
        </w:rPr>
        <w:tab/>
      </w:r>
      <w:r>
        <w:rPr>
          <w:color w:val="auto"/>
          <w:highlight w:val="none"/>
          <w:shd w:val="clear" w:color="auto" w:fill="FFFFFF" w:themeFill="background1"/>
        </w:rPr>
        <w:fldChar w:fldCharType="begin"/>
      </w:r>
      <w:r>
        <w:rPr>
          <w:color w:val="auto"/>
          <w:highlight w:val="none"/>
          <w:shd w:val="clear" w:color="auto" w:fill="FFFFFF" w:themeFill="background1"/>
        </w:rPr>
        <w:instrText xml:space="preserve"> PAGEREF _Toc158033874 \h </w:instrText>
      </w:r>
      <w:r>
        <w:rPr>
          <w:color w:val="auto"/>
          <w:highlight w:val="none"/>
          <w:shd w:val="clear" w:color="auto" w:fill="FFFFFF" w:themeFill="background1"/>
        </w:rPr>
        <w:fldChar w:fldCharType="separate"/>
      </w:r>
      <w:r>
        <w:rPr>
          <w:color w:val="auto"/>
          <w:highlight w:val="none"/>
          <w:shd w:val="clear" w:color="auto" w:fill="FFFFFF" w:themeFill="background1"/>
        </w:rPr>
        <w:t>44</w:t>
      </w:r>
      <w:r>
        <w:rPr>
          <w:color w:val="auto"/>
          <w:highlight w:val="none"/>
          <w:shd w:val="clear" w:color="auto" w:fill="FFFFFF" w:themeFill="background1"/>
        </w:rPr>
        <w:fldChar w:fldCharType="end"/>
      </w:r>
      <w:r>
        <w:rPr>
          <w:color w:val="auto"/>
          <w:highlight w:val="none"/>
          <w:shd w:val="clear" w:color="auto" w:fill="FFFFFF" w:themeFill="background1"/>
        </w:rPr>
        <w:fldChar w:fldCharType="end"/>
      </w:r>
    </w:p>
    <w:p w14:paraId="4A05B177">
      <w:pPr>
        <w:pStyle w:val="41"/>
        <w:spacing w:line="360" w:lineRule="auto"/>
        <w:ind w:firstLine="241"/>
        <w:rPr>
          <w:rFonts w:asciiTheme="minorHAnsi" w:hAnsiTheme="minorHAnsi" w:eastAsiaTheme="minorEastAsia" w:cstheme="minorBidi"/>
          <w:b w:val="0"/>
          <w:bCs w:val="0"/>
          <w:caps w:val="0"/>
          <w:color w:val="auto"/>
          <w:sz w:val="21"/>
          <w:szCs w:val="22"/>
          <w:highlight w:val="none"/>
          <w:shd w:val="clear" w:color="auto" w:fill="FFFFFF" w:themeFill="background1"/>
        </w:rPr>
      </w:pPr>
      <w:r>
        <w:rPr>
          <w:color w:val="auto"/>
          <w:highlight w:val="none"/>
        </w:rPr>
        <w:fldChar w:fldCharType="begin"/>
      </w:r>
      <w:r>
        <w:rPr>
          <w:color w:val="auto"/>
          <w:highlight w:val="none"/>
        </w:rPr>
        <w:instrText xml:space="preserve"> HYPERLINK \l "_Toc158033920" </w:instrText>
      </w:r>
      <w:r>
        <w:rPr>
          <w:color w:val="auto"/>
          <w:highlight w:val="none"/>
        </w:rPr>
        <w:fldChar w:fldCharType="separate"/>
      </w:r>
      <w:r>
        <w:rPr>
          <w:rStyle w:val="71"/>
          <w:color w:val="auto"/>
          <w:highlight w:val="none"/>
          <w:shd w:val="clear" w:color="auto" w:fill="FFFFFF" w:themeFill="background1"/>
        </w:rPr>
        <w:t>第六章投标文件格式</w:t>
      </w:r>
      <w:r>
        <w:rPr>
          <w:color w:val="auto"/>
          <w:highlight w:val="none"/>
          <w:shd w:val="clear" w:color="auto" w:fill="FFFFFF" w:themeFill="background1"/>
        </w:rPr>
        <w:tab/>
      </w:r>
      <w:r>
        <w:rPr>
          <w:color w:val="auto"/>
          <w:highlight w:val="none"/>
          <w:shd w:val="clear" w:color="auto" w:fill="FFFFFF" w:themeFill="background1"/>
        </w:rPr>
        <w:fldChar w:fldCharType="begin"/>
      </w:r>
      <w:r>
        <w:rPr>
          <w:color w:val="auto"/>
          <w:highlight w:val="none"/>
          <w:shd w:val="clear" w:color="auto" w:fill="FFFFFF" w:themeFill="background1"/>
        </w:rPr>
        <w:instrText xml:space="preserve"> PAGEREF _Toc158033920 \h </w:instrText>
      </w:r>
      <w:r>
        <w:rPr>
          <w:color w:val="auto"/>
          <w:highlight w:val="none"/>
          <w:shd w:val="clear" w:color="auto" w:fill="FFFFFF" w:themeFill="background1"/>
        </w:rPr>
        <w:fldChar w:fldCharType="separate"/>
      </w:r>
      <w:r>
        <w:rPr>
          <w:color w:val="auto"/>
          <w:highlight w:val="none"/>
          <w:shd w:val="clear" w:color="auto" w:fill="FFFFFF" w:themeFill="background1"/>
        </w:rPr>
        <w:t>70</w:t>
      </w:r>
      <w:r>
        <w:rPr>
          <w:color w:val="auto"/>
          <w:highlight w:val="none"/>
          <w:shd w:val="clear" w:color="auto" w:fill="FFFFFF" w:themeFill="background1"/>
        </w:rPr>
        <w:fldChar w:fldCharType="end"/>
      </w:r>
      <w:r>
        <w:rPr>
          <w:color w:val="auto"/>
          <w:highlight w:val="none"/>
          <w:shd w:val="clear" w:color="auto" w:fill="FFFFFF" w:themeFill="background1"/>
        </w:rPr>
        <w:fldChar w:fldCharType="end"/>
      </w:r>
    </w:p>
    <w:p w14:paraId="37F68F02">
      <w:pPr>
        <w:tabs>
          <w:tab w:val="right" w:leader="dot" w:pos="8789"/>
        </w:tabs>
        <w:snapToGrid w:val="0"/>
        <w:spacing w:line="360" w:lineRule="auto"/>
        <w:ind w:firstLine="422"/>
        <w:rPr>
          <w:rFonts w:ascii="仿宋_GB2312" w:hAnsi="宋体" w:eastAsia="仿宋_GB2312"/>
          <w:color w:val="auto"/>
          <w:sz w:val="24"/>
          <w:highlight w:val="none"/>
          <w:shd w:val="clear" w:color="auto" w:fill="FFFFFF" w:themeFill="background1"/>
        </w:rPr>
      </w:pPr>
      <w:r>
        <w:rPr>
          <w:rFonts w:ascii="仿宋_GB2312" w:hAnsi="宋体" w:eastAsia="仿宋_GB2312"/>
          <w:color w:val="auto"/>
          <w:highlight w:val="none"/>
          <w:shd w:val="clear" w:color="auto" w:fill="FFFFFF" w:themeFill="background1"/>
        </w:rPr>
        <w:fldChar w:fldCharType="end"/>
      </w:r>
    </w:p>
    <w:p w14:paraId="5BD796CA">
      <w:pPr>
        <w:spacing w:beforeLines="50" w:line="480" w:lineRule="exact"/>
        <w:ind w:firstLine="602"/>
        <w:rPr>
          <w:rFonts w:ascii="仿宋_GB2312" w:hAnsi="宋体" w:eastAsia="仿宋_GB2312"/>
          <w:color w:val="auto"/>
          <w:sz w:val="30"/>
          <w:highlight w:val="none"/>
          <w:shd w:val="clear" w:color="auto" w:fill="FFFFFF" w:themeFill="background1"/>
        </w:rPr>
      </w:pPr>
    </w:p>
    <w:p w14:paraId="0B9DB2F9">
      <w:pPr>
        <w:ind w:firstLine="422"/>
        <w:rPr>
          <w:color w:val="auto"/>
          <w:highlight w:val="none"/>
          <w:shd w:val="clear" w:color="auto" w:fill="FFFFFF" w:themeFill="background1"/>
        </w:rPr>
      </w:pPr>
    </w:p>
    <w:p w14:paraId="0ECCDF00">
      <w:pPr>
        <w:spacing w:beforeLines="50" w:line="480" w:lineRule="exact"/>
        <w:ind w:firstLine="602"/>
        <w:rPr>
          <w:rFonts w:ascii="仿宋_GB2312" w:hAnsi="宋体" w:eastAsia="仿宋_GB2312"/>
          <w:color w:val="auto"/>
          <w:sz w:val="30"/>
          <w:highlight w:val="none"/>
          <w:shd w:val="clear" w:color="auto" w:fill="FFFFFF" w:themeFill="background1"/>
        </w:rPr>
      </w:pPr>
    </w:p>
    <w:p w14:paraId="4E09FB19">
      <w:pPr>
        <w:spacing w:beforeLines="50" w:line="480" w:lineRule="exact"/>
        <w:ind w:firstLine="602"/>
        <w:rPr>
          <w:rFonts w:ascii="仿宋_GB2312" w:hAnsi="宋体" w:eastAsia="仿宋_GB2312"/>
          <w:color w:val="auto"/>
          <w:sz w:val="30"/>
          <w:highlight w:val="none"/>
          <w:shd w:val="clear" w:color="auto" w:fill="FFFFFF" w:themeFill="background1"/>
        </w:rPr>
      </w:pPr>
    </w:p>
    <w:p w14:paraId="50996AFC">
      <w:pPr>
        <w:pStyle w:val="20"/>
        <w:ind w:firstLine="420"/>
        <w:rPr>
          <w:rFonts w:ascii="宋体" w:hAnsi="宋体" w:cs="宋体"/>
          <w:b/>
          <w:bCs/>
          <w:color w:val="auto"/>
          <w:highlight w:val="none"/>
          <w:shd w:val="clear" w:color="auto" w:fill="FFFFFF" w:themeFill="background1"/>
        </w:rPr>
      </w:pPr>
      <w:bookmarkStart w:id="0" w:name="_Toc254970489"/>
      <w:bookmarkStart w:id="1" w:name="_Toc254970630"/>
    </w:p>
    <w:p w14:paraId="7DABAEA9">
      <w:pPr>
        <w:pStyle w:val="3"/>
        <w:keepNext w:val="0"/>
        <w:keepLines w:val="0"/>
        <w:tabs>
          <w:tab w:val="left" w:pos="0"/>
          <w:tab w:val="left" w:pos="3165"/>
          <w:tab w:val="center" w:pos="4153"/>
        </w:tabs>
        <w:autoSpaceDE w:val="0"/>
        <w:autoSpaceDN w:val="0"/>
        <w:adjustRightInd w:val="0"/>
        <w:spacing w:before="0" w:after="0" w:line="360" w:lineRule="auto"/>
        <w:ind w:firstLine="880"/>
        <w:jc w:val="center"/>
        <w:rPr>
          <w:color w:val="auto"/>
          <w:highlight w:val="none"/>
          <w:shd w:val="clear" w:color="auto" w:fill="FFFFFF" w:themeFill="background1"/>
        </w:rPr>
      </w:pPr>
      <w:r>
        <w:rPr>
          <w:rFonts w:ascii="宋体" w:hAnsi="宋体" w:cs="宋体"/>
          <w:b w:val="0"/>
          <w:bCs w:val="0"/>
          <w:color w:val="auto"/>
          <w:highlight w:val="none"/>
          <w:shd w:val="clear" w:color="auto" w:fill="FFFFFF" w:themeFill="background1"/>
        </w:rPr>
        <w:br w:type="page"/>
      </w:r>
      <w:bookmarkStart w:id="2" w:name="_Toc158033870"/>
      <w:r>
        <w:rPr>
          <w:rFonts w:hint="eastAsia"/>
          <w:color w:val="auto"/>
          <w:highlight w:val="none"/>
          <w:shd w:val="clear" w:color="auto" w:fill="FFFFFF" w:themeFill="background1"/>
        </w:rPr>
        <w:t>第一章</w:t>
      </w:r>
      <w:bookmarkEnd w:id="0"/>
      <w:bookmarkEnd w:id="1"/>
      <w:bookmarkStart w:id="3" w:name="_Toc28359001"/>
      <w:bookmarkStart w:id="4" w:name="_Toc35393789"/>
      <w:r>
        <w:rPr>
          <w:rFonts w:hint="eastAsia"/>
          <w:color w:val="auto"/>
          <w:highlight w:val="none"/>
          <w:shd w:val="clear" w:color="auto" w:fill="FFFFFF" w:themeFill="background1"/>
        </w:rPr>
        <w:t>招标公告</w:t>
      </w:r>
      <w:bookmarkEnd w:id="2"/>
      <w:bookmarkEnd w:id="3"/>
      <w:bookmarkEnd w:id="4"/>
    </w:p>
    <w:p w14:paraId="0FCBF316">
      <w:pPr>
        <w:spacing w:line="360" w:lineRule="auto"/>
        <w:jc w:val="center"/>
        <w:rPr>
          <w:b/>
          <w:bCs/>
          <w:color w:val="auto"/>
          <w:sz w:val="30"/>
          <w:szCs w:val="30"/>
          <w:highlight w:val="none"/>
        </w:rPr>
      </w:pPr>
      <w:r>
        <w:rPr>
          <w:rFonts w:hint="eastAsia" w:ascii="宋体" w:hAnsi="宋体" w:cs="宋体"/>
          <w:b/>
          <w:bCs/>
          <w:color w:val="auto"/>
          <w:sz w:val="30"/>
          <w:szCs w:val="30"/>
          <w:highlight w:val="none"/>
          <w:shd w:val="clear" w:color="auto" w:fill="FFFFFF" w:themeFill="background1"/>
        </w:rPr>
        <w:t>广西同泽工程项目管理股份有限公司关于</w:t>
      </w:r>
      <w:r>
        <w:rPr>
          <w:rFonts w:hint="eastAsia" w:ascii="宋体" w:hAnsi="宋体"/>
          <w:b/>
          <w:bCs/>
          <w:color w:val="auto"/>
          <w:sz w:val="30"/>
          <w:szCs w:val="30"/>
          <w:highlight w:val="none"/>
          <w:shd w:val="clear" w:color="auto" w:fill="FFFFFF" w:themeFill="background1"/>
          <w:lang w:eastAsia="zh-CN"/>
        </w:rPr>
        <w:t>钦州港1号至12号外锚地建设工程（外1#、外2#锚地及锚地通道）勘察测量及方案设计</w:t>
      </w:r>
      <w:r>
        <w:rPr>
          <w:rFonts w:hint="eastAsia" w:ascii="宋体" w:hAnsi="宋体"/>
          <w:b/>
          <w:bCs/>
          <w:color w:val="auto"/>
          <w:sz w:val="30"/>
          <w:szCs w:val="30"/>
          <w:highlight w:val="none"/>
          <w:shd w:val="clear" w:color="auto" w:fill="FFFFFF" w:themeFill="background1"/>
        </w:rPr>
        <w:t>(</w:t>
      </w:r>
      <w:r>
        <w:rPr>
          <w:rFonts w:hint="eastAsia" w:ascii="宋体" w:hAnsi="宋体"/>
          <w:b/>
          <w:bCs/>
          <w:color w:val="auto"/>
          <w:sz w:val="30"/>
          <w:szCs w:val="30"/>
          <w:highlight w:val="none"/>
          <w:shd w:val="clear" w:color="auto" w:fill="FFFFFF" w:themeFill="background1"/>
          <w:lang w:eastAsia="zh-CN"/>
        </w:rPr>
        <w:t>GXZC2025-G3-000755-GXTZ</w:t>
      </w:r>
      <w:r>
        <w:rPr>
          <w:rFonts w:hint="eastAsia" w:ascii="宋体" w:hAnsi="宋体"/>
          <w:b/>
          <w:bCs/>
          <w:color w:val="auto"/>
          <w:sz w:val="30"/>
          <w:szCs w:val="30"/>
          <w:highlight w:val="none"/>
          <w:shd w:val="clear" w:color="auto" w:fill="FFFFFF" w:themeFill="background1"/>
        </w:rPr>
        <w:t>)招标公告</w:t>
      </w:r>
    </w:p>
    <w:p w14:paraId="0934F7C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项目概况</w:t>
      </w:r>
    </w:p>
    <w:p w14:paraId="756A5EE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u w:val="single"/>
          <w:shd w:val="clear" w:color="auto" w:fill="FFFFFF" w:themeFill="background1"/>
          <w:lang w:eastAsia="zh-CN"/>
        </w:rPr>
        <w:t>钦州港1号至12号外锚地建设工程（外1#、外2#锚地及锚地通道）勘察测量及方案设计</w:t>
      </w:r>
      <w:r>
        <w:rPr>
          <w:rFonts w:hint="eastAsia" w:ascii="宋体" w:hAnsi="宋体"/>
          <w:color w:val="auto"/>
          <w:szCs w:val="21"/>
          <w:highlight w:val="none"/>
          <w:shd w:val="clear" w:color="auto" w:fill="FFFFFF" w:themeFill="background1"/>
        </w:rPr>
        <w:t>的潜在投标人应在广西政府采购云平台（</w:t>
      </w:r>
      <w:r>
        <w:rPr>
          <w:rFonts w:ascii="宋体" w:hAnsi="宋体"/>
          <w:color w:val="auto"/>
          <w:szCs w:val="21"/>
          <w:highlight w:val="none"/>
          <w:shd w:val="clear" w:color="auto" w:fill="FFFFFF" w:themeFill="background1"/>
        </w:rPr>
        <w:t>https://www.gcy.zfcg.gxzf.gov.cn/</w:t>
      </w:r>
      <w:r>
        <w:rPr>
          <w:rFonts w:hint="eastAsia" w:ascii="宋体" w:hAnsi="宋体"/>
          <w:color w:val="auto"/>
          <w:szCs w:val="21"/>
          <w:highlight w:val="none"/>
          <w:shd w:val="clear" w:color="auto" w:fill="FFFFFF" w:themeFill="background1"/>
        </w:rPr>
        <w:t>）获取招标文件，并于</w:t>
      </w:r>
      <w:r>
        <w:rPr>
          <w:rFonts w:hint="eastAsia" w:ascii="宋体" w:hAnsi="宋体"/>
          <w:color w:val="auto"/>
          <w:szCs w:val="21"/>
          <w:highlight w:val="none"/>
          <w:u w:val="none"/>
          <w:shd w:val="clear" w:color="auto" w:fill="FFFFFF" w:themeFill="background1"/>
          <w:lang w:eastAsia="zh-CN"/>
        </w:rPr>
        <w:t>2025</w:t>
      </w:r>
      <w:r>
        <w:rPr>
          <w:rFonts w:hint="eastAsia" w:ascii="宋体" w:hAnsi="宋体"/>
          <w:bCs/>
          <w:color w:val="auto"/>
          <w:szCs w:val="21"/>
          <w:highlight w:val="none"/>
          <w:u w:val="none"/>
          <w:shd w:val="clear" w:color="auto" w:fill="FFFFFF" w:themeFill="background1"/>
        </w:rPr>
        <w:t>年</w:t>
      </w:r>
      <w:r>
        <w:rPr>
          <w:rFonts w:hint="eastAsia" w:ascii="宋体" w:hAnsi="宋体"/>
          <w:bCs/>
          <w:color w:val="auto"/>
          <w:szCs w:val="21"/>
          <w:highlight w:val="none"/>
          <w:u w:val="none"/>
          <w:shd w:val="clear" w:color="auto" w:fill="FFFFFF" w:themeFill="background1"/>
          <w:lang w:val="en-US" w:eastAsia="zh-CN"/>
        </w:rPr>
        <w:t xml:space="preserve"> </w:t>
      </w:r>
      <w:r>
        <w:rPr>
          <w:rFonts w:hint="eastAsia" w:ascii="宋体" w:hAnsi="宋体"/>
          <w:bCs/>
          <w:color w:val="auto"/>
          <w:szCs w:val="21"/>
          <w:highlight w:val="none"/>
          <w:u w:val="none"/>
          <w:shd w:val="clear" w:color="auto" w:fill="FFFFFF" w:themeFill="background1"/>
        </w:rPr>
        <w:t>月</w:t>
      </w:r>
      <w:r>
        <w:rPr>
          <w:rFonts w:hint="eastAsia" w:ascii="宋体" w:hAnsi="宋体"/>
          <w:bCs/>
          <w:color w:val="auto"/>
          <w:szCs w:val="21"/>
          <w:highlight w:val="none"/>
          <w:u w:val="none"/>
          <w:shd w:val="clear" w:color="auto" w:fill="FFFFFF" w:themeFill="background1"/>
          <w:lang w:val="en-US" w:eastAsia="zh-CN"/>
        </w:rPr>
        <w:t xml:space="preserve"> </w:t>
      </w:r>
      <w:r>
        <w:rPr>
          <w:rFonts w:hint="eastAsia" w:ascii="宋体" w:hAnsi="宋体"/>
          <w:bCs/>
          <w:color w:val="auto"/>
          <w:szCs w:val="21"/>
          <w:highlight w:val="none"/>
          <w:u w:val="none"/>
          <w:shd w:val="clear" w:color="auto" w:fill="FFFFFF" w:themeFill="background1"/>
        </w:rPr>
        <w:t>日</w:t>
      </w:r>
      <w:r>
        <w:rPr>
          <w:rFonts w:hint="eastAsia" w:ascii="宋体" w:hAnsi="宋体"/>
          <w:bCs/>
          <w:color w:val="auto"/>
          <w:szCs w:val="21"/>
          <w:highlight w:val="none"/>
          <w:u w:val="none"/>
          <w:shd w:val="clear" w:color="auto" w:fill="FFFFFF" w:themeFill="background1"/>
          <w:lang w:val="en-US" w:eastAsia="zh-CN"/>
        </w:rPr>
        <w:t>9</w:t>
      </w:r>
      <w:r>
        <w:rPr>
          <w:rFonts w:hint="eastAsia" w:ascii="宋体" w:hAnsi="宋体"/>
          <w:bCs/>
          <w:color w:val="auto"/>
          <w:szCs w:val="21"/>
          <w:highlight w:val="none"/>
          <w:u w:val="none"/>
          <w:shd w:val="clear" w:color="auto" w:fill="FFFFFF" w:themeFill="background1"/>
        </w:rPr>
        <w:t>时</w:t>
      </w:r>
      <w:r>
        <w:rPr>
          <w:rFonts w:hint="eastAsia" w:ascii="宋体" w:hAnsi="宋体"/>
          <w:bCs/>
          <w:color w:val="auto"/>
          <w:szCs w:val="21"/>
          <w:highlight w:val="none"/>
          <w:u w:val="none"/>
          <w:shd w:val="clear" w:color="auto" w:fill="FFFFFF" w:themeFill="background1"/>
          <w:lang w:val="en-US" w:eastAsia="zh-CN"/>
        </w:rPr>
        <w:t>30</w:t>
      </w:r>
      <w:r>
        <w:rPr>
          <w:rFonts w:hint="eastAsia" w:ascii="宋体" w:hAnsi="宋体"/>
          <w:bCs/>
          <w:color w:val="auto"/>
          <w:szCs w:val="21"/>
          <w:highlight w:val="none"/>
          <w:u w:val="none"/>
          <w:shd w:val="clear" w:color="auto" w:fill="FFFFFF" w:themeFill="background1"/>
        </w:rPr>
        <w:t>分（</w:t>
      </w:r>
      <w:r>
        <w:rPr>
          <w:rFonts w:hint="eastAsia" w:ascii="宋体" w:hAnsi="宋体"/>
          <w:bCs/>
          <w:color w:val="auto"/>
          <w:szCs w:val="21"/>
          <w:highlight w:val="none"/>
          <w:shd w:val="clear" w:color="auto" w:fill="FFFFFF" w:themeFill="background1"/>
        </w:rPr>
        <w:t>北京时间）前按递交投标</w:t>
      </w:r>
      <w:r>
        <w:rPr>
          <w:rFonts w:ascii="宋体" w:hAnsi="宋体"/>
          <w:bCs/>
          <w:color w:val="auto"/>
          <w:szCs w:val="21"/>
          <w:highlight w:val="none"/>
          <w:shd w:val="clear" w:color="auto" w:fill="FFFFFF" w:themeFill="background1"/>
        </w:rPr>
        <w:t>文件</w:t>
      </w:r>
      <w:r>
        <w:rPr>
          <w:rFonts w:hint="eastAsia" w:ascii="宋体" w:hAnsi="宋体"/>
          <w:color w:val="auto"/>
          <w:szCs w:val="21"/>
          <w:highlight w:val="none"/>
          <w:shd w:val="clear" w:color="auto" w:fill="FFFFFF" w:themeFill="background1"/>
        </w:rPr>
        <w:t>。</w:t>
      </w:r>
    </w:p>
    <w:p w14:paraId="2C285034">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bookmarkStart w:id="5" w:name="_Toc28359002"/>
      <w:bookmarkStart w:id="6" w:name="_Toc35393621"/>
      <w:bookmarkStart w:id="7" w:name="_Toc28359079"/>
      <w:bookmarkStart w:id="8" w:name="_Toc35393790"/>
      <w:bookmarkStart w:id="9" w:name="_Hlk24379207"/>
      <w:r>
        <w:rPr>
          <w:rFonts w:hint="eastAsia" w:ascii="黑体" w:hAnsi="黑体" w:eastAsia="黑体"/>
          <w:b/>
          <w:bCs/>
          <w:color w:val="auto"/>
          <w:sz w:val="24"/>
          <w:highlight w:val="none"/>
          <w:shd w:val="clear" w:color="auto" w:fill="FFFFFF" w:themeFill="background1"/>
        </w:rPr>
        <w:t>一、项目基本情况</w:t>
      </w:r>
      <w:bookmarkEnd w:id="5"/>
      <w:bookmarkEnd w:id="6"/>
      <w:bookmarkEnd w:id="7"/>
      <w:bookmarkEnd w:id="8"/>
    </w:p>
    <w:bookmarkEnd w:id="9"/>
    <w:p w14:paraId="1EB0872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b/>
          <w:color w:val="auto"/>
          <w:szCs w:val="21"/>
          <w:highlight w:val="none"/>
          <w:shd w:val="clear" w:color="auto" w:fill="FFFFFF" w:themeFill="background1"/>
          <w:lang w:eastAsia="zh-CN"/>
        </w:rPr>
      </w:pPr>
      <w:r>
        <w:rPr>
          <w:rFonts w:hint="eastAsia" w:ascii="宋体" w:hAnsi="宋体"/>
          <w:b/>
          <w:color w:val="auto"/>
          <w:szCs w:val="21"/>
          <w:highlight w:val="none"/>
          <w:shd w:val="clear" w:color="auto" w:fill="FFFFFF" w:themeFill="background1"/>
        </w:rPr>
        <w:t>项目编号：</w:t>
      </w:r>
      <w:r>
        <w:rPr>
          <w:rFonts w:hint="eastAsia" w:ascii="宋体" w:hAnsi="宋体"/>
          <w:color w:val="auto"/>
          <w:szCs w:val="21"/>
          <w:highlight w:val="none"/>
          <w:shd w:val="clear" w:color="auto" w:fill="FFFFFF" w:themeFill="background1"/>
          <w:lang w:eastAsia="zh-CN"/>
        </w:rPr>
        <w:t>GXZC2025-G3-000755-GXTZ（</w:t>
      </w:r>
      <w:r>
        <w:rPr>
          <w:rFonts w:hint="eastAsia" w:ascii="宋体" w:hAnsi="宋体" w:eastAsia="宋体" w:cs="宋体"/>
          <w:color w:val="auto"/>
          <w:szCs w:val="21"/>
          <w:highlight w:val="none"/>
        </w:rPr>
        <w:t>政府采购计划编号：广西政采[2025]5256号-001</w:t>
      </w:r>
      <w:r>
        <w:rPr>
          <w:rFonts w:hint="eastAsia" w:ascii="宋体" w:hAnsi="宋体" w:cs="宋体"/>
          <w:color w:val="auto"/>
          <w:szCs w:val="21"/>
          <w:highlight w:val="none"/>
          <w:lang w:eastAsia="zh-CN"/>
        </w:rPr>
        <w:t>、广西政采[2025]5256号-002</w:t>
      </w:r>
      <w:r>
        <w:rPr>
          <w:rFonts w:hint="eastAsia" w:ascii="宋体" w:hAnsi="宋体"/>
          <w:color w:val="auto"/>
          <w:szCs w:val="21"/>
          <w:highlight w:val="none"/>
          <w:shd w:val="clear" w:color="auto" w:fill="FFFFFF" w:themeFill="background1"/>
          <w:lang w:eastAsia="zh-CN"/>
        </w:rPr>
        <w:t>）</w:t>
      </w:r>
    </w:p>
    <w:p w14:paraId="2F098AA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shd w:val="clear" w:color="auto" w:fill="FFFFFF" w:themeFill="background1"/>
          <w:lang w:eastAsia="zh-CN"/>
        </w:rPr>
      </w:pPr>
      <w:r>
        <w:rPr>
          <w:rFonts w:hint="eastAsia" w:ascii="宋体" w:hAnsi="宋体"/>
          <w:color w:val="auto"/>
          <w:szCs w:val="21"/>
          <w:highlight w:val="none"/>
          <w:shd w:val="clear" w:color="auto" w:fill="FFFFFF" w:themeFill="background1"/>
        </w:rPr>
        <w:t>项目名称：</w:t>
      </w:r>
      <w:r>
        <w:rPr>
          <w:rFonts w:hint="eastAsia" w:ascii="宋体" w:hAnsi="宋体"/>
          <w:color w:val="auto"/>
          <w:szCs w:val="21"/>
          <w:highlight w:val="none"/>
          <w:shd w:val="clear" w:color="auto" w:fill="FFFFFF" w:themeFill="background1"/>
          <w:lang w:eastAsia="zh-CN"/>
        </w:rPr>
        <w:t>钦州港1号至12号外锚地建设工程（外1#、外2#锚地及锚地通道）勘察测量及方案设计</w:t>
      </w:r>
    </w:p>
    <w:p w14:paraId="7F7D357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shd w:val="clear" w:color="auto" w:fill="FFFFFF" w:themeFill="background1"/>
          <w:lang w:eastAsia="zh-CN"/>
        </w:rPr>
      </w:pPr>
      <w:r>
        <w:rPr>
          <w:rFonts w:hint="eastAsia" w:ascii="宋体" w:hAnsi="宋体"/>
          <w:color w:val="auto"/>
          <w:szCs w:val="21"/>
          <w:highlight w:val="none"/>
          <w:shd w:val="clear" w:color="auto" w:fill="FFFFFF" w:themeFill="background1"/>
        </w:rPr>
        <w:t>预算总金额（元）：6350000</w:t>
      </w:r>
    </w:p>
    <w:p w14:paraId="6AF51DFE">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 xml:space="preserve">采购需求： </w:t>
      </w:r>
    </w:p>
    <w:p w14:paraId="3C6FE0FF">
      <w:pPr>
        <w:keepNext w:val="0"/>
        <w:keepLines w:val="0"/>
        <w:pageBreakBefore w:val="0"/>
        <w:kinsoku/>
        <w:wordWrap/>
        <w:overflowPunct/>
        <w:topLinePunct w:val="0"/>
        <w:autoSpaceDE/>
        <w:autoSpaceDN/>
        <w:bidi w:val="0"/>
        <w:adjustRightInd/>
        <w:spacing w:line="360" w:lineRule="auto"/>
        <w:ind w:firstLine="42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shd w:val="clear" w:color="auto" w:fill="FFFFFF" w:themeFill="background1"/>
          <w:lang w:eastAsia="zh-CN"/>
        </w:rPr>
        <w:t>钦州港1号至12号外锚地建设工程（外1#、外2#锚地及锚地通道）勘察测量及方案设计</w:t>
      </w:r>
    </w:p>
    <w:p w14:paraId="0E75A19F">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数量：1</w:t>
      </w:r>
    </w:p>
    <w:p w14:paraId="6C6DE97A">
      <w:pPr>
        <w:keepNext w:val="0"/>
        <w:keepLines w:val="0"/>
        <w:pageBreakBefore w:val="0"/>
        <w:kinsoku/>
        <w:wordWrap/>
        <w:overflowPunct/>
        <w:topLinePunct w:val="0"/>
        <w:autoSpaceDE/>
        <w:autoSpaceDN/>
        <w:bidi w:val="0"/>
        <w:adjustRightInd/>
        <w:spacing w:line="360" w:lineRule="auto"/>
        <w:ind w:firstLine="42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shd w:val="clear" w:color="auto" w:fill="FFFFFF" w:themeFill="background1"/>
        </w:rPr>
        <w:t>6350000</w:t>
      </w:r>
    </w:p>
    <w:p w14:paraId="5107A854">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shd w:val="clear" w:color="auto" w:fill="FFFFFF" w:themeFill="background1"/>
          <w:lang w:eastAsia="zh-CN"/>
        </w:rPr>
        <w:t>钦州港1号至12号外锚地建设工程（外1#、外2#锚地及锚地通道）勘察测量及方案设计</w:t>
      </w:r>
      <w:r>
        <w:rPr>
          <w:rFonts w:hint="eastAsia" w:ascii="宋体" w:hAnsi="宋体"/>
          <w:color w:val="auto"/>
          <w:szCs w:val="21"/>
          <w:highlight w:val="none"/>
          <w:shd w:val="clear" w:color="auto" w:fill="FFFFFF" w:themeFill="background1"/>
        </w:rPr>
        <w:t>，采购内容包括：</w:t>
      </w:r>
      <w:r>
        <w:rPr>
          <w:rFonts w:hint="eastAsia" w:ascii="宋体" w:hAnsi="宋体"/>
          <w:color w:val="auto"/>
          <w:szCs w:val="21"/>
          <w:highlight w:val="none"/>
          <w:shd w:val="clear" w:color="auto" w:fill="FFFFFF" w:themeFill="background1"/>
          <w:lang w:eastAsia="zh-CN"/>
        </w:rPr>
        <w:t>外1#、外2#锚地及锚地通道勘察测量，规划面积746.75平方公里，本次招标其中多波束扫海测量不少于约51.65平方公里，1:2000测量面积不少于约252.50平方公里，岩土勘察钻孔不少于约68个</w:t>
      </w:r>
      <w:r>
        <w:rPr>
          <w:rFonts w:hint="eastAsia" w:ascii="宋体" w:hAnsi="宋体"/>
          <w:color w:val="auto"/>
          <w:szCs w:val="21"/>
          <w:highlight w:val="none"/>
          <w:shd w:val="clear" w:color="auto" w:fill="FFFFFF" w:themeFill="background1"/>
        </w:rPr>
        <w:t>；有关方案设计及专题报告编制。</w:t>
      </w:r>
      <w:r>
        <w:rPr>
          <w:rFonts w:hint="eastAsia" w:ascii="宋体" w:hAnsi="宋体"/>
          <w:color w:val="auto"/>
          <w:szCs w:val="21"/>
          <w:highlight w:val="none"/>
        </w:rPr>
        <w:t>详见招标文件</w:t>
      </w:r>
      <w:r>
        <w:rPr>
          <w:rFonts w:hint="eastAsia" w:ascii="宋体" w:hAnsi="宋体"/>
          <w:color w:val="auto"/>
          <w:szCs w:val="21"/>
          <w:highlight w:val="none"/>
          <w:shd w:val="clear" w:color="auto" w:fill="FFFFFF" w:themeFill="background1"/>
        </w:rPr>
        <w:t>。</w:t>
      </w:r>
    </w:p>
    <w:p w14:paraId="53138622">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最高限价：</w:t>
      </w:r>
      <w:r>
        <w:rPr>
          <w:rFonts w:hint="eastAsia" w:ascii="宋体" w:hAnsi="宋体"/>
          <w:color w:val="auto"/>
          <w:szCs w:val="21"/>
          <w:highlight w:val="none"/>
          <w:shd w:val="clear" w:color="auto" w:fill="FFFFFF" w:themeFill="background1"/>
          <w:lang w:eastAsia="zh-CN"/>
        </w:rPr>
        <w:t>6308927.85</w:t>
      </w:r>
      <w:r>
        <w:rPr>
          <w:rFonts w:hint="eastAsia" w:ascii="宋体" w:hAnsi="宋体"/>
          <w:color w:val="auto"/>
          <w:szCs w:val="21"/>
          <w:highlight w:val="none"/>
          <w:shd w:val="clear" w:color="auto" w:fill="FFFFFF" w:themeFill="background1"/>
        </w:rPr>
        <w:t>元。</w:t>
      </w:r>
    </w:p>
    <w:p w14:paraId="7D9E5003">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olor w:val="auto"/>
          <w:szCs w:val="21"/>
          <w:highlight w:val="none"/>
        </w:rPr>
      </w:pPr>
      <w:r>
        <w:rPr>
          <w:rFonts w:hint="eastAsia" w:ascii="宋体" w:hAnsi="宋体"/>
          <w:color w:val="auto"/>
          <w:szCs w:val="21"/>
          <w:highlight w:val="none"/>
        </w:rPr>
        <w:t>合同履约期限：编制总工期：</w:t>
      </w:r>
      <w:r>
        <w:rPr>
          <w:rFonts w:hint="eastAsia" w:ascii="宋体" w:hAnsi="宋体"/>
          <w:color w:val="auto"/>
          <w:szCs w:val="21"/>
          <w:highlight w:val="none"/>
          <w:lang w:val="en-US" w:eastAsia="zh-CN"/>
        </w:rPr>
        <w:t>80</w:t>
      </w:r>
      <w:r>
        <w:rPr>
          <w:rFonts w:hint="eastAsia" w:ascii="宋体" w:hAnsi="宋体"/>
          <w:color w:val="auto"/>
          <w:szCs w:val="21"/>
          <w:highlight w:val="none"/>
        </w:rPr>
        <w:t>日历天，具体如下：（1）中标通知书发出后60个日历天内提交勘察成果；（2）中标通知书发出后70个日历天内提交方案设计、通航安全评估等报告送审稿；报告评审会后，10个日历天内完成报批稿</w:t>
      </w:r>
      <w:r>
        <w:rPr>
          <w:rFonts w:hint="eastAsia" w:ascii="宋体" w:hAnsi="宋体"/>
          <w:color w:val="auto"/>
          <w:szCs w:val="21"/>
          <w:highlight w:val="none"/>
          <w:shd w:val="clear" w:color="auto" w:fill="FFFFFF" w:themeFill="background1"/>
        </w:rPr>
        <w:t>。</w:t>
      </w:r>
    </w:p>
    <w:p w14:paraId="4AB2E2B1">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是</w:t>
      </w:r>
      <w:r>
        <w:rPr>
          <w:rFonts w:hint="eastAsia" w:ascii="宋体" w:hAnsi="宋体"/>
          <w:color w:val="auto"/>
          <w:szCs w:val="21"/>
          <w:highlight w:val="none"/>
        </w:rPr>
        <w:t>）接受联合体投标</w:t>
      </w:r>
    </w:p>
    <w:p w14:paraId="343337EF">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olor w:val="auto"/>
          <w:szCs w:val="21"/>
          <w:highlight w:val="none"/>
        </w:rPr>
      </w:pPr>
      <w:r>
        <w:rPr>
          <w:rFonts w:hint="eastAsia" w:ascii="宋体" w:hAnsi="宋体"/>
          <w:color w:val="auto"/>
          <w:szCs w:val="21"/>
          <w:highlight w:val="none"/>
        </w:rPr>
        <w:t>备注：/</w:t>
      </w:r>
    </w:p>
    <w:p w14:paraId="55042E65">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bookmarkStart w:id="10" w:name="_Toc35393791"/>
      <w:bookmarkStart w:id="11" w:name="_Toc28359003"/>
      <w:bookmarkStart w:id="12" w:name="_Toc28359080"/>
      <w:bookmarkStart w:id="13" w:name="_Toc35393622"/>
      <w:r>
        <w:rPr>
          <w:rFonts w:hint="eastAsia" w:ascii="黑体" w:hAnsi="黑体" w:eastAsia="黑体"/>
          <w:b/>
          <w:bCs/>
          <w:color w:val="auto"/>
          <w:sz w:val="24"/>
          <w:highlight w:val="none"/>
          <w:shd w:val="clear" w:color="auto" w:fill="FFFFFF" w:themeFill="background1"/>
        </w:rPr>
        <w:t>二、申请人的资格要求：</w:t>
      </w:r>
      <w:bookmarkEnd w:id="10"/>
      <w:bookmarkEnd w:id="11"/>
      <w:bookmarkEnd w:id="12"/>
      <w:bookmarkEnd w:id="13"/>
    </w:p>
    <w:p w14:paraId="6CEEA93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shd w:val="clear" w:color="auto" w:fill="FFFFFF" w:themeFill="background1"/>
        </w:rPr>
      </w:pPr>
      <w:bookmarkStart w:id="14" w:name="_Hlk51746371"/>
      <w:bookmarkStart w:id="15" w:name="_Toc35393623"/>
      <w:bookmarkStart w:id="16" w:name="_Toc28359081"/>
      <w:bookmarkStart w:id="17" w:name="_Toc35393792"/>
      <w:bookmarkStart w:id="18" w:name="_Toc28359004"/>
      <w:r>
        <w:rPr>
          <w:rFonts w:hint="eastAsia" w:ascii="宋体" w:hAnsi="宋体"/>
          <w:color w:val="auto"/>
          <w:szCs w:val="21"/>
          <w:highlight w:val="none"/>
          <w:shd w:val="clear" w:color="auto" w:fill="FFFFFF" w:themeFill="background1"/>
        </w:rPr>
        <w:t>1.满足《中华人民共和国政府采购法》第二十二条规定；</w:t>
      </w:r>
    </w:p>
    <w:p w14:paraId="4BCDC907">
      <w:pPr>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ascii="宋体" w:hAnsi="宋体"/>
          <w:color w:val="auto"/>
          <w:szCs w:val="21"/>
          <w:highlight w:val="none"/>
          <w:shd w:val="clear" w:color="auto" w:fill="FFFFFF" w:themeFill="background1"/>
        </w:rPr>
        <w:t>2</w:t>
      </w:r>
      <w:r>
        <w:rPr>
          <w:rFonts w:hint="eastAsia" w:ascii="宋体" w:hAnsi="宋体"/>
          <w:color w:val="auto"/>
          <w:szCs w:val="21"/>
          <w:highlight w:val="none"/>
          <w:shd w:val="clear" w:color="auto" w:fill="FFFFFF" w:themeFill="background1"/>
        </w:rPr>
        <w:t>.落实政府采购政策需满足的资格要求：</w:t>
      </w:r>
      <w:r>
        <w:rPr>
          <w:rFonts w:hint="eastAsia" w:ascii="宋体" w:hAnsi="宋体" w:eastAsia="宋体" w:cs="宋体"/>
          <w:color w:val="auto"/>
          <w:sz w:val="21"/>
          <w:szCs w:val="21"/>
          <w:highlight w:val="none"/>
          <w:u w:val="none"/>
        </w:rPr>
        <w:t>非专门面向中小企业采购的项目</w:t>
      </w:r>
      <w:r>
        <w:rPr>
          <w:rFonts w:hint="eastAsia" w:ascii="宋体" w:hAnsi="宋体" w:cs="宋体"/>
          <w:color w:val="auto"/>
          <w:sz w:val="21"/>
          <w:szCs w:val="21"/>
          <w:highlight w:val="none"/>
          <w:u w:val="none"/>
          <w:lang w:eastAsia="zh-CN"/>
        </w:rPr>
        <w:t>。</w:t>
      </w:r>
    </w:p>
    <w:p w14:paraId="374302F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3.本项目的特定资格要求：</w:t>
      </w:r>
    </w:p>
    <w:p w14:paraId="171BF22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shd w:val="clear" w:color="auto" w:fill="FFFFFF" w:themeFill="background1"/>
          <w:lang w:val="en-US" w:eastAsia="zh-CN"/>
        </w:rPr>
      </w:pPr>
      <w:r>
        <w:rPr>
          <w:rFonts w:hint="eastAsia" w:ascii="宋体" w:hAnsi="宋体"/>
          <w:color w:val="auto"/>
          <w:szCs w:val="21"/>
          <w:highlight w:val="none"/>
          <w:shd w:val="clear" w:color="auto" w:fill="FFFFFF" w:themeFill="background1"/>
        </w:rPr>
        <w:t>投标人须同时具备以下资质：（1）在中华人民共和国市场监督管理部门注册，具有有效的营业执照（或者事业单位法人证书或者执业许可证等）；（2）具备工程勘察专业类（岩土工程勘察）甲级或工程勘察综合类甲级资质</w:t>
      </w:r>
      <w:r>
        <w:rPr>
          <w:rFonts w:hint="eastAsia" w:ascii="宋体" w:hAnsi="宋体"/>
          <w:color w:val="auto"/>
          <w:szCs w:val="21"/>
          <w:highlight w:val="none"/>
          <w:shd w:val="clear" w:color="auto" w:fill="FFFFFF" w:themeFill="background1"/>
          <w:lang w:eastAsia="zh-CN"/>
        </w:rPr>
        <w:t>；</w:t>
      </w:r>
      <w:r>
        <w:rPr>
          <w:rFonts w:hint="eastAsia" w:ascii="宋体" w:hAnsi="宋体"/>
          <w:color w:val="auto"/>
          <w:szCs w:val="21"/>
          <w:highlight w:val="none"/>
          <w:shd w:val="clear" w:color="auto" w:fill="FFFFFF" w:themeFill="background1"/>
        </w:rPr>
        <w:t>（3）具备工程设计水运专业甲级或水运行业甲级或综合甲级资质。</w:t>
      </w:r>
      <w:r>
        <w:rPr>
          <w:rFonts w:hint="eastAsia" w:ascii="宋体" w:hAnsi="宋体"/>
          <w:color w:val="auto"/>
          <w:szCs w:val="21"/>
          <w:highlight w:val="none"/>
          <w:shd w:val="clear" w:color="auto" w:fill="FFFFFF" w:themeFill="background1"/>
          <w:lang w:val="en-US" w:eastAsia="zh-CN"/>
        </w:rPr>
        <w:t xml:space="preserve"> </w:t>
      </w:r>
    </w:p>
    <w:p w14:paraId="65ACF23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shd w:val="clear" w:color="auto" w:fill="FFFFFF" w:themeFill="background1"/>
          <w:lang w:val="en-US" w:eastAsia="zh-CN"/>
        </w:rPr>
        <w:t xml:space="preserve"> 4.</w:t>
      </w:r>
      <w:r>
        <w:rPr>
          <w:rFonts w:hint="eastAsia" w:ascii="宋体" w:hAnsi="宋体"/>
          <w:color w:val="auto"/>
          <w:szCs w:val="21"/>
          <w:highlight w:val="none"/>
        </w:rPr>
        <w:t>单位负责人为同一人或者存在直接控股、管理关系的不同供应商，不得参加同一合同项下的政府采购活动。</w:t>
      </w:r>
    </w:p>
    <w:p w14:paraId="476C64F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xml:space="preserve">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 </w:t>
      </w:r>
    </w:p>
    <w:p w14:paraId="2AC06E4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信誉要求：供应商没有处于被责令停业，投标资格被取消，财产被接管、冻结，破产状态。没有被交通运输部</w:t>
      </w:r>
      <w:r>
        <w:rPr>
          <w:rFonts w:hint="eastAsia" w:ascii="宋体" w:hAnsi="宋体"/>
          <w:color w:val="auto"/>
          <w:szCs w:val="21"/>
          <w:highlight w:val="none"/>
          <w:lang w:eastAsia="zh-CN"/>
        </w:rPr>
        <w:t>作出</w:t>
      </w:r>
      <w:r>
        <w:rPr>
          <w:rFonts w:hint="eastAsia" w:ascii="宋体" w:hAnsi="宋体"/>
          <w:color w:val="auto"/>
          <w:szCs w:val="21"/>
          <w:highlight w:val="none"/>
        </w:rPr>
        <w:t>在全国范围内取消投标资格或禁止进入水运工程建设市场且处于有效期内的行政处罚，没有被住房和城乡建设部作出在全国范围内暂停投标活动或责令整改且处于有效期内的行政处罚，没有被广西壮族自治区交通运输厅</w:t>
      </w:r>
      <w:r>
        <w:rPr>
          <w:rFonts w:hint="eastAsia" w:ascii="宋体" w:hAnsi="宋体"/>
          <w:color w:val="auto"/>
          <w:szCs w:val="21"/>
          <w:highlight w:val="none"/>
          <w:lang w:eastAsia="zh-CN"/>
        </w:rPr>
        <w:t>作出</w:t>
      </w:r>
      <w:r>
        <w:rPr>
          <w:rFonts w:hint="eastAsia" w:ascii="宋体" w:hAnsi="宋体"/>
          <w:color w:val="auto"/>
          <w:szCs w:val="21"/>
          <w:highlight w:val="none"/>
        </w:rPr>
        <w:t>取消投标资格或禁止进入广西水运工程建设市场且处于有效期内的行政处罚，没有被广西壮族自治区住房和城乡建设厅作出在广西暂停投标活动或责令整改且处于有效期内的行政处罚；投标人没有因骗取中标、没有因重大工程质量事故受到行政主管部门的处罚或通报且处于有效期内的。</w:t>
      </w:r>
    </w:p>
    <w:bookmarkEnd w:id="14"/>
    <w:p w14:paraId="6AA66C52">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r>
        <w:rPr>
          <w:rFonts w:hint="eastAsia" w:ascii="黑体" w:hAnsi="黑体" w:eastAsia="黑体"/>
          <w:b/>
          <w:bCs/>
          <w:color w:val="auto"/>
          <w:sz w:val="24"/>
          <w:highlight w:val="none"/>
          <w:shd w:val="clear" w:color="auto" w:fill="FFFFFF" w:themeFill="background1"/>
        </w:rPr>
        <w:t>三、获取招标文件</w:t>
      </w:r>
      <w:bookmarkEnd w:id="15"/>
      <w:bookmarkEnd w:id="16"/>
      <w:bookmarkEnd w:id="17"/>
      <w:bookmarkEnd w:id="18"/>
    </w:p>
    <w:p w14:paraId="125BD8F6">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s="宋体"/>
          <w:bCs/>
          <w:color w:val="auto"/>
          <w:kern w:val="0"/>
          <w:szCs w:val="21"/>
          <w:highlight w:val="none"/>
          <w:shd w:val="clear" w:color="auto" w:fill="FFFFFF" w:themeFill="background1"/>
        </w:rPr>
      </w:pPr>
      <w:r>
        <w:rPr>
          <w:rFonts w:hint="eastAsia" w:ascii="宋体" w:hAnsi="宋体" w:cs="宋体"/>
          <w:bCs/>
          <w:color w:val="auto"/>
          <w:kern w:val="0"/>
          <w:szCs w:val="21"/>
          <w:highlight w:val="none"/>
          <w:shd w:val="clear" w:color="auto" w:fill="FFFFFF" w:themeFill="background1"/>
        </w:rPr>
        <w:t>时间：</w:t>
      </w:r>
      <w:r>
        <w:rPr>
          <w:rFonts w:hint="eastAsia" w:ascii="宋体" w:hAnsi="宋体" w:cs="宋体"/>
          <w:bCs/>
          <w:color w:val="auto"/>
          <w:kern w:val="0"/>
          <w:szCs w:val="21"/>
          <w:highlight w:val="none"/>
          <w:shd w:val="clear" w:color="auto" w:fill="FFFFFF" w:themeFill="background1"/>
          <w:lang w:eastAsia="zh-CN"/>
        </w:rPr>
        <w:t>2025</w:t>
      </w:r>
      <w:r>
        <w:rPr>
          <w:rFonts w:hint="eastAsia" w:ascii="宋体" w:hAnsi="宋体" w:cs="宋体"/>
          <w:bCs/>
          <w:color w:val="auto"/>
          <w:kern w:val="0"/>
          <w:szCs w:val="21"/>
          <w:highlight w:val="none"/>
          <w:shd w:val="clear" w:color="auto" w:fill="FFFFFF" w:themeFill="background1"/>
        </w:rPr>
        <w:t>年</w:t>
      </w:r>
      <w:r>
        <w:rPr>
          <w:rFonts w:hint="eastAsia" w:ascii="宋体" w:hAnsi="宋体" w:cs="宋体"/>
          <w:bCs/>
          <w:color w:val="auto"/>
          <w:kern w:val="0"/>
          <w:szCs w:val="21"/>
          <w:highlight w:val="none"/>
          <w:shd w:val="clear" w:color="auto" w:fill="FFFFFF" w:themeFill="background1"/>
          <w:lang w:val="en-US" w:eastAsia="zh-CN"/>
        </w:rPr>
        <w:t xml:space="preserve"> </w:t>
      </w:r>
      <w:r>
        <w:rPr>
          <w:rFonts w:hint="eastAsia" w:ascii="宋体" w:hAnsi="宋体" w:cs="宋体"/>
          <w:bCs/>
          <w:color w:val="auto"/>
          <w:kern w:val="0"/>
          <w:szCs w:val="21"/>
          <w:highlight w:val="none"/>
          <w:shd w:val="clear" w:color="auto" w:fill="FFFFFF" w:themeFill="background1"/>
        </w:rPr>
        <w:t>月</w:t>
      </w:r>
      <w:r>
        <w:rPr>
          <w:rFonts w:hint="eastAsia" w:ascii="宋体" w:hAnsi="宋体" w:cs="宋体"/>
          <w:bCs/>
          <w:color w:val="auto"/>
          <w:kern w:val="0"/>
          <w:szCs w:val="21"/>
          <w:highlight w:val="none"/>
          <w:shd w:val="clear" w:color="auto" w:fill="FFFFFF" w:themeFill="background1"/>
          <w:lang w:val="en-US" w:eastAsia="zh-CN"/>
        </w:rPr>
        <w:t xml:space="preserve"> </w:t>
      </w:r>
      <w:r>
        <w:rPr>
          <w:rFonts w:hint="eastAsia" w:ascii="宋体" w:hAnsi="宋体" w:cs="宋体"/>
          <w:bCs/>
          <w:color w:val="auto"/>
          <w:kern w:val="0"/>
          <w:szCs w:val="21"/>
          <w:highlight w:val="none"/>
          <w:shd w:val="clear" w:color="auto" w:fill="FFFFFF" w:themeFill="background1"/>
        </w:rPr>
        <w:t>日至</w:t>
      </w:r>
      <w:r>
        <w:rPr>
          <w:rFonts w:hint="eastAsia" w:ascii="宋体" w:hAnsi="宋体" w:cs="宋体"/>
          <w:bCs/>
          <w:color w:val="auto"/>
          <w:kern w:val="0"/>
          <w:szCs w:val="21"/>
          <w:highlight w:val="none"/>
          <w:shd w:val="clear" w:color="auto" w:fill="FFFFFF" w:themeFill="background1"/>
          <w:lang w:eastAsia="zh-CN"/>
        </w:rPr>
        <w:t>2025</w:t>
      </w:r>
      <w:r>
        <w:rPr>
          <w:rFonts w:hint="eastAsia" w:ascii="宋体" w:hAnsi="宋体" w:cs="宋体"/>
          <w:bCs/>
          <w:color w:val="auto"/>
          <w:kern w:val="0"/>
          <w:szCs w:val="21"/>
          <w:highlight w:val="none"/>
          <w:shd w:val="clear" w:color="auto" w:fill="FFFFFF" w:themeFill="background1"/>
        </w:rPr>
        <w:t>年</w:t>
      </w:r>
      <w:r>
        <w:rPr>
          <w:rFonts w:hint="eastAsia" w:ascii="宋体" w:hAnsi="宋体" w:cs="宋体"/>
          <w:bCs/>
          <w:color w:val="auto"/>
          <w:kern w:val="0"/>
          <w:szCs w:val="21"/>
          <w:highlight w:val="none"/>
          <w:shd w:val="clear" w:color="auto" w:fill="FFFFFF" w:themeFill="background1"/>
          <w:lang w:val="en-US" w:eastAsia="zh-CN"/>
        </w:rPr>
        <w:t xml:space="preserve"> </w:t>
      </w:r>
      <w:r>
        <w:rPr>
          <w:rFonts w:hint="eastAsia" w:ascii="宋体" w:hAnsi="宋体" w:cs="宋体"/>
          <w:bCs/>
          <w:color w:val="auto"/>
          <w:kern w:val="0"/>
          <w:szCs w:val="21"/>
          <w:highlight w:val="none"/>
          <w:shd w:val="clear" w:color="auto" w:fill="FFFFFF" w:themeFill="background1"/>
        </w:rPr>
        <w:t>月</w:t>
      </w:r>
      <w:r>
        <w:rPr>
          <w:rFonts w:hint="eastAsia" w:ascii="宋体" w:hAnsi="宋体" w:cs="宋体"/>
          <w:bCs/>
          <w:color w:val="auto"/>
          <w:kern w:val="0"/>
          <w:szCs w:val="21"/>
          <w:highlight w:val="none"/>
          <w:shd w:val="clear" w:color="auto" w:fill="FFFFFF" w:themeFill="background1"/>
          <w:lang w:val="en-US" w:eastAsia="zh-CN"/>
        </w:rPr>
        <w:t xml:space="preserve"> </w:t>
      </w:r>
      <w:r>
        <w:rPr>
          <w:rFonts w:hint="eastAsia" w:ascii="宋体" w:hAnsi="宋体" w:cs="宋体"/>
          <w:bCs/>
          <w:color w:val="auto"/>
          <w:kern w:val="0"/>
          <w:szCs w:val="21"/>
          <w:highlight w:val="none"/>
          <w:shd w:val="clear" w:color="auto" w:fill="FFFFFF" w:themeFill="background1"/>
        </w:rPr>
        <w:t>日，每天上午0:0</w:t>
      </w:r>
      <w:r>
        <w:rPr>
          <w:rFonts w:ascii="宋体" w:hAnsi="宋体" w:cs="宋体"/>
          <w:bCs/>
          <w:color w:val="auto"/>
          <w:kern w:val="0"/>
          <w:szCs w:val="21"/>
          <w:highlight w:val="none"/>
          <w:shd w:val="clear" w:color="auto" w:fill="FFFFFF" w:themeFill="background1"/>
        </w:rPr>
        <w:t>0</w:t>
      </w:r>
      <w:r>
        <w:rPr>
          <w:rFonts w:hint="eastAsia" w:ascii="宋体" w:hAnsi="宋体" w:cs="宋体"/>
          <w:bCs/>
          <w:color w:val="auto"/>
          <w:kern w:val="0"/>
          <w:szCs w:val="21"/>
          <w:highlight w:val="none"/>
          <w:shd w:val="clear" w:color="auto" w:fill="FFFFFF" w:themeFill="background1"/>
        </w:rPr>
        <w:t>至1</w:t>
      </w:r>
      <w:r>
        <w:rPr>
          <w:rFonts w:ascii="宋体" w:hAnsi="宋体" w:cs="宋体"/>
          <w:bCs/>
          <w:color w:val="auto"/>
          <w:kern w:val="0"/>
          <w:szCs w:val="21"/>
          <w:highlight w:val="none"/>
          <w:shd w:val="clear" w:color="auto" w:fill="FFFFFF" w:themeFill="background1"/>
        </w:rPr>
        <w:t>2</w:t>
      </w:r>
      <w:r>
        <w:rPr>
          <w:rFonts w:hint="eastAsia" w:ascii="宋体" w:hAnsi="宋体" w:cs="宋体"/>
          <w:bCs/>
          <w:color w:val="auto"/>
          <w:kern w:val="0"/>
          <w:szCs w:val="21"/>
          <w:highlight w:val="none"/>
          <w:shd w:val="clear" w:color="auto" w:fill="FFFFFF" w:themeFill="background1"/>
        </w:rPr>
        <w:t>:0</w:t>
      </w:r>
      <w:r>
        <w:rPr>
          <w:rFonts w:ascii="宋体" w:hAnsi="宋体" w:cs="宋体"/>
          <w:bCs/>
          <w:color w:val="auto"/>
          <w:kern w:val="0"/>
          <w:szCs w:val="21"/>
          <w:highlight w:val="none"/>
          <w:shd w:val="clear" w:color="auto" w:fill="FFFFFF" w:themeFill="background1"/>
        </w:rPr>
        <w:t>0</w:t>
      </w:r>
      <w:r>
        <w:rPr>
          <w:rFonts w:hint="eastAsia" w:ascii="宋体" w:hAnsi="宋体" w:cs="宋体"/>
          <w:bCs/>
          <w:color w:val="auto"/>
          <w:kern w:val="0"/>
          <w:szCs w:val="21"/>
          <w:highlight w:val="none"/>
          <w:shd w:val="clear" w:color="auto" w:fill="FFFFFF" w:themeFill="background1"/>
        </w:rPr>
        <w:t>，下午1</w:t>
      </w:r>
      <w:r>
        <w:rPr>
          <w:rFonts w:ascii="宋体" w:hAnsi="宋体" w:cs="宋体"/>
          <w:bCs/>
          <w:color w:val="auto"/>
          <w:kern w:val="0"/>
          <w:szCs w:val="21"/>
          <w:highlight w:val="none"/>
          <w:shd w:val="clear" w:color="auto" w:fill="FFFFFF" w:themeFill="background1"/>
        </w:rPr>
        <w:t>2</w:t>
      </w:r>
      <w:r>
        <w:rPr>
          <w:rFonts w:hint="eastAsia" w:ascii="宋体" w:hAnsi="宋体" w:cs="宋体"/>
          <w:bCs/>
          <w:color w:val="auto"/>
          <w:kern w:val="0"/>
          <w:szCs w:val="21"/>
          <w:highlight w:val="none"/>
          <w:shd w:val="clear" w:color="auto" w:fill="FFFFFF" w:themeFill="background1"/>
        </w:rPr>
        <w:t>:0</w:t>
      </w:r>
      <w:r>
        <w:rPr>
          <w:rFonts w:ascii="宋体" w:hAnsi="宋体" w:cs="宋体"/>
          <w:bCs/>
          <w:color w:val="auto"/>
          <w:kern w:val="0"/>
          <w:szCs w:val="21"/>
          <w:highlight w:val="none"/>
          <w:shd w:val="clear" w:color="auto" w:fill="FFFFFF" w:themeFill="background1"/>
        </w:rPr>
        <w:t>0</w:t>
      </w:r>
      <w:r>
        <w:rPr>
          <w:rFonts w:hint="eastAsia" w:ascii="宋体" w:hAnsi="宋体" w:cs="宋体"/>
          <w:bCs/>
          <w:color w:val="auto"/>
          <w:kern w:val="0"/>
          <w:szCs w:val="21"/>
          <w:highlight w:val="none"/>
          <w:shd w:val="clear" w:color="auto" w:fill="FFFFFF" w:themeFill="background1"/>
        </w:rPr>
        <w:t>至2</w:t>
      </w:r>
      <w:r>
        <w:rPr>
          <w:rFonts w:ascii="宋体" w:hAnsi="宋体" w:cs="宋体"/>
          <w:bCs/>
          <w:color w:val="auto"/>
          <w:kern w:val="0"/>
          <w:szCs w:val="21"/>
          <w:highlight w:val="none"/>
          <w:shd w:val="clear" w:color="auto" w:fill="FFFFFF" w:themeFill="background1"/>
        </w:rPr>
        <w:t>3</w:t>
      </w:r>
      <w:r>
        <w:rPr>
          <w:rFonts w:hint="eastAsia" w:ascii="宋体" w:hAnsi="宋体" w:cs="宋体"/>
          <w:bCs/>
          <w:color w:val="auto"/>
          <w:kern w:val="0"/>
          <w:szCs w:val="21"/>
          <w:highlight w:val="none"/>
          <w:shd w:val="clear" w:color="auto" w:fill="FFFFFF" w:themeFill="background1"/>
        </w:rPr>
        <w:t>:5</w:t>
      </w:r>
      <w:r>
        <w:rPr>
          <w:rFonts w:ascii="宋体" w:hAnsi="宋体" w:cs="宋体"/>
          <w:bCs/>
          <w:color w:val="auto"/>
          <w:kern w:val="0"/>
          <w:szCs w:val="21"/>
          <w:highlight w:val="none"/>
          <w:shd w:val="clear" w:color="auto" w:fill="FFFFFF" w:themeFill="background1"/>
        </w:rPr>
        <w:t>9</w:t>
      </w:r>
      <w:r>
        <w:rPr>
          <w:rFonts w:hint="eastAsia" w:ascii="宋体" w:hAnsi="宋体" w:cs="宋体"/>
          <w:bCs/>
          <w:color w:val="auto"/>
          <w:kern w:val="0"/>
          <w:szCs w:val="21"/>
          <w:highlight w:val="none"/>
          <w:shd w:val="clear" w:color="auto" w:fill="FFFFFF" w:themeFill="background1"/>
        </w:rPr>
        <w:t>（北京时间）</w:t>
      </w:r>
    </w:p>
    <w:p w14:paraId="1917F654">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s="宋体"/>
          <w:bCs/>
          <w:color w:val="auto"/>
          <w:kern w:val="0"/>
          <w:szCs w:val="21"/>
          <w:highlight w:val="none"/>
          <w:shd w:val="clear" w:color="auto" w:fill="FFFFFF" w:themeFill="background1"/>
        </w:rPr>
      </w:pPr>
      <w:r>
        <w:rPr>
          <w:rFonts w:hint="eastAsia" w:ascii="宋体" w:hAnsi="宋体" w:cs="宋体"/>
          <w:bCs/>
          <w:color w:val="auto"/>
          <w:kern w:val="0"/>
          <w:szCs w:val="21"/>
          <w:highlight w:val="none"/>
          <w:shd w:val="clear" w:color="auto" w:fill="FFFFFF" w:themeFill="background1"/>
        </w:rPr>
        <w:t>地点：</w:t>
      </w:r>
      <w:r>
        <w:rPr>
          <w:rFonts w:hint="eastAsia" w:ascii="宋体" w:hAnsi="宋体"/>
          <w:color w:val="auto"/>
          <w:szCs w:val="21"/>
          <w:highlight w:val="none"/>
          <w:shd w:val="clear" w:color="auto" w:fill="FFFFFF" w:themeFill="background1"/>
        </w:rPr>
        <w:t>广西政府采购云平台（https://www.gcy.zfcg.gxzf.gov.cn/）</w:t>
      </w:r>
    </w:p>
    <w:p w14:paraId="6C6336E0">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s="宋体"/>
          <w:bCs/>
          <w:color w:val="auto"/>
          <w:kern w:val="0"/>
          <w:szCs w:val="21"/>
          <w:highlight w:val="none"/>
          <w:shd w:val="clear" w:color="auto" w:fill="FFFFFF" w:themeFill="background1"/>
        </w:rPr>
      </w:pPr>
      <w:r>
        <w:rPr>
          <w:color w:val="auto"/>
          <w:highlight w:val="none"/>
          <w:shd w:val="clear" w:color="auto" w:fill="FFFFFF" w:themeFill="background1"/>
        </w:rPr>
        <w:t>方式：网上下载。本项目不提供纸质文件，潜在供应商需使用账号登录或者使用CA登录“广西政府采购云平台”（https://www.gcy.zfcg.gxzf.gov.cn）-进入“项目采购”应用，在获取采购文件菜单中选择项目，获取招标文件（或在“广西政府采购客户端-获取采购文件”）。电子投标文件制作需要基于“广西政府采购云平台”获取的招标文件编制，通过其他方式获取招标文件的，将有可能导致供应商无法在“广西政府采购云平台”编制及上传投标文件。</w:t>
      </w:r>
    </w:p>
    <w:p w14:paraId="5E7ADCEC">
      <w:pPr>
        <w:keepNext w:val="0"/>
        <w:keepLines w:val="0"/>
        <w:pageBreakBefore w:val="0"/>
        <w:kinsoku/>
        <w:wordWrap/>
        <w:overflowPunct/>
        <w:topLinePunct w:val="0"/>
        <w:autoSpaceDE/>
        <w:autoSpaceDN/>
        <w:bidi w:val="0"/>
        <w:adjustRightInd/>
        <w:spacing w:line="360" w:lineRule="auto"/>
        <w:ind w:firstLine="422"/>
        <w:textAlignment w:val="auto"/>
        <w:rPr>
          <w:rFonts w:ascii="宋体" w:hAnsi="宋体" w:cs="宋体"/>
          <w:color w:val="auto"/>
          <w:szCs w:val="21"/>
          <w:highlight w:val="none"/>
          <w:shd w:val="clear" w:color="auto" w:fill="FFFFFF" w:themeFill="background1"/>
        </w:rPr>
      </w:pPr>
      <w:r>
        <w:rPr>
          <w:rFonts w:hint="eastAsia" w:ascii="宋体" w:hAnsi="宋体" w:cs="宋体"/>
          <w:bCs/>
          <w:color w:val="auto"/>
          <w:kern w:val="0"/>
          <w:szCs w:val="21"/>
          <w:highlight w:val="none"/>
          <w:shd w:val="clear" w:color="auto" w:fill="FFFFFF" w:themeFill="background1"/>
        </w:rPr>
        <w:t>售价：</w:t>
      </w:r>
      <w:r>
        <w:rPr>
          <w:rFonts w:hint="eastAsia" w:ascii="宋体" w:hAnsi="宋体" w:cs="宋体"/>
          <w:color w:val="auto"/>
          <w:szCs w:val="21"/>
          <w:highlight w:val="none"/>
          <w:shd w:val="clear" w:color="auto" w:fill="FFFFFF" w:themeFill="background1"/>
        </w:rPr>
        <w:t>0元</w:t>
      </w:r>
    </w:p>
    <w:p w14:paraId="5AC1EAE3">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bookmarkStart w:id="19" w:name="_Toc28359005"/>
      <w:bookmarkStart w:id="20" w:name="_Toc28359082"/>
      <w:bookmarkStart w:id="21" w:name="_Toc35393624"/>
      <w:bookmarkStart w:id="22" w:name="_Toc35393793"/>
      <w:r>
        <w:rPr>
          <w:rFonts w:hint="eastAsia" w:ascii="黑体" w:hAnsi="黑体" w:eastAsia="黑体"/>
          <w:b/>
          <w:bCs/>
          <w:color w:val="auto"/>
          <w:sz w:val="24"/>
          <w:highlight w:val="none"/>
          <w:shd w:val="clear" w:color="auto" w:fill="FFFFFF" w:themeFill="background1"/>
        </w:rPr>
        <w:t>四、提交投标文件</w:t>
      </w:r>
      <w:bookmarkEnd w:id="19"/>
      <w:bookmarkEnd w:id="20"/>
      <w:r>
        <w:rPr>
          <w:rFonts w:hint="eastAsia" w:ascii="黑体" w:hAnsi="黑体" w:eastAsia="黑体"/>
          <w:b/>
          <w:bCs/>
          <w:color w:val="auto"/>
          <w:sz w:val="24"/>
          <w:highlight w:val="none"/>
          <w:shd w:val="clear" w:color="auto" w:fill="FFFFFF" w:themeFill="background1"/>
        </w:rPr>
        <w:t>截止时间、开标时间和地点</w:t>
      </w:r>
      <w:bookmarkEnd w:id="21"/>
      <w:bookmarkEnd w:id="22"/>
    </w:p>
    <w:p w14:paraId="56279CDA">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bCs/>
          <w:color w:val="auto"/>
          <w:szCs w:val="21"/>
          <w:highlight w:val="none"/>
          <w:shd w:val="clear" w:color="auto" w:fill="FFFFFF" w:themeFill="background1"/>
        </w:rPr>
      </w:pPr>
      <w:bookmarkStart w:id="23" w:name="_Toc28359084"/>
      <w:bookmarkStart w:id="24" w:name="_Toc35393625"/>
      <w:bookmarkStart w:id="25" w:name="_Toc35393794"/>
      <w:bookmarkStart w:id="26" w:name="_Toc28359007"/>
      <w:r>
        <w:rPr>
          <w:rFonts w:hint="eastAsia" w:ascii="宋体" w:hAnsi="宋体"/>
          <w:bCs/>
          <w:color w:val="auto"/>
          <w:szCs w:val="21"/>
          <w:highlight w:val="none"/>
          <w:shd w:val="clear" w:color="auto" w:fill="FFFFFF" w:themeFill="background1"/>
        </w:rPr>
        <w:t>提交投标文件截止时间：</w:t>
      </w:r>
      <w:r>
        <w:rPr>
          <w:rFonts w:hint="eastAsia" w:ascii="宋体" w:hAnsi="宋体"/>
          <w:bCs/>
          <w:color w:val="auto"/>
          <w:szCs w:val="21"/>
          <w:highlight w:val="none"/>
          <w:shd w:val="clear" w:color="auto" w:fill="FFFFFF" w:themeFill="background1"/>
          <w:lang w:eastAsia="zh-CN"/>
        </w:rPr>
        <w:t>2025</w:t>
      </w:r>
      <w:r>
        <w:rPr>
          <w:rFonts w:hint="eastAsia" w:ascii="宋体" w:hAnsi="宋体"/>
          <w:bCs/>
          <w:color w:val="auto"/>
          <w:szCs w:val="21"/>
          <w:highlight w:val="none"/>
          <w:shd w:val="clear" w:color="auto" w:fill="FFFFFF" w:themeFill="background1"/>
        </w:rPr>
        <w:t>年</w:t>
      </w:r>
      <w:r>
        <w:rPr>
          <w:rFonts w:hint="eastAsia" w:ascii="宋体" w:hAnsi="宋体"/>
          <w:bCs/>
          <w:color w:val="auto"/>
          <w:szCs w:val="21"/>
          <w:highlight w:val="none"/>
          <w:shd w:val="clear" w:color="auto" w:fill="FFFFFF" w:themeFill="background1"/>
          <w:lang w:val="en-US" w:eastAsia="zh-CN"/>
        </w:rPr>
        <w:t xml:space="preserve">  </w:t>
      </w:r>
      <w:r>
        <w:rPr>
          <w:rFonts w:hint="eastAsia" w:ascii="宋体" w:hAnsi="宋体"/>
          <w:bCs/>
          <w:color w:val="auto"/>
          <w:szCs w:val="21"/>
          <w:highlight w:val="none"/>
          <w:shd w:val="clear" w:color="auto" w:fill="FFFFFF" w:themeFill="background1"/>
        </w:rPr>
        <w:t>月</w:t>
      </w:r>
      <w:r>
        <w:rPr>
          <w:rFonts w:hint="eastAsia" w:ascii="宋体" w:hAnsi="宋体"/>
          <w:bCs/>
          <w:color w:val="auto"/>
          <w:szCs w:val="21"/>
          <w:highlight w:val="none"/>
          <w:shd w:val="clear" w:color="auto" w:fill="FFFFFF" w:themeFill="background1"/>
          <w:lang w:val="en-US" w:eastAsia="zh-CN"/>
        </w:rPr>
        <w:t xml:space="preserve">  </w:t>
      </w:r>
      <w:r>
        <w:rPr>
          <w:rFonts w:hint="eastAsia" w:ascii="宋体" w:hAnsi="宋体"/>
          <w:bCs/>
          <w:color w:val="auto"/>
          <w:szCs w:val="21"/>
          <w:highlight w:val="none"/>
          <w:shd w:val="clear" w:color="auto" w:fill="FFFFFF" w:themeFill="background1"/>
        </w:rPr>
        <w:t>日</w:t>
      </w:r>
      <w:r>
        <w:rPr>
          <w:rFonts w:hint="eastAsia" w:ascii="宋体" w:hAnsi="宋体"/>
          <w:bCs/>
          <w:color w:val="auto"/>
          <w:szCs w:val="21"/>
          <w:highlight w:val="none"/>
          <w:shd w:val="clear" w:color="auto" w:fill="FFFFFF" w:themeFill="background1"/>
          <w:lang w:val="en-US" w:eastAsia="zh-CN"/>
        </w:rPr>
        <w:t>9</w:t>
      </w:r>
      <w:r>
        <w:rPr>
          <w:rFonts w:hint="eastAsia" w:ascii="宋体" w:hAnsi="宋体"/>
          <w:bCs/>
          <w:color w:val="auto"/>
          <w:szCs w:val="21"/>
          <w:highlight w:val="none"/>
          <w:shd w:val="clear" w:color="auto" w:fill="FFFFFF" w:themeFill="background1"/>
        </w:rPr>
        <w:t>时</w:t>
      </w:r>
      <w:r>
        <w:rPr>
          <w:rFonts w:hint="eastAsia" w:ascii="宋体" w:hAnsi="宋体"/>
          <w:bCs/>
          <w:color w:val="auto"/>
          <w:szCs w:val="21"/>
          <w:highlight w:val="none"/>
          <w:shd w:val="clear" w:color="auto" w:fill="FFFFFF" w:themeFill="background1"/>
          <w:lang w:val="en-US" w:eastAsia="zh-CN"/>
        </w:rPr>
        <w:t>30</w:t>
      </w:r>
      <w:r>
        <w:rPr>
          <w:rFonts w:hint="eastAsia" w:ascii="宋体" w:hAnsi="宋体"/>
          <w:bCs/>
          <w:color w:val="auto"/>
          <w:szCs w:val="21"/>
          <w:highlight w:val="none"/>
          <w:shd w:val="clear" w:color="auto" w:fill="FFFFFF" w:themeFill="background1"/>
        </w:rPr>
        <w:t>分（北京时间）</w:t>
      </w:r>
    </w:p>
    <w:p w14:paraId="472DFB9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shd w:val="clear" w:color="auto" w:fill="FFFFFF" w:themeFill="background1"/>
        </w:rPr>
      </w:pPr>
      <w:r>
        <w:rPr>
          <w:rFonts w:hint="eastAsia" w:ascii="宋体" w:hAnsi="宋体"/>
          <w:bCs/>
          <w:color w:val="auto"/>
          <w:szCs w:val="21"/>
          <w:highlight w:val="none"/>
          <w:shd w:val="clear" w:color="auto" w:fill="FFFFFF" w:themeFill="background1"/>
        </w:rPr>
        <w:t>投标地点（网址）：</w:t>
      </w:r>
      <w:r>
        <w:rPr>
          <w:rFonts w:hint="eastAsia" w:ascii="宋体" w:hAnsi="宋体"/>
          <w:color w:val="auto"/>
          <w:szCs w:val="21"/>
          <w:highlight w:val="none"/>
          <w:shd w:val="clear" w:color="auto" w:fill="FFFFFF" w:themeFill="background1"/>
        </w:rPr>
        <w:t>广西政府采购云平台（</w:t>
      </w:r>
      <w:r>
        <w:rPr>
          <w:rFonts w:hint="eastAsia" w:ascii="宋体" w:hAnsi="宋体"/>
          <w:bCs/>
          <w:color w:val="auto"/>
          <w:szCs w:val="21"/>
          <w:highlight w:val="none"/>
          <w:shd w:val="clear" w:color="auto" w:fill="FFFFFF" w:themeFill="background1"/>
        </w:rPr>
        <w:t>https://www.gcy.zfcg.gxzf.gov.cn/</w:t>
      </w:r>
      <w:r>
        <w:rPr>
          <w:rFonts w:hint="eastAsia" w:ascii="宋体" w:hAnsi="宋体"/>
          <w:color w:val="auto"/>
          <w:szCs w:val="21"/>
          <w:highlight w:val="none"/>
          <w:shd w:val="clear" w:color="auto" w:fill="FFFFFF" w:themeFill="background1"/>
        </w:rPr>
        <w:t>）</w:t>
      </w:r>
    </w:p>
    <w:p w14:paraId="147089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开标时间：</w:t>
      </w:r>
      <w:r>
        <w:rPr>
          <w:rFonts w:hint="eastAsia" w:ascii="宋体" w:hAnsi="宋体"/>
          <w:bCs/>
          <w:color w:val="auto"/>
          <w:szCs w:val="21"/>
          <w:highlight w:val="none"/>
          <w:shd w:val="clear" w:color="auto" w:fill="FFFFFF" w:themeFill="background1"/>
          <w:lang w:eastAsia="zh-CN"/>
        </w:rPr>
        <w:t>2025</w:t>
      </w:r>
      <w:r>
        <w:rPr>
          <w:rFonts w:hint="eastAsia" w:ascii="宋体" w:hAnsi="宋体"/>
          <w:bCs/>
          <w:color w:val="auto"/>
          <w:szCs w:val="21"/>
          <w:highlight w:val="none"/>
          <w:shd w:val="clear" w:color="auto" w:fill="FFFFFF" w:themeFill="background1"/>
        </w:rPr>
        <w:t>年</w:t>
      </w:r>
      <w:r>
        <w:rPr>
          <w:rFonts w:hint="eastAsia" w:ascii="宋体" w:hAnsi="宋体"/>
          <w:bCs/>
          <w:color w:val="auto"/>
          <w:szCs w:val="21"/>
          <w:highlight w:val="none"/>
          <w:shd w:val="clear" w:color="auto" w:fill="FFFFFF" w:themeFill="background1"/>
          <w:lang w:val="en-US" w:eastAsia="zh-CN"/>
        </w:rPr>
        <w:t xml:space="preserve"> </w:t>
      </w:r>
      <w:r>
        <w:rPr>
          <w:rFonts w:hint="eastAsia" w:ascii="宋体" w:hAnsi="宋体"/>
          <w:bCs/>
          <w:color w:val="auto"/>
          <w:szCs w:val="21"/>
          <w:highlight w:val="none"/>
          <w:shd w:val="clear" w:color="auto" w:fill="FFFFFF" w:themeFill="background1"/>
        </w:rPr>
        <w:t>月</w:t>
      </w:r>
      <w:r>
        <w:rPr>
          <w:rFonts w:hint="eastAsia" w:ascii="宋体" w:hAnsi="宋体"/>
          <w:bCs/>
          <w:color w:val="auto"/>
          <w:szCs w:val="21"/>
          <w:highlight w:val="none"/>
          <w:shd w:val="clear" w:color="auto" w:fill="FFFFFF" w:themeFill="background1"/>
          <w:lang w:val="en-US" w:eastAsia="zh-CN"/>
        </w:rPr>
        <w:t xml:space="preserve">  </w:t>
      </w:r>
      <w:r>
        <w:rPr>
          <w:rFonts w:hint="eastAsia" w:ascii="宋体" w:hAnsi="宋体"/>
          <w:bCs/>
          <w:color w:val="auto"/>
          <w:szCs w:val="21"/>
          <w:highlight w:val="none"/>
          <w:shd w:val="clear" w:color="auto" w:fill="FFFFFF" w:themeFill="background1"/>
        </w:rPr>
        <w:t>日</w:t>
      </w:r>
      <w:r>
        <w:rPr>
          <w:rFonts w:hint="eastAsia" w:ascii="宋体" w:hAnsi="宋体"/>
          <w:bCs/>
          <w:color w:val="auto"/>
          <w:szCs w:val="21"/>
          <w:highlight w:val="none"/>
          <w:shd w:val="clear" w:color="auto" w:fill="FFFFFF" w:themeFill="background1"/>
          <w:lang w:val="en-US" w:eastAsia="zh-CN"/>
        </w:rPr>
        <w:t>9</w:t>
      </w:r>
      <w:r>
        <w:rPr>
          <w:rFonts w:hint="eastAsia" w:ascii="宋体" w:hAnsi="宋体"/>
          <w:bCs/>
          <w:color w:val="auto"/>
          <w:szCs w:val="21"/>
          <w:highlight w:val="none"/>
          <w:shd w:val="clear" w:color="auto" w:fill="FFFFFF" w:themeFill="background1"/>
        </w:rPr>
        <w:t>时</w:t>
      </w:r>
      <w:r>
        <w:rPr>
          <w:rFonts w:hint="eastAsia" w:ascii="宋体" w:hAnsi="宋体"/>
          <w:bCs/>
          <w:color w:val="auto"/>
          <w:szCs w:val="21"/>
          <w:highlight w:val="none"/>
          <w:shd w:val="clear" w:color="auto" w:fill="FFFFFF" w:themeFill="background1"/>
          <w:lang w:val="en-US" w:eastAsia="zh-CN"/>
        </w:rPr>
        <w:t>30</w:t>
      </w:r>
      <w:r>
        <w:rPr>
          <w:rFonts w:hint="eastAsia" w:ascii="宋体" w:hAnsi="宋体"/>
          <w:bCs/>
          <w:color w:val="auto"/>
          <w:szCs w:val="21"/>
          <w:highlight w:val="none"/>
          <w:shd w:val="clear" w:color="auto" w:fill="FFFFFF" w:themeFill="background1"/>
        </w:rPr>
        <w:t>分</w:t>
      </w:r>
    </w:p>
    <w:p w14:paraId="09B060FA">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开标地点：广西政府采购云平台电子开标大厅</w:t>
      </w:r>
    </w:p>
    <w:p w14:paraId="35CDED71">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r>
        <w:rPr>
          <w:rFonts w:hint="eastAsia" w:ascii="黑体" w:hAnsi="黑体" w:eastAsia="黑体"/>
          <w:b/>
          <w:bCs/>
          <w:color w:val="auto"/>
          <w:sz w:val="24"/>
          <w:highlight w:val="none"/>
          <w:shd w:val="clear" w:color="auto" w:fill="FFFFFF" w:themeFill="background1"/>
        </w:rPr>
        <w:t>五、公告期限</w:t>
      </w:r>
      <w:bookmarkEnd w:id="23"/>
      <w:bookmarkEnd w:id="24"/>
      <w:bookmarkEnd w:id="25"/>
      <w:bookmarkEnd w:id="26"/>
    </w:p>
    <w:p w14:paraId="17B56D62">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自本公告发布之日起5个工作日。</w:t>
      </w:r>
    </w:p>
    <w:p w14:paraId="6D5522D3">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bookmarkStart w:id="27" w:name="_Toc35393626"/>
      <w:bookmarkStart w:id="28" w:name="_Toc35393795"/>
      <w:r>
        <w:rPr>
          <w:rFonts w:hint="eastAsia" w:ascii="黑体" w:hAnsi="黑体" w:eastAsia="黑体"/>
          <w:b/>
          <w:bCs/>
          <w:color w:val="auto"/>
          <w:sz w:val="24"/>
          <w:highlight w:val="none"/>
          <w:shd w:val="clear" w:color="auto" w:fill="FFFFFF" w:themeFill="background1"/>
        </w:rPr>
        <w:t>六、其他补充事宜</w:t>
      </w:r>
      <w:bookmarkEnd w:id="27"/>
      <w:bookmarkEnd w:id="28"/>
    </w:p>
    <w:p w14:paraId="4325CE8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shd w:val="clear" w:color="auto" w:fill="FFFFFF" w:themeFill="background1"/>
        </w:rPr>
      </w:pPr>
      <w:bookmarkStart w:id="29" w:name="_Hlk37429595"/>
      <w:bookmarkStart w:id="30" w:name="_Hlk37429585"/>
      <w:bookmarkStart w:id="31" w:name="_Toc35393627"/>
      <w:bookmarkStart w:id="32" w:name="_Toc35393796"/>
      <w:bookmarkStart w:id="33" w:name="_Toc28359008"/>
      <w:bookmarkStart w:id="34" w:name="_Toc28359085"/>
      <w:r>
        <w:rPr>
          <w:rFonts w:hint="eastAsia" w:ascii="宋体" w:hAnsi="宋体" w:cs="宋体"/>
          <w:color w:val="auto"/>
          <w:kern w:val="0"/>
          <w:szCs w:val="21"/>
          <w:highlight w:val="none"/>
          <w:shd w:val="clear" w:color="auto" w:fill="FFFFFF" w:themeFill="background1"/>
        </w:rPr>
        <w:t>1.网上查询地址</w:t>
      </w:r>
    </w:p>
    <w:bookmarkEnd w:id="29"/>
    <w:bookmarkEnd w:id="30"/>
    <w:p w14:paraId="24970EA5">
      <w:pPr>
        <w:keepNext w:val="0"/>
        <w:keepLines w:val="0"/>
        <w:pageBreakBefore w:val="0"/>
        <w:kinsoku/>
        <w:wordWrap/>
        <w:overflowPunct/>
        <w:topLinePunct w:val="0"/>
        <w:autoSpaceDE/>
        <w:autoSpaceDN/>
        <w:bidi w:val="0"/>
        <w:adjustRightInd/>
        <w:spacing w:line="360" w:lineRule="auto"/>
        <w:ind w:left="210" w:leftChars="100" w:firstLine="422"/>
        <w:textAlignment w:val="auto"/>
        <w:rPr>
          <w:color w:val="auto"/>
          <w:szCs w:val="22"/>
          <w:highlight w:val="none"/>
          <w:shd w:val="clear" w:color="auto" w:fill="FFFFFF" w:themeFill="background1"/>
        </w:rPr>
      </w:pPr>
      <w:bookmarkStart w:id="35" w:name="_Hlk37429674"/>
      <w:r>
        <w:rPr>
          <w:rFonts w:hint="eastAsia"/>
          <w:color w:val="auto"/>
          <w:highlight w:val="none"/>
          <w:shd w:val="clear" w:color="auto" w:fill="FFFFFF" w:themeFill="background1"/>
        </w:rPr>
        <w:t>中国政府采购网（</w:t>
      </w:r>
      <w:r>
        <w:rPr>
          <w:color w:val="auto"/>
          <w:highlight w:val="none"/>
          <w:shd w:val="clear" w:color="auto" w:fill="FFFFFF" w:themeFill="background1"/>
        </w:rPr>
        <w:t>http://www.ccgp.gov.cn</w:t>
      </w:r>
      <w:r>
        <w:rPr>
          <w:rFonts w:hint="eastAsia"/>
          <w:color w:val="auto"/>
          <w:highlight w:val="none"/>
          <w:shd w:val="clear" w:color="auto" w:fill="FFFFFF" w:themeFill="background1"/>
        </w:rPr>
        <w:t>）、广西壮族自治区政府采购网（</w:t>
      </w:r>
      <w:r>
        <w:rPr>
          <w:color w:val="auto"/>
          <w:highlight w:val="none"/>
          <w:shd w:val="clear" w:color="auto" w:fill="FFFFFF" w:themeFill="background1"/>
        </w:rPr>
        <w:t>http://zfcg.gxzf.gov.cn</w:t>
      </w:r>
      <w:r>
        <w:rPr>
          <w:rFonts w:hint="eastAsia"/>
          <w:color w:val="auto"/>
          <w:highlight w:val="none"/>
          <w:shd w:val="clear" w:color="auto" w:fill="FFFFFF" w:themeFill="background1"/>
        </w:rPr>
        <w:t>）、</w:t>
      </w:r>
      <w:r>
        <w:rPr>
          <w:color w:val="auto"/>
          <w:highlight w:val="none"/>
          <w:shd w:val="clear" w:color="auto" w:fill="FFFFFF" w:themeFill="background1"/>
        </w:rPr>
        <w:br w:type="textWrapping"/>
      </w:r>
      <w:r>
        <w:rPr>
          <w:rFonts w:hint="eastAsia"/>
          <w:color w:val="auto"/>
          <w:highlight w:val="none"/>
          <w:shd w:val="clear" w:color="auto" w:fill="FFFFFF" w:themeFill="background1"/>
        </w:rPr>
        <w:t>广西壮族自治区公共资源交易中心（</w:t>
      </w:r>
      <w:r>
        <w:rPr>
          <w:color w:val="auto"/>
          <w:highlight w:val="none"/>
          <w:shd w:val="clear" w:color="auto" w:fill="FFFFFF" w:themeFill="background1"/>
        </w:rPr>
        <w:t>http://gxggzy.gxzf.gov.cn/</w:t>
      </w:r>
      <w:r>
        <w:rPr>
          <w:rFonts w:hint="eastAsia"/>
          <w:color w:val="auto"/>
          <w:highlight w:val="none"/>
          <w:shd w:val="clear" w:color="auto" w:fill="FFFFFF" w:themeFill="background1"/>
        </w:rPr>
        <w:t>）。</w:t>
      </w:r>
    </w:p>
    <w:p w14:paraId="2F19530F">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bookmarkEnd w:id="35"/>
    <w:p w14:paraId="4904E591">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D03B53D">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A8ABA83">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CBC5608">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C7A5944">
      <w:pPr>
        <w:keepNext w:val="0"/>
        <w:keepLines w:val="0"/>
        <w:pageBreakBefore w:val="0"/>
        <w:kinsoku/>
        <w:wordWrap/>
        <w:overflowPunct/>
        <w:topLinePunct w:val="0"/>
        <w:autoSpaceDE/>
        <w:autoSpaceDN/>
        <w:bidi w:val="0"/>
        <w:adjustRightInd/>
        <w:spacing w:line="360" w:lineRule="auto"/>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07946A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olor w:val="auto"/>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3.投标人</w:t>
      </w:r>
      <w:r>
        <w:rPr>
          <w:rFonts w:hint="eastAsia" w:ascii="宋体" w:hAnsi="宋体"/>
          <w:color w:val="auto"/>
          <w:szCs w:val="21"/>
          <w:highlight w:val="none"/>
          <w:shd w:val="clear" w:color="auto" w:fill="FFFFFF" w:themeFill="background1"/>
        </w:rPr>
        <w:t>投标注意事项</w:t>
      </w:r>
    </w:p>
    <w:p w14:paraId="430C752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“广西政府采购云平台”（加密的电子投标文件是指</w:t>
      </w:r>
      <w:r>
        <w:rPr>
          <w:rFonts w:hint="eastAsia"/>
          <w:color w:val="auto"/>
          <w:highlight w:val="none"/>
          <w:shd w:val="clear" w:color="auto" w:fill="FFFFFF" w:themeFill="background1"/>
        </w:rPr>
        <w:t>后缀名为“jm</w:t>
      </w:r>
      <w:r>
        <w:rPr>
          <w:color w:val="auto"/>
          <w:highlight w:val="none"/>
          <w:shd w:val="clear" w:color="auto" w:fill="FFFFFF" w:themeFill="background1"/>
        </w:rPr>
        <w:t>bs</w:t>
      </w:r>
      <w:r>
        <w:rPr>
          <w:rFonts w:hint="eastAsia"/>
          <w:color w:val="auto"/>
          <w:highlight w:val="none"/>
          <w:shd w:val="clear" w:color="auto" w:fill="FFFFFF" w:themeFill="background1"/>
        </w:rPr>
        <w:t>”的文件</w:t>
      </w:r>
      <w:r>
        <w:rPr>
          <w:rFonts w:hint="eastAsia" w:ascii="宋体" w:hAnsi="宋体"/>
          <w:color w:val="auto"/>
          <w:szCs w:val="21"/>
          <w:highlight w:val="none"/>
          <w:shd w:val="clear" w:color="auto" w:fill="FFFFFF" w:themeFill="background1"/>
        </w:rPr>
        <w:t>），投标人在“广西政府采购云平台”提交电子投标文件时，请填写参加远程开标活动经办人联系方式。</w:t>
      </w:r>
      <w:r>
        <w:rPr>
          <w:color w:val="auto"/>
          <w:highlight w:val="none"/>
          <w:shd w:val="clear" w:color="auto" w:fill="FFFFFF" w:themeFill="background1"/>
        </w:rPr>
        <w:t>投标人登录“广西政府采购云平台”，依次进入“服务中心-帮助文档-操作流程-电子招投标-政府采购项目电子交易管理操作指南-供应商”查看电子投标具体操作流程。</w:t>
      </w:r>
    </w:p>
    <w:p w14:paraId="305AA08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shd w:val="clear" w:color="auto" w:fill="FFFFFF" w:themeFill="background1"/>
        </w:rPr>
        <w:t>，</w:t>
      </w:r>
      <w:r>
        <w:rPr>
          <w:rFonts w:hint="eastAsia" w:ascii="宋体" w:hAnsi="宋体"/>
          <w:color w:val="auto"/>
          <w:szCs w:val="21"/>
          <w:highlight w:val="none"/>
          <w:shd w:val="clear" w:color="auto" w:fill="FFFFFF" w:themeFill="background1"/>
        </w:rPr>
        <w:t>依次进入“服务中心-入驻与配置”中查看CA数字证书办理操作流程。</w:t>
      </w:r>
      <w:r>
        <w:rPr>
          <w:rFonts w:hint="eastAsia" w:ascii="宋体" w:hAnsi="宋体" w:cs="宋体"/>
          <w:bCs/>
          <w:color w:val="auto"/>
          <w:kern w:val="0"/>
          <w:szCs w:val="21"/>
          <w:highlight w:val="none"/>
          <w:shd w:val="clear" w:color="auto" w:fill="FFFFFF" w:themeFill="background1"/>
        </w:rPr>
        <w:t>如在操作过程中遇到问题或者需要技术支持，请致电政府采购平台客服电话：95763</w:t>
      </w:r>
      <w:r>
        <w:rPr>
          <w:rFonts w:hint="eastAsia" w:ascii="宋体" w:hAnsi="宋体"/>
          <w:color w:val="auto"/>
          <w:szCs w:val="21"/>
          <w:highlight w:val="none"/>
          <w:shd w:val="clear" w:color="auto" w:fill="FFFFFF" w:themeFill="background1"/>
        </w:rPr>
        <w:t>）。</w:t>
      </w:r>
    </w:p>
    <w:p w14:paraId="0A8E69A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kern w:val="0"/>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（3）CA证书在线解密：投标人投标时，需凭制作投标文件时用来加密的有效数字证书（CA认证）登录</w:t>
      </w:r>
      <w:r>
        <w:rPr>
          <w:rFonts w:hint="eastAsia" w:ascii="宋体" w:hAnsi="宋体"/>
          <w:color w:val="auto"/>
          <w:szCs w:val="21"/>
          <w:highlight w:val="none"/>
          <w:shd w:val="clear" w:color="auto" w:fill="FFFFFF" w:themeFill="background1"/>
        </w:rPr>
        <w:t>“广西政府采购云平台”</w:t>
      </w:r>
      <w:r>
        <w:rPr>
          <w:rFonts w:hint="eastAsia" w:ascii="宋体" w:hAnsi="宋体" w:cs="宋体"/>
          <w:color w:val="auto"/>
          <w:kern w:val="0"/>
          <w:szCs w:val="21"/>
          <w:highlight w:val="none"/>
          <w:shd w:val="clear" w:color="auto" w:fill="FFFFFF" w:themeFill="background1"/>
        </w:rPr>
        <w:t>电子开标大厅现场按规定时间对加密的投标文件进行解密，否则后果自负。</w:t>
      </w:r>
    </w:p>
    <w:p w14:paraId="5B83EBC9">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注：1）为确保网上操作合法、有效和安全，请投标人确保在电子投标过程中能够对相关数据电文进行加密和使用电子签章，妥善保管C</w:t>
      </w:r>
      <w:r>
        <w:rPr>
          <w:rFonts w:ascii="宋体" w:hAnsi="宋体"/>
          <w:color w:val="auto"/>
          <w:szCs w:val="21"/>
          <w:highlight w:val="none"/>
          <w:shd w:val="clear" w:color="auto" w:fill="FFFFFF" w:themeFill="background1"/>
        </w:rPr>
        <w:t>A</w:t>
      </w:r>
      <w:r>
        <w:rPr>
          <w:rFonts w:hint="eastAsia" w:ascii="宋体" w:hAnsi="宋体"/>
          <w:color w:val="auto"/>
          <w:szCs w:val="21"/>
          <w:highlight w:val="none"/>
          <w:shd w:val="clear" w:color="auto" w:fill="FFFFFF" w:themeFill="background1"/>
        </w:rPr>
        <w:t>数字证书并使用有效的CA数字证书参与整个招标活动。</w:t>
      </w:r>
    </w:p>
    <w:p w14:paraId="6D20066D">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bCs/>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w:t>
      </w:r>
      <w:r>
        <w:rPr>
          <w:rFonts w:hint="eastAsia" w:ascii="宋体" w:hAnsi="宋体"/>
          <w:bCs/>
          <w:color w:val="auto"/>
          <w:szCs w:val="21"/>
          <w:highlight w:val="none"/>
          <w:shd w:val="clear" w:color="auto" w:fill="FFFFFF" w:themeFill="background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shd w:val="clear" w:color="auto" w:fill="FFFFFF" w:themeFill="background1"/>
        </w:rPr>
        <w:t>“广西政府采购云平台”</w:t>
      </w:r>
      <w:r>
        <w:rPr>
          <w:rFonts w:hint="eastAsia" w:ascii="宋体" w:hAnsi="宋体"/>
          <w:bCs/>
          <w:color w:val="auto"/>
          <w:szCs w:val="21"/>
          <w:highlight w:val="none"/>
          <w:shd w:val="clear" w:color="auto" w:fill="FFFFFF" w:themeFill="background1"/>
        </w:rPr>
        <w:t>将予以拒收。</w:t>
      </w:r>
    </w:p>
    <w:p w14:paraId="38673931">
      <w:pPr>
        <w:keepNext w:val="0"/>
        <w:keepLines w:val="0"/>
        <w:pageBreakBefore w:val="0"/>
        <w:kinsoku/>
        <w:wordWrap/>
        <w:overflowPunct/>
        <w:topLinePunct w:val="0"/>
        <w:autoSpaceDE/>
        <w:autoSpaceDN/>
        <w:bidi w:val="0"/>
        <w:adjustRightInd/>
        <w:spacing w:line="360" w:lineRule="auto"/>
        <w:ind w:firstLine="482"/>
        <w:textAlignment w:val="auto"/>
        <w:rPr>
          <w:rFonts w:ascii="黑体" w:hAnsi="黑体" w:eastAsia="黑体"/>
          <w:b/>
          <w:bCs/>
          <w:color w:val="auto"/>
          <w:sz w:val="24"/>
          <w:highlight w:val="none"/>
          <w:shd w:val="clear" w:color="auto" w:fill="FFFFFF" w:themeFill="background1"/>
        </w:rPr>
      </w:pPr>
      <w:r>
        <w:rPr>
          <w:rFonts w:hint="eastAsia" w:ascii="黑体" w:hAnsi="黑体" w:eastAsia="黑体"/>
          <w:b/>
          <w:bCs/>
          <w:color w:val="auto"/>
          <w:sz w:val="24"/>
          <w:highlight w:val="none"/>
          <w:shd w:val="clear" w:color="auto" w:fill="FFFFFF" w:themeFill="background1"/>
        </w:rPr>
        <w:t>七、对本次招标提出询问，请按</w:t>
      </w:r>
      <w:r>
        <w:rPr>
          <w:rFonts w:ascii="黑体" w:hAnsi="黑体" w:eastAsia="黑体"/>
          <w:b/>
          <w:bCs/>
          <w:color w:val="auto"/>
          <w:sz w:val="24"/>
          <w:highlight w:val="none"/>
          <w:shd w:val="clear" w:color="auto" w:fill="FFFFFF" w:themeFill="background1"/>
        </w:rPr>
        <w:t>以下方式</w:t>
      </w:r>
      <w:r>
        <w:rPr>
          <w:rFonts w:hint="eastAsia" w:ascii="黑体" w:hAnsi="黑体" w:eastAsia="黑体"/>
          <w:b/>
          <w:bCs/>
          <w:color w:val="auto"/>
          <w:sz w:val="24"/>
          <w:highlight w:val="none"/>
          <w:shd w:val="clear" w:color="auto" w:fill="FFFFFF" w:themeFill="background1"/>
        </w:rPr>
        <w:t>联系。</w:t>
      </w:r>
      <w:bookmarkEnd w:id="31"/>
      <w:bookmarkEnd w:id="32"/>
      <w:bookmarkEnd w:id="33"/>
      <w:bookmarkEnd w:id="34"/>
    </w:p>
    <w:p w14:paraId="7F29743A">
      <w:pPr>
        <w:keepNext w:val="0"/>
        <w:keepLines w:val="0"/>
        <w:pageBreakBefore w:val="0"/>
        <w:kinsoku/>
        <w:wordWrap/>
        <w:overflowPunct/>
        <w:topLinePunct w:val="0"/>
        <w:autoSpaceDE/>
        <w:autoSpaceDN/>
        <w:bidi w:val="0"/>
        <w:adjustRightInd/>
        <w:spacing w:line="360" w:lineRule="auto"/>
        <w:ind w:firstLine="632" w:firstLineChars="301"/>
        <w:jc w:val="left"/>
        <w:textAlignment w:val="auto"/>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1.采购人信息</w:t>
      </w:r>
    </w:p>
    <w:p w14:paraId="35BDF25A">
      <w:pPr>
        <w:keepNext w:val="0"/>
        <w:keepLines w:val="0"/>
        <w:pageBreakBefore w:val="0"/>
        <w:kinsoku/>
        <w:wordWrap/>
        <w:overflowPunct/>
        <w:topLinePunct w:val="0"/>
        <w:autoSpaceDE/>
        <w:autoSpaceDN/>
        <w:bidi w:val="0"/>
        <w:adjustRightInd/>
        <w:spacing w:line="360" w:lineRule="auto"/>
        <w:ind w:firstLine="567" w:firstLineChars="270"/>
        <w:jc w:val="left"/>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 xml:space="preserve">名 称：广西壮族自治区港航发展中心 </w:t>
      </w:r>
    </w:p>
    <w:p w14:paraId="337C488C">
      <w:pPr>
        <w:keepNext w:val="0"/>
        <w:keepLines w:val="0"/>
        <w:pageBreakBefore w:val="0"/>
        <w:kinsoku/>
        <w:wordWrap/>
        <w:overflowPunct/>
        <w:topLinePunct w:val="0"/>
        <w:autoSpaceDE/>
        <w:autoSpaceDN/>
        <w:bidi w:val="0"/>
        <w:adjustRightInd/>
        <w:spacing w:line="360" w:lineRule="auto"/>
        <w:ind w:firstLine="567" w:firstLineChars="270"/>
        <w:jc w:val="left"/>
        <w:textAlignment w:val="auto"/>
        <w:rPr>
          <w:rFonts w:ascii="宋体" w:hAnsi="宋体" w:cs="Arial"/>
          <w:bCs/>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地址：</w:t>
      </w:r>
      <w:r>
        <w:rPr>
          <w:rFonts w:hint="eastAsia" w:ascii="宋体" w:hAnsi="宋体" w:cs="Arial"/>
          <w:bCs/>
          <w:color w:val="auto"/>
          <w:szCs w:val="21"/>
          <w:highlight w:val="none"/>
          <w:shd w:val="clear" w:color="auto" w:fill="FFFFFF" w:themeFill="background1"/>
        </w:rPr>
        <w:t>广西南宁市百花岭6号翠竹小区综合信息楼</w:t>
      </w:r>
    </w:p>
    <w:p w14:paraId="5BEB1754">
      <w:pPr>
        <w:keepNext w:val="0"/>
        <w:keepLines w:val="0"/>
        <w:pageBreakBefore w:val="0"/>
        <w:kinsoku/>
        <w:wordWrap/>
        <w:overflowPunct/>
        <w:topLinePunct w:val="0"/>
        <w:autoSpaceDE/>
        <w:autoSpaceDN/>
        <w:bidi w:val="0"/>
        <w:adjustRightInd/>
        <w:snapToGrid w:val="0"/>
        <w:spacing w:line="360" w:lineRule="auto"/>
        <w:ind w:firstLine="575" w:firstLineChars="274"/>
        <w:textAlignment w:val="auto"/>
        <w:rPr>
          <w:rFonts w:hint="default" w:ascii="宋体" w:hAnsi="宋体" w:eastAsia="宋体"/>
          <w:color w:val="auto"/>
          <w:szCs w:val="21"/>
          <w:highlight w:val="none"/>
          <w:u w:val="single"/>
          <w:shd w:val="clear" w:color="auto" w:fill="FFFFFF" w:themeFill="background1"/>
          <w:lang w:val="en-US" w:eastAsia="zh-CN"/>
        </w:rPr>
      </w:pPr>
      <w:r>
        <w:rPr>
          <w:rFonts w:hint="eastAsia" w:ascii="宋体" w:hAnsi="宋体"/>
          <w:color w:val="auto"/>
          <w:szCs w:val="21"/>
          <w:highlight w:val="none"/>
          <w:shd w:val="clear" w:color="auto" w:fill="FFFFFF" w:themeFill="background1"/>
        </w:rPr>
        <w:t>联系方式：</w:t>
      </w:r>
      <w:bookmarkStart w:id="36" w:name="_Toc28359009"/>
      <w:bookmarkStart w:id="37" w:name="_Toc28359086"/>
      <w:r>
        <w:rPr>
          <w:rFonts w:hint="eastAsia" w:ascii="宋体" w:hAnsi="宋体"/>
          <w:color w:val="auto"/>
          <w:szCs w:val="21"/>
          <w:highlight w:val="none"/>
          <w:shd w:val="clear" w:color="auto" w:fill="FFFFFF" w:themeFill="background1"/>
          <w:lang w:eastAsia="zh-CN"/>
        </w:rPr>
        <w:t>苏威清</w:t>
      </w:r>
      <w:r>
        <w:rPr>
          <w:rFonts w:hint="eastAsia" w:ascii="宋体" w:hAnsi="宋体"/>
          <w:color w:val="auto"/>
          <w:szCs w:val="21"/>
          <w:highlight w:val="none"/>
          <w:shd w:val="clear" w:color="auto" w:fill="FFFFFF" w:themeFill="background1"/>
          <w:lang w:val="en-US" w:eastAsia="zh-CN"/>
        </w:rPr>
        <w:t xml:space="preserve"> </w:t>
      </w:r>
      <w:r>
        <w:rPr>
          <w:rFonts w:hint="eastAsia" w:ascii="宋体" w:hAnsi="宋体" w:cs="Arial"/>
          <w:bCs/>
          <w:color w:val="auto"/>
          <w:szCs w:val="21"/>
          <w:highlight w:val="none"/>
          <w:shd w:val="clear" w:color="auto" w:fill="FFFFFF" w:themeFill="background1"/>
        </w:rPr>
        <w:t>0771-</w:t>
      </w:r>
      <w:r>
        <w:rPr>
          <w:rFonts w:hint="eastAsia" w:ascii="宋体" w:hAnsi="宋体" w:cs="Arial"/>
          <w:bCs/>
          <w:color w:val="auto"/>
          <w:szCs w:val="21"/>
          <w:highlight w:val="none"/>
          <w:shd w:val="clear" w:color="auto" w:fill="FFFFFF" w:themeFill="background1"/>
          <w:lang w:val="en-US" w:eastAsia="zh-CN"/>
        </w:rPr>
        <w:t>2841511</w:t>
      </w:r>
    </w:p>
    <w:bookmarkEnd w:id="36"/>
    <w:bookmarkEnd w:id="37"/>
    <w:p w14:paraId="3FEBD4C6">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2.采购代理机构信息</w:t>
      </w:r>
    </w:p>
    <w:p w14:paraId="34326E8E">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名 称：　广西同泽工程项目管理股份有限公司</w:t>
      </w:r>
    </w:p>
    <w:p w14:paraId="1D0AC0ED">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地　址：　南宁市良庆区凯旋路16号裕达国际中心广东大厦31层3105室</w:t>
      </w:r>
    </w:p>
    <w:p w14:paraId="0C586106">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联系方式：0771-5590098</w:t>
      </w:r>
    </w:p>
    <w:p w14:paraId="5A93FE64">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3.项目联系方式</w:t>
      </w:r>
    </w:p>
    <w:p w14:paraId="67CBD190">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项目联系人：</w:t>
      </w:r>
      <w:r>
        <w:rPr>
          <w:rFonts w:hint="eastAsia" w:ascii="宋体" w:hAnsi="宋体" w:cs="Arial"/>
          <w:color w:val="auto"/>
          <w:szCs w:val="21"/>
          <w:highlight w:val="none"/>
          <w:shd w:val="clear" w:color="auto" w:fill="FFFFFF" w:themeFill="background1"/>
        </w:rPr>
        <w:t>唐君、谢银珠</w:t>
      </w:r>
    </w:p>
    <w:p w14:paraId="0401916A">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仿宋_GB2312" w:hAnsi="宋体" w:eastAsia="仿宋_GB2312"/>
          <w:color w:val="auto"/>
          <w:sz w:val="24"/>
          <w:szCs w:val="20"/>
          <w:highlight w:val="none"/>
          <w:shd w:val="clear" w:color="auto" w:fill="FFFFFF" w:themeFill="background1"/>
        </w:rPr>
      </w:pPr>
      <w:r>
        <w:rPr>
          <w:rFonts w:hint="eastAsia" w:ascii="宋体" w:hAnsi="宋体" w:cs="宋体"/>
          <w:color w:val="auto"/>
          <w:szCs w:val="21"/>
          <w:highlight w:val="none"/>
          <w:shd w:val="clear" w:color="auto" w:fill="FFFFFF" w:themeFill="background1"/>
        </w:rPr>
        <w:t>电　话：0771-5590098</w:t>
      </w:r>
    </w:p>
    <w:p w14:paraId="67BB4997">
      <w:pPr>
        <w:keepNext w:val="0"/>
        <w:keepLines w:val="0"/>
        <w:pageBreakBefore w:val="0"/>
        <w:widowControl/>
        <w:kinsoku/>
        <w:wordWrap/>
        <w:overflowPunct/>
        <w:topLinePunct w:val="0"/>
        <w:autoSpaceDE/>
        <w:autoSpaceDN/>
        <w:bidi w:val="0"/>
        <w:adjustRightInd/>
        <w:spacing w:before="60" w:after="60" w:line="360" w:lineRule="auto"/>
        <w:ind w:firstLine="3570" w:firstLineChars="1700"/>
        <w:jc w:val="left"/>
        <w:textAlignment w:val="auto"/>
        <w:rPr>
          <w:rFonts w:hint="eastAsia" w:ascii="宋体" w:hAnsi="宋体"/>
          <w:color w:val="auto"/>
          <w:szCs w:val="21"/>
          <w:highlight w:val="none"/>
          <w:shd w:val="clear" w:color="auto" w:fill="FFFFFF" w:themeFill="background1"/>
          <w:lang w:val="en-US" w:eastAsia="zh-CN"/>
        </w:rPr>
      </w:pPr>
    </w:p>
    <w:p w14:paraId="7D088B63">
      <w:pPr>
        <w:keepNext w:val="0"/>
        <w:keepLines w:val="0"/>
        <w:pageBreakBefore w:val="0"/>
        <w:widowControl/>
        <w:kinsoku/>
        <w:wordWrap/>
        <w:overflowPunct/>
        <w:topLinePunct w:val="0"/>
        <w:autoSpaceDE/>
        <w:autoSpaceDN/>
        <w:bidi w:val="0"/>
        <w:adjustRightInd/>
        <w:spacing w:before="60" w:after="60" w:line="360" w:lineRule="auto"/>
        <w:ind w:firstLine="3570" w:firstLineChars="1700"/>
        <w:jc w:val="left"/>
        <w:textAlignment w:val="auto"/>
        <w:rPr>
          <w:rFonts w:ascii="宋体"/>
          <w:bCs/>
          <w:color w:val="auto"/>
          <w:kern w:val="0"/>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采</w:t>
      </w:r>
      <w:r>
        <w:rPr>
          <w:rFonts w:hint="eastAsia" w:ascii="宋体" w:hAnsi="宋体"/>
          <w:color w:val="auto"/>
          <w:szCs w:val="21"/>
          <w:highlight w:val="none"/>
          <w:shd w:val="clear" w:color="auto" w:fill="FFFFFF" w:themeFill="background1"/>
        </w:rPr>
        <w:t>购代理机构：广西同泽工程项目管理股份有限公司</w:t>
      </w:r>
    </w:p>
    <w:p w14:paraId="2FE64B91">
      <w:pPr>
        <w:keepNext w:val="0"/>
        <w:keepLines w:val="0"/>
        <w:pageBreakBefore w:val="0"/>
        <w:kinsoku/>
        <w:wordWrap/>
        <w:overflowPunct/>
        <w:topLinePunct w:val="0"/>
        <w:autoSpaceDE/>
        <w:autoSpaceDN/>
        <w:bidi w:val="0"/>
        <w:adjustRightInd/>
        <w:snapToGrid w:val="0"/>
        <w:spacing w:line="360" w:lineRule="auto"/>
        <w:ind w:left="238" w:firstLine="422"/>
        <w:jc w:val="center"/>
        <w:textAlignment w:val="auto"/>
        <w:rPr>
          <w:rFonts w:ascii="宋体"/>
          <w:bCs/>
          <w:color w:val="auto"/>
          <w:kern w:val="0"/>
          <w:szCs w:val="21"/>
          <w:highlight w:val="none"/>
          <w:shd w:val="clear" w:color="auto" w:fill="FFFFFF" w:themeFill="background1"/>
        </w:rPr>
      </w:pPr>
      <w:r>
        <w:rPr>
          <w:rFonts w:hint="eastAsia" w:ascii="宋体"/>
          <w:bCs/>
          <w:color w:val="auto"/>
          <w:kern w:val="0"/>
          <w:szCs w:val="21"/>
          <w:highlight w:val="none"/>
          <w:shd w:val="clear" w:color="auto" w:fill="FFFFFF" w:themeFill="background1"/>
          <w:lang w:val="en-US" w:eastAsia="zh-CN"/>
        </w:rPr>
        <w:t xml:space="preserve">           </w:t>
      </w:r>
      <w:r>
        <w:rPr>
          <w:rFonts w:hint="eastAsia" w:ascii="宋体"/>
          <w:bCs/>
          <w:color w:val="auto"/>
          <w:kern w:val="0"/>
          <w:szCs w:val="21"/>
          <w:highlight w:val="none"/>
          <w:shd w:val="clear" w:color="auto" w:fill="FFFFFF" w:themeFill="background1"/>
        </w:rPr>
        <w:t xml:space="preserve"> </w:t>
      </w:r>
      <w:r>
        <w:rPr>
          <w:rFonts w:hint="eastAsia" w:ascii="宋体"/>
          <w:bCs/>
          <w:color w:val="auto"/>
          <w:kern w:val="0"/>
          <w:szCs w:val="21"/>
          <w:highlight w:val="none"/>
          <w:shd w:val="clear" w:color="auto" w:fill="FFFFFF" w:themeFill="background1"/>
          <w:lang w:eastAsia="zh-CN"/>
        </w:rPr>
        <w:t>2025</w:t>
      </w:r>
      <w:r>
        <w:rPr>
          <w:rFonts w:hint="eastAsia" w:ascii="宋体"/>
          <w:bCs/>
          <w:color w:val="auto"/>
          <w:kern w:val="0"/>
          <w:szCs w:val="21"/>
          <w:highlight w:val="none"/>
          <w:shd w:val="clear" w:color="auto" w:fill="FFFFFF" w:themeFill="background1"/>
        </w:rPr>
        <w:t>年</w:t>
      </w:r>
      <w:r>
        <w:rPr>
          <w:rFonts w:hint="eastAsia" w:ascii="宋体"/>
          <w:bCs/>
          <w:color w:val="auto"/>
          <w:kern w:val="0"/>
          <w:szCs w:val="21"/>
          <w:highlight w:val="none"/>
          <w:shd w:val="clear" w:color="auto" w:fill="FFFFFF" w:themeFill="background1"/>
          <w:lang w:val="en-US" w:eastAsia="zh-CN"/>
        </w:rPr>
        <w:t xml:space="preserve">  </w:t>
      </w:r>
      <w:r>
        <w:rPr>
          <w:rFonts w:hint="eastAsia" w:ascii="宋体"/>
          <w:bCs/>
          <w:color w:val="auto"/>
          <w:kern w:val="0"/>
          <w:szCs w:val="21"/>
          <w:highlight w:val="none"/>
          <w:shd w:val="clear" w:color="auto" w:fill="FFFFFF" w:themeFill="background1"/>
        </w:rPr>
        <w:t>月</w:t>
      </w:r>
      <w:r>
        <w:rPr>
          <w:rFonts w:hint="eastAsia" w:ascii="宋体"/>
          <w:bCs/>
          <w:color w:val="auto"/>
          <w:kern w:val="0"/>
          <w:szCs w:val="21"/>
          <w:highlight w:val="none"/>
          <w:shd w:val="clear" w:color="auto" w:fill="FFFFFF" w:themeFill="background1"/>
          <w:lang w:val="en-US" w:eastAsia="zh-CN"/>
        </w:rPr>
        <w:t xml:space="preserve">   </w:t>
      </w:r>
      <w:r>
        <w:rPr>
          <w:rFonts w:hint="eastAsia" w:ascii="宋体"/>
          <w:bCs/>
          <w:color w:val="auto"/>
          <w:kern w:val="0"/>
          <w:szCs w:val="21"/>
          <w:highlight w:val="none"/>
          <w:shd w:val="clear" w:color="auto" w:fill="FFFFFF" w:themeFill="background1"/>
        </w:rPr>
        <w:t>日</w:t>
      </w:r>
    </w:p>
    <w:p w14:paraId="00B1798D">
      <w:pPr>
        <w:pStyle w:val="3"/>
        <w:keepNext w:val="0"/>
        <w:keepLines w:val="0"/>
        <w:tabs>
          <w:tab w:val="left" w:pos="0"/>
          <w:tab w:val="left" w:pos="3165"/>
          <w:tab w:val="center" w:pos="4153"/>
        </w:tabs>
        <w:autoSpaceDE w:val="0"/>
        <w:autoSpaceDN w:val="0"/>
        <w:adjustRightInd w:val="0"/>
        <w:spacing w:before="0" w:after="0" w:line="360" w:lineRule="auto"/>
        <w:ind w:firstLine="482"/>
        <w:jc w:val="center"/>
        <w:rPr>
          <w:color w:val="auto"/>
          <w:highlight w:val="none"/>
          <w:shd w:val="clear" w:color="auto" w:fill="FFFFFF" w:themeFill="background1"/>
        </w:rPr>
      </w:pPr>
      <w:r>
        <w:rPr>
          <w:rFonts w:ascii="仿宋_GB2312" w:hAnsi="宋体" w:eastAsia="仿宋_GB2312"/>
          <w:color w:val="auto"/>
          <w:sz w:val="24"/>
          <w:szCs w:val="20"/>
          <w:highlight w:val="none"/>
          <w:shd w:val="clear" w:color="auto" w:fill="FFFFFF" w:themeFill="background1"/>
        </w:rPr>
        <w:br w:type="page"/>
      </w:r>
      <w:bookmarkStart w:id="38" w:name="_Toc158033871"/>
      <w:r>
        <w:rPr>
          <w:rFonts w:hint="eastAsia"/>
          <w:color w:val="auto"/>
          <w:highlight w:val="none"/>
          <w:shd w:val="clear" w:color="auto" w:fill="FFFFFF" w:themeFill="background1"/>
        </w:rPr>
        <w:t>第二章采购需求</w:t>
      </w:r>
      <w:bookmarkEnd w:id="38"/>
    </w:p>
    <w:p w14:paraId="12B54CCC">
      <w:pPr>
        <w:spacing w:line="360" w:lineRule="auto"/>
        <w:ind w:firstLine="422"/>
        <w:jc w:val="left"/>
        <w:rPr>
          <w:rFonts w:ascii="宋体" w:hAnsi="宋体" w:cs="宋体"/>
          <w:color w:val="auto"/>
          <w:szCs w:val="21"/>
          <w:highlight w:val="none"/>
          <w:shd w:val="clear" w:color="auto" w:fill="FFFFFF" w:themeFill="background1"/>
        </w:rPr>
      </w:pPr>
      <w:bookmarkStart w:id="39" w:name="_Toc254970631"/>
      <w:bookmarkStart w:id="40" w:name="_Toc254970490"/>
    </w:p>
    <w:p w14:paraId="4BC4C7A5">
      <w:pPr>
        <w:spacing w:line="360" w:lineRule="auto"/>
        <w:ind w:firstLine="422"/>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说明：</w:t>
      </w:r>
    </w:p>
    <w:p w14:paraId="77216DC4">
      <w:pPr>
        <w:spacing w:line="360" w:lineRule="auto"/>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1. 为落实政府采购政策需满足的要求</w:t>
      </w:r>
    </w:p>
    <w:p w14:paraId="6EF57BCD">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（1）本招标文件所称中小企业必须符合《政府采购促进中小企业发展管理办法》（财库〔2020〕46号）的规定。</w:t>
      </w:r>
    </w:p>
    <w:p w14:paraId="15677C22">
      <w:pPr>
        <w:pStyle w:val="44"/>
        <w:rPr>
          <w:b w:val="0"/>
          <w:color w:val="auto"/>
          <w:highlight w:val="none"/>
          <w:shd w:val="clear" w:color="auto" w:fill="FFFFFF" w:themeFill="background1"/>
        </w:rPr>
      </w:pPr>
      <w:r>
        <w:rPr>
          <w:rFonts w:hint="eastAsia"/>
          <w:b w:val="0"/>
          <w:color w:val="auto"/>
          <w:highlight w:val="none"/>
          <w:shd w:val="clear" w:color="auto" w:fill="FFFFFF" w:themeFill="background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Pr>
          <w:rFonts w:hint="eastAsia"/>
          <w:color w:val="auto"/>
          <w:highlight w:val="none"/>
          <w:shd w:val="clear" w:color="auto" w:fill="FFFFFF" w:themeFill="background1"/>
        </w:rPr>
        <w:t>否则按无效投标处理</w:t>
      </w:r>
      <w:r>
        <w:rPr>
          <w:rFonts w:hint="eastAsia"/>
          <w:b w:val="0"/>
          <w:color w:val="auto"/>
          <w:highlight w:val="none"/>
          <w:shd w:val="clear" w:color="auto" w:fill="FFFFFF" w:themeFill="background1"/>
        </w:rPr>
        <w:t>。如本项目包含的货物属于品目清单内非标注“★”的产品时，应优先采购，具体详见“第四章 评标方法及评标标准”。</w:t>
      </w:r>
    </w:p>
    <w:p w14:paraId="3CAC3A56">
      <w:pPr>
        <w:spacing w:line="360" w:lineRule="auto"/>
        <w:ind w:firstLine="424" w:firstLineChars="202"/>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2.“实质性要求”是指招标文件中已经指明不满足则投标无效的条款，或者不能负偏离的条款，或者采购需求中带“▲”的条款。</w:t>
      </w:r>
    </w:p>
    <w:p w14:paraId="0310F7EF">
      <w:pPr>
        <w:spacing w:line="360" w:lineRule="auto"/>
        <w:ind w:firstLine="424" w:firstLineChars="202"/>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3.采购需求中出现的品牌、型号或者生产厂家仅起参考作用，不属于指定品牌、型号或者生产厂家的情形。投标人可参照或者选用其他相当的品牌、型号或者生产厂家替代。</w:t>
      </w:r>
    </w:p>
    <w:p w14:paraId="29BEE9CB">
      <w:pPr>
        <w:spacing w:line="360" w:lineRule="auto"/>
        <w:ind w:firstLine="424" w:firstLineChars="202"/>
        <w:jc w:val="left"/>
        <w:rPr>
          <w:rStyle w:val="73"/>
          <w:color w:val="auto"/>
          <w:highlight w:val="none"/>
          <w:shd w:val="clear" w:color="auto" w:fill="FFFFFF" w:themeFill="background1"/>
        </w:rPr>
      </w:pPr>
      <w:r>
        <w:rPr>
          <w:rFonts w:hint="eastAsia" w:ascii="宋体" w:hAnsi="宋体" w:cs="宋体"/>
          <w:color w:val="auto"/>
          <w:szCs w:val="21"/>
          <w:highlight w:val="none"/>
          <w:shd w:val="clear" w:color="auto" w:fill="FFFFFF" w:themeFill="background1"/>
        </w:rPr>
        <w:t>4. 投标人应根据自身实际情况如实响应招标文件</w:t>
      </w:r>
      <w:r>
        <w:rPr>
          <w:rFonts w:hint="eastAsia" w:ascii="宋体" w:hAnsi="宋体"/>
          <w:color w:val="auto"/>
          <w:szCs w:val="21"/>
          <w:highlight w:val="none"/>
          <w:shd w:val="clear" w:color="auto" w:fill="FFFFFF" w:themeFill="background1"/>
        </w:rPr>
        <w:t>，</w:t>
      </w:r>
      <w:r>
        <w:rPr>
          <w:rFonts w:hint="eastAsia" w:ascii="宋体" w:hAnsi="宋体"/>
          <w:color w:val="auto"/>
          <w:sz w:val="22"/>
          <w:szCs w:val="22"/>
          <w:highlight w:val="none"/>
          <w:shd w:val="clear" w:color="auto" w:fill="FFFFFF" w:themeFill="background1"/>
        </w:rPr>
        <w:t>对招标文件提出的要求和条件作出明确响应，</w:t>
      </w:r>
      <w:r>
        <w:rPr>
          <w:rFonts w:hint="eastAsia" w:ascii="宋体" w:hAnsi="宋体"/>
          <w:b/>
          <w:bCs/>
          <w:color w:val="auto"/>
          <w:szCs w:val="21"/>
          <w:highlight w:val="none"/>
          <w:shd w:val="clear" w:color="auto" w:fill="FFFFFF" w:themeFill="background1"/>
        </w:rPr>
        <w:t>否则将作无效响应处理</w:t>
      </w:r>
      <w:r>
        <w:rPr>
          <w:rFonts w:hint="eastAsia" w:ascii="宋体" w:hAnsi="宋体"/>
          <w:color w:val="auto"/>
          <w:szCs w:val="21"/>
          <w:highlight w:val="none"/>
          <w:shd w:val="clear" w:color="auto" w:fill="FFFFFF" w:themeFill="background1"/>
        </w:rPr>
        <w:t>。</w:t>
      </w:r>
      <w:r>
        <w:rPr>
          <w:rFonts w:hint="eastAsia"/>
          <w:color w:val="auto"/>
          <w:highlight w:val="none"/>
          <w:shd w:val="clear" w:color="auto" w:fill="FFFFFF" w:themeFill="background1"/>
        </w:rPr>
        <w:t>对于重要技术条款或技术参数应当在投标文件中提供技术支持资料，技术支持资料以招标文件中规定的形式为准，</w:t>
      </w:r>
      <w:r>
        <w:rPr>
          <w:rFonts w:hint="eastAsia"/>
          <w:b/>
          <w:bCs/>
          <w:color w:val="auto"/>
          <w:highlight w:val="none"/>
          <w:shd w:val="clear" w:color="auto" w:fill="FFFFFF" w:themeFill="background1"/>
        </w:rPr>
        <w:t>否则将视为无效技术支持资料</w:t>
      </w:r>
      <w:r>
        <w:rPr>
          <w:rFonts w:hint="eastAsia"/>
          <w:color w:val="auto"/>
          <w:highlight w:val="none"/>
          <w:shd w:val="clear" w:color="auto" w:fill="FFFFFF" w:themeFill="background1"/>
        </w:rPr>
        <w:t>。</w:t>
      </w:r>
    </w:p>
    <w:p w14:paraId="57503C92">
      <w:pPr>
        <w:spacing w:line="360" w:lineRule="auto"/>
        <w:ind w:firstLine="308" w:firstLineChars="147"/>
        <w:jc w:val="left"/>
        <w:rPr>
          <w:color w:val="auto"/>
          <w:highlight w:val="none"/>
          <w:shd w:val="clear" w:color="auto" w:fill="FFFFFF" w:themeFill="background1"/>
        </w:rPr>
      </w:pPr>
      <w:r>
        <w:rPr>
          <w:rFonts w:hint="eastAsia" w:ascii="宋体" w:hAnsi="宋体" w:cs="宋体"/>
          <w:color w:val="auto"/>
          <w:szCs w:val="21"/>
          <w:highlight w:val="none"/>
          <w:shd w:val="clear" w:color="auto" w:fill="FFFFFF" w:themeFill="background1"/>
        </w:rPr>
        <w:t>5.</w:t>
      </w:r>
      <w:r>
        <w:rPr>
          <w:rFonts w:hint="eastAsia"/>
          <w:color w:val="auto"/>
          <w:highlight w:val="none"/>
          <w:shd w:val="clear" w:color="auto" w:fill="FFFFFF" w:themeFill="background1"/>
        </w:rPr>
        <w:t>投标人必须自行为其投标产品侵犯他人的知识产权或者专利成果的行为承担相应法律责任。</w:t>
      </w:r>
    </w:p>
    <w:p w14:paraId="337566EA">
      <w:pPr>
        <w:spacing w:line="360" w:lineRule="auto"/>
        <w:ind w:firstLine="310" w:firstLineChars="147"/>
        <w:jc w:val="left"/>
        <w:rPr>
          <w:b/>
          <w:bCs/>
          <w:color w:val="auto"/>
          <w:highlight w:val="none"/>
          <w:shd w:val="clear" w:color="auto" w:fill="FFFFFF" w:themeFill="background1"/>
        </w:rPr>
      </w:pPr>
      <w:r>
        <w:rPr>
          <w:rFonts w:hint="eastAsia"/>
          <w:b/>
          <w:bCs/>
          <w:color w:val="auto"/>
          <w:highlight w:val="none"/>
          <w:shd w:val="clear" w:color="auto" w:fill="FFFFFF" w:themeFill="background1"/>
        </w:rPr>
        <w:t>6.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5F11473A">
      <w:pPr>
        <w:spacing w:line="360" w:lineRule="auto"/>
        <w:ind w:firstLine="308" w:firstLineChars="147"/>
        <w:jc w:val="left"/>
        <w:rPr>
          <w:b/>
          <w:color w:val="auto"/>
          <w:sz w:val="30"/>
          <w:szCs w:val="30"/>
          <w:highlight w:val="none"/>
          <w:shd w:val="clear" w:color="auto" w:fill="FFFFFF" w:themeFill="background1"/>
        </w:rPr>
      </w:pPr>
      <w:r>
        <w:rPr>
          <w:rFonts w:hint="eastAsia"/>
          <w:color w:val="auto"/>
          <w:highlight w:val="none"/>
          <w:shd w:val="clear" w:color="auto" w:fill="FFFFFF" w:themeFill="background1"/>
        </w:rPr>
        <w:t>7</w:t>
      </w:r>
      <w:r>
        <w:rPr>
          <w:rFonts w:hint="eastAsia" w:ascii="宋体" w:hAnsi="宋体" w:cs="宋体"/>
          <w:color w:val="auto"/>
          <w:szCs w:val="21"/>
          <w:highlight w:val="none"/>
          <w:shd w:val="clear" w:color="auto" w:fill="FFFFFF" w:themeFill="background1"/>
        </w:rPr>
        <w:t>.</w:t>
      </w:r>
      <w:r>
        <w:rPr>
          <w:rFonts w:hint="eastAsia"/>
          <w:color w:val="auto"/>
          <w:highlight w:val="none"/>
          <w:shd w:val="clear" w:color="auto" w:fill="FFFFFF" w:themeFill="background1"/>
        </w:rPr>
        <w:t>项目所属行业：科学研究和技术服务业</w:t>
      </w:r>
    </w:p>
    <w:p w14:paraId="0550B204">
      <w:pPr>
        <w:ind w:firstLine="422"/>
        <w:rPr>
          <w:color w:val="auto"/>
          <w:highlight w:val="none"/>
          <w:shd w:val="clear" w:color="auto" w:fill="FFFFFF" w:themeFill="background1"/>
        </w:rPr>
      </w:pPr>
      <w:r>
        <w:rPr>
          <w:color w:val="auto"/>
          <w:highlight w:val="none"/>
          <w:shd w:val="clear" w:color="auto" w:fill="FFFFFF" w:themeFill="background1"/>
        </w:rPr>
        <w:br w:type="page"/>
      </w:r>
    </w:p>
    <w:tbl>
      <w:tblPr>
        <w:tblStyle w:val="62"/>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72"/>
        <w:gridCol w:w="298"/>
        <w:gridCol w:w="9"/>
        <w:gridCol w:w="957"/>
        <w:gridCol w:w="6785"/>
      </w:tblGrid>
      <w:tr w14:paraId="3E05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noWrap/>
            <w:vAlign w:val="center"/>
          </w:tcPr>
          <w:p w14:paraId="2CE1447E">
            <w:pPr>
              <w:widowControl/>
              <w:spacing w:line="360" w:lineRule="auto"/>
              <w:jc w:val="center"/>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项号</w:t>
            </w:r>
          </w:p>
        </w:tc>
        <w:tc>
          <w:tcPr>
            <w:tcW w:w="1179" w:type="dxa"/>
            <w:gridSpan w:val="3"/>
            <w:noWrap/>
            <w:vAlign w:val="center"/>
          </w:tcPr>
          <w:p w14:paraId="046E456A">
            <w:pPr>
              <w:widowControl/>
              <w:spacing w:line="360" w:lineRule="auto"/>
              <w:jc w:val="center"/>
              <w:rPr>
                <w:rFonts w:ascii="Calibri" w:hAnsi="宋体" w:cs="宋体"/>
                <w:b/>
                <w:bCs/>
                <w:color w:val="auto"/>
                <w:szCs w:val="22"/>
                <w:highlight w:val="none"/>
                <w:shd w:val="clear" w:color="auto" w:fill="FFFFFF" w:themeFill="background1"/>
              </w:rPr>
            </w:pPr>
            <w:r>
              <w:rPr>
                <w:rFonts w:hint="eastAsia" w:ascii="Calibri" w:hAnsi="宋体" w:cs="宋体"/>
                <w:b/>
                <w:bCs/>
                <w:color w:val="auto"/>
                <w:szCs w:val="22"/>
                <w:highlight w:val="none"/>
                <w:shd w:val="clear" w:color="auto" w:fill="FFFFFF" w:themeFill="background1"/>
              </w:rPr>
              <w:t>标的</w:t>
            </w:r>
          </w:p>
          <w:p w14:paraId="546DC5D5">
            <w:pPr>
              <w:widowControl/>
              <w:spacing w:line="360" w:lineRule="auto"/>
              <w:jc w:val="center"/>
              <w:rPr>
                <w:rFonts w:ascii="宋体" w:hAnsi="宋体" w:cs="宋体"/>
                <w:b/>
                <w:bCs/>
                <w:color w:val="auto"/>
                <w:kern w:val="0"/>
                <w:szCs w:val="21"/>
                <w:highlight w:val="none"/>
                <w:shd w:val="clear" w:color="auto" w:fill="FFFFFF" w:themeFill="background1"/>
              </w:rPr>
            </w:pPr>
            <w:r>
              <w:rPr>
                <w:rFonts w:hint="eastAsia" w:ascii="Calibri" w:hAnsi="宋体" w:cs="宋体"/>
                <w:b/>
                <w:bCs/>
                <w:color w:val="auto"/>
                <w:szCs w:val="22"/>
                <w:highlight w:val="none"/>
                <w:shd w:val="clear" w:color="auto" w:fill="FFFFFF" w:themeFill="background1"/>
              </w:rPr>
              <w:t>的名称</w:t>
            </w:r>
          </w:p>
        </w:tc>
        <w:tc>
          <w:tcPr>
            <w:tcW w:w="957" w:type="dxa"/>
            <w:noWrap/>
            <w:vAlign w:val="center"/>
          </w:tcPr>
          <w:p w14:paraId="0C2B52E0">
            <w:pPr>
              <w:widowControl/>
              <w:spacing w:line="360" w:lineRule="auto"/>
              <w:jc w:val="center"/>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数量及</w:t>
            </w:r>
          </w:p>
          <w:p w14:paraId="39058F8F">
            <w:pPr>
              <w:widowControl/>
              <w:spacing w:line="360" w:lineRule="auto"/>
              <w:jc w:val="center"/>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单位</w:t>
            </w:r>
          </w:p>
        </w:tc>
        <w:tc>
          <w:tcPr>
            <w:tcW w:w="6785" w:type="dxa"/>
            <w:noWrap/>
            <w:vAlign w:val="center"/>
          </w:tcPr>
          <w:p w14:paraId="40E3FBFD">
            <w:pPr>
              <w:widowControl/>
              <w:spacing w:line="360" w:lineRule="auto"/>
              <w:jc w:val="center"/>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服务内容及要求</w:t>
            </w:r>
          </w:p>
        </w:tc>
      </w:tr>
      <w:tr w14:paraId="0FE7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75" w:type="dxa"/>
            <w:noWrap/>
            <w:vAlign w:val="center"/>
          </w:tcPr>
          <w:p w14:paraId="0B47D855">
            <w:pPr>
              <w:ind w:firstLine="422"/>
              <w:jc w:val="center"/>
              <w:rPr>
                <w:rFonts w:ascii="宋体" w:hAnsi="宋体"/>
                <w:color w:val="auto"/>
                <w:szCs w:val="22"/>
                <w:highlight w:val="none"/>
                <w:shd w:val="clear" w:color="auto" w:fill="FFFFFF" w:themeFill="background1"/>
              </w:rPr>
            </w:pPr>
            <w:r>
              <w:rPr>
                <w:rFonts w:hint="eastAsia" w:ascii="宋体" w:hAnsi="宋体"/>
                <w:color w:val="auto"/>
                <w:szCs w:val="22"/>
                <w:highlight w:val="none"/>
                <w:shd w:val="clear" w:color="auto" w:fill="FFFFFF" w:themeFill="background1"/>
              </w:rPr>
              <w:t>1</w:t>
            </w:r>
          </w:p>
        </w:tc>
        <w:tc>
          <w:tcPr>
            <w:tcW w:w="1170" w:type="dxa"/>
            <w:gridSpan w:val="2"/>
            <w:noWrap/>
            <w:vAlign w:val="center"/>
          </w:tcPr>
          <w:p w14:paraId="1E294E60">
            <w:pPr>
              <w:spacing w:line="360" w:lineRule="auto"/>
              <w:jc w:val="both"/>
              <w:rPr>
                <w:rFonts w:hint="eastAsia" w:ascii="宋体" w:hAnsi="宋体" w:eastAsia="宋体"/>
                <w:color w:val="auto"/>
                <w:szCs w:val="22"/>
                <w:highlight w:val="none"/>
                <w:shd w:val="clear" w:color="auto" w:fill="FFFFFF" w:themeFill="background1"/>
                <w:lang w:eastAsia="zh-CN"/>
              </w:rPr>
            </w:pPr>
            <w:r>
              <w:rPr>
                <w:rFonts w:hint="eastAsia" w:ascii="宋体" w:hAnsi="宋体"/>
                <w:color w:val="auto"/>
                <w:szCs w:val="21"/>
                <w:highlight w:val="none"/>
                <w:shd w:val="clear" w:color="auto" w:fill="FFFFFF" w:themeFill="background1"/>
                <w:lang w:eastAsia="zh-CN"/>
              </w:rPr>
              <w:t>钦州港1号至12号外锚地建设工程（外1#、外2#锚地及锚地通道）勘察测量及方案设计</w:t>
            </w:r>
          </w:p>
        </w:tc>
        <w:tc>
          <w:tcPr>
            <w:tcW w:w="966" w:type="dxa"/>
            <w:gridSpan w:val="2"/>
            <w:noWrap/>
            <w:vAlign w:val="center"/>
          </w:tcPr>
          <w:p w14:paraId="4614BE3E">
            <w:pPr>
              <w:jc w:val="center"/>
              <w:rPr>
                <w:rFonts w:ascii="宋体" w:hAnsi="宋体"/>
                <w:color w:val="auto"/>
                <w:szCs w:val="22"/>
                <w:highlight w:val="none"/>
                <w:shd w:val="clear" w:color="auto" w:fill="FFFFFF" w:themeFill="background1"/>
              </w:rPr>
            </w:pPr>
            <w:r>
              <w:rPr>
                <w:rFonts w:hint="eastAsia" w:ascii="宋体" w:hAnsi="宋体"/>
                <w:color w:val="auto"/>
                <w:szCs w:val="22"/>
                <w:highlight w:val="none"/>
                <w:shd w:val="clear" w:color="auto" w:fill="FFFFFF" w:themeFill="background1"/>
              </w:rPr>
              <w:t>1项</w:t>
            </w:r>
          </w:p>
        </w:tc>
        <w:tc>
          <w:tcPr>
            <w:tcW w:w="6785" w:type="dxa"/>
            <w:noWrap/>
            <w:vAlign w:val="center"/>
          </w:tcPr>
          <w:p w14:paraId="6496ED00">
            <w:pPr>
              <w:spacing w:line="360" w:lineRule="auto"/>
              <w:rPr>
                <w:b/>
                <w:bCs/>
                <w:color w:val="auto"/>
                <w:highlight w:val="none"/>
                <w:shd w:val="clear" w:color="auto" w:fill="FFFFFF" w:themeFill="background1"/>
              </w:rPr>
            </w:pPr>
            <w:r>
              <w:rPr>
                <w:rFonts w:hint="eastAsia"/>
                <w:b/>
                <w:bCs/>
                <w:color w:val="auto"/>
                <w:highlight w:val="none"/>
                <w:shd w:val="clear" w:color="auto" w:fill="FFFFFF" w:themeFill="background1"/>
              </w:rPr>
              <w:t>一、项目概况</w:t>
            </w:r>
          </w:p>
          <w:p w14:paraId="3BB63D9B">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钦州港1号至12号外锚地建设工程（外1#、外2#锚地及锚地通道）勘察测量及方案设计采购项目内容包括：根据《北部湾港总体规划（2035年）》开展</w:t>
            </w:r>
            <w:r>
              <w:rPr>
                <w:rFonts w:hint="eastAsia"/>
                <w:color w:val="auto"/>
                <w:highlight w:val="none"/>
                <w:shd w:val="clear" w:color="auto" w:fill="FFFFFF" w:themeFill="background1"/>
                <w:lang w:eastAsia="zh-CN"/>
              </w:rPr>
              <w:t>外1#、外2#锚地及锚地通道勘察测量，规划面积746.75平方公里，本次招标其中多波束扫海测量不少于约51.65平方公里，1:2000测量面积不少于约252.50平方公里，岩土勘察钻孔不少于约68个</w:t>
            </w:r>
            <w:r>
              <w:rPr>
                <w:rFonts w:hint="eastAsia"/>
                <w:color w:val="auto"/>
                <w:highlight w:val="none"/>
                <w:shd w:val="clear" w:color="auto" w:fill="FFFFFF" w:themeFill="background1"/>
              </w:rPr>
              <w:t>；开展有关方案设计及专题报告编制。</w:t>
            </w:r>
          </w:p>
          <w:p w14:paraId="77ACEBED">
            <w:pPr>
              <w:spacing w:line="360" w:lineRule="auto"/>
              <w:rPr>
                <w:rFonts w:hint="eastAsia" w:eastAsia="宋体"/>
                <w:b/>
                <w:bCs/>
                <w:color w:val="auto"/>
                <w:highlight w:val="none"/>
                <w:shd w:val="clear" w:color="auto" w:fill="FFFFFF" w:themeFill="background1"/>
              </w:rPr>
            </w:pPr>
            <w:r>
              <w:rPr>
                <w:rFonts w:hint="eastAsia" w:eastAsia="宋体"/>
                <w:b/>
                <w:bCs/>
                <w:color w:val="auto"/>
                <w:highlight w:val="none"/>
                <w:shd w:val="clear" w:color="auto" w:fill="FFFFFF" w:themeFill="background1"/>
              </w:rPr>
              <w:t>二、采购项目预（概）算</w:t>
            </w:r>
          </w:p>
          <w:p w14:paraId="0E3CE479">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总预算：635万元。采购内容包括：</w:t>
            </w:r>
            <w:r>
              <w:rPr>
                <w:rFonts w:hint="eastAsia"/>
                <w:color w:val="auto"/>
                <w:highlight w:val="none"/>
                <w:shd w:val="clear" w:color="auto" w:fill="FFFFFF" w:themeFill="background1"/>
                <w:lang w:eastAsia="zh-CN"/>
              </w:rPr>
              <w:t>外1#、外2#锚地及锚地通道勘察测量，规划面积746.75平方公里，本次招标其中多波束扫海测量不少于约51.65平方公里，1:2000测量面积不少于约252.50平方公里，岩土勘察钻孔不少于约68个</w:t>
            </w:r>
            <w:r>
              <w:rPr>
                <w:rFonts w:hint="eastAsia"/>
                <w:color w:val="auto"/>
                <w:highlight w:val="none"/>
                <w:shd w:val="clear" w:color="auto" w:fill="FFFFFF" w:themeFill="background1"/>
              </w:rPr>
              <w:t>；有关方案设计及专题报告编制。</w:t>
            </w:r>
          </w:p>
          <w:p w14:paraId="52D4DBA4">
            <w:pPr>
              <w:spacing w:line="360" w:lineRule="auto"/>
              <w:rPr>
                <w:rFonts w:hint="eastAsia" w:eastAsia="宋体"/>
                <w:b/>
                <w:bCs/>
                <w:color w:val="auto"/>
                <w:highlight w:val="none"/>
                <w:shd w:val="clear" w:color="auto" w:fill="FFFFFF" w:themeFill="background1"/>
              </w:rPr>
            </w:pPr>
            <w:r>
              <w:rPr>
                <w:rFonts w:hint="eastAsia" w:eastAsia="宋体"/>
                <w:b/>
                <w:bCs/>
                <w:color w:val="auto"/>
                <w:highlight w:val="none"/>
                <w:shd w:val="clear" w:color="auto" w:fill="FFFFFF" w:themeFill="background1"/>
                <w:lang w:eastAsia="zh-CN"/>
              </w:rPr>
              <w:t>三、</w:t>
            </w:r>
            <w:r>
              <w:rPr>
                <w:rFonts w:hint="eastAsia" w:eastAsia="宋体"/>
                <w:b/>
                <w:bCs/>
                <w:color w:val="auto"/>
                <w:highlight w:val="none"/>
                <w:shd w:val="clear" w:color="auto" w:fill="FFFFFF" w:themeFill="background1"/>
              </w:rPr>
              <w:t>采购标的汇总表</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50"/>
              <w:gridCol w:w="2114"/>
              <w:gridCol w:w="1500"/>
              <w:gridCol w:w="774"/>
              <w:gridCol w:w="755"/>
            </w:tblGrid>
            <w:tr w14:paraId="6501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05" w:type="pct"/>
                  <w:noWrap w:val="0"/>
                  <w:vAlign w:val="center"/>
                </w:tcPr>
                <w:p w14:paraId="458345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包号</w:t>
                  </w:r>
                </w:p>
              </w:tc>
              <w:tc>
                <w:tcPr>
                  <w:tcW w:w="572" w:type="pct"/>
                  <w:noWrap w:val="0"/>
                  <w:vAlign w:val="center"/>
                </w:tcPr>
                <w:p w14:paraId="77750B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12" w:type="pct"/>
                  <w:noWrap w:val="0"/>
                  <w:vAlign w:val="center"/>
                </w:tcPr>
                <w:p w14:paraId="1A600B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1144" w:type="pct"/>
                  <w:noWrap w:val="0"/>
                  <w:vAlign w:val="center"/>
                </w:tcPr>
                <w:p w14:paraId="4FA05C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品目</w:t>
                  </w:r>
                </w:p>
                <w:p w14:paraId="528444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分类编码</w:t>
                  </w:r>
                </w:p>
              </w:tc>
              <w:tc>
                <w:tcPr>
                  <w:tcW w:w="590" w:type="pct"/>
                  <w:noWrap w:val="0"/>
                  <w:vAlign w:val="center"/>
                </w:tcPr>
                <w:p w14:paraId="762075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69DEB3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575" w:type="pct"/>
                  <w:noWrap w:val="0"/>
                  <w:vAlign w:val="center"/>
                </w:tcPr>
                <w:p w14:paraId="2D122C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280B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505" w:type="pct"/>
                  <w:vMerge w:val="restart"/>
                  <w:noWrap w:val="0"/>
                  <w:vAlign w:val="center"/>
                </w:tcPr>
                <w:p w14:paraId="0A5A6B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2" w:type="pct"/>
                  <w:noWrap w:val="0"/>
                  <w:vAlign w:val="center"/>
                </w:tcPr>
                <w:p w14:paraId="0FB814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2" w:type="pct"/>
                  <w:noWrap w:val="0"/>
                  <w:vAlign w:val="center"/>
                </w:tcPr>
                <w:p w14:paraId="11E3087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外1#、外2#锚地及锚地通道勘察测量</w:t>
                  </w:r>
                </w:p>
              </w:tc>
              <w:tc>
                <w:tcPr>
                  <w:tcW w:w="1144" w:type="pct"/>
                  <w:noWrap w:val="0"/>
                  <w:vAlign w:val="center"/>
                </w:tcPr>
                <w:p w14:paraId="474970E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C11010000</w:t>
                  </w:r>
                </w:p>
              </w:tc>
              <w:tc>
                <w:tcPr>
                  <w:tcW w:w="590" w:type="pct"/>
                  <w:noWrap w:val="0"/>
                  <w:vAlign w:val="center"/>
                </w:tcPr>
                <w:p w14:paraId="3F14C8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w:t>
                  </w:r>
                </w:p>
              </w:tc>
              <w:tc>
                <w:tcPr>
                  <w:tcW w:w="575" w:type="pct"/>
                  <w:noWrap w:val="0"/>
                  <w:vAlign w:val="center"/>
                </w:tcPr>
                <w:p w14:paraId="599743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5DC2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505" w:type="pct"/>
                  <w:vMerge w:val="continue"/>
                  <w:noWrap w:val="0"/>
                  <w:vAlign w:val="center"/>
                </w:tcPr>
                <w:p w14:paraId="628A5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572" w:type="pct"/>
                  <w:noWrap w:val="0"/>
                  <w:vAlign w:val="center"/>
                </w:tcPr>
                <w:p w14:paraId="5410C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12" w:type="pct"/>
                  <w:noWrap w:val="0"/>
                  <w:vAlign w:val="center"/>
                </w:tcPr>
                <w:p w14:paraId="356BA37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方案设计及</w:t>
                  </w:r>
                  <w:r>
                    <w:rPr>
                      <w:rFonts w:hint="eastAsia" w:ascii="宋体" w:hAnsi="宋体" w:eastAsia="宋体" w:cs="宋体"/>
                      <w:color w:val="auto"/>
                      <w:sz w:val="21"/>
                      <w:szCs w:val="21"/>
                      <w:highlight w:val="none"/>
                      <w:lang w:eastAsia="zh-CN"/>
                    </w:rPr>
                    <w:t>专题报告编制</w:t>
                  </w:r>
                </w:p>
              </w:tc>
              <w:tc>
                <w:tcPr>
                  <w:tcW w:w="1144" w:type="pct"/>
                  <w:noWrap w:val="0"/>
                  <w:vAlign w:val="center"/>
                </w:tcPr>
                <w:p w14:paraId="70AF1AF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2003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w:t>
                  </w:r>
                </w:p>
              </w:tc>
              <w:tc>
                <w:tcPr>
                  <w:tcW w:w="590" w:type="pct"/>
                  <w:noWrap w:val="0"/>
                  <w:vAlign w:val="center"/>
                </w:tcPr>
                <w:p w14:paraId="4B56D2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575" w:type="pct"/>
                  <w:noWrap w:val="0"/>
                  <w:vAlign w:val="center"/>
                </w:tcPr>
                <w:p w14:paraId="0D89FE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34A50AF8">
            <w:pPr>
              <w:spacing w:line="360" w:lineRule="auto"/>
              <w:ind w:firstLine="420" w:firstLineChars="200"/>
              <w:rPr>
                <w:rFonts w:hint="eastAsia"/>
                <w:color w:val="auto"/>
                <w:highlight w:val="none"/>
                <w:shd w:val="clear" w:color="auto" w:fill="FFFFFF" w:themeFill="background1"/>
              </w:rPr>
            </w:pPr>
          </w:p>
          <w:p w14:paraId="11E3EEBA">
            <w:pPr>
              <w:spacing w:line="360" w:lineRule="auto"/>
              <w:rPr>
                <w:rFonts w:hint="eastAsia" w:eastAsia="宋体"/>
                <w:b/>
                <w:bCs/>
                <w:color w:val="auto"/>
                <w:highlight w:val="none"/>
                <w:shd w:val="clear" w:color="auto" w:fill="FFFFFF" w:themeFill="background1"/>
              </w:rPr>
            </w:pPr>
            <w:r>
              <w:rPr>
                <w:rFonts w:hint="eastAsia" w:eastAsia="宋体"/>
                <w:b/>
                <w:bCs/>
                <w:color w:val="auto"/>
                <w:highlight w:val="none"/>
                <w:shd w:val="clear" w:color="auto" w:fill="FFFFFF" w:themeFill="background1"/>
              </w:rPr>
              <w:t>四、技术要求</w:t>
            </w:r>
          </w:p>
          <w:p w14:paraId="26A52023">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（一）技术标准</w:t>
            </w:r>
          </w:p>
          <w:p w14:paraId="282CE234">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本工程的勘察和方案设计及有关专题报告等应当符合现行相关国家标准、行业标准、地方标准等标准、规范。</w:t>
            </w:r>
          </w:p>
          <w:p w14:paraId="11D07A6E">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在项目实施过程中，如果国家或有关部门颁布了新的技术标准，则供应商应采用新的标准。</w:t>
            </w:r>
          </w:p>
          <w:p w14:paraId="56C3EC1F">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技术标准书目索引（包括但不限于）：</w:t>
            </w:r>
          </w:p>
          <w:p w14:paraId="626F6566">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1.《水运工程测量规范》（JTS131）；</w:t>
            </w:r>
          </w:p>
          <w:p w14:paraId="70FBE4EF">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2.《工程测量规范》（GB50026）；</w:t>
            </w:r>
          </w:p>
          <w:p w14:paraId="7972EAED">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3.《水运工程岩土勘察规范》（JTS 133）；</w:t>
            </w:r>
          </w:p>
          <w:p w14:paraId="77915BD5">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4.《岩土工程勘察规范》（GB50021）；</w:t>
            </w:r>
          </w:p>
          <w:p w14:paraId="5EABEA7B">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5.《北部湾港海港工程岩土勘察指南》（DBJT 45/T）</w:t>
            </w:r>
          </w:p>
          <w:p w14:paraId="584564DF">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6.《海港锚地设计规范》（JTS/T 177）;</w:t>
            </w:r>
          </w:p>
          <w:p w14:paraId="4C491D2A">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7.其他现行相关规范标准。</w:t>
            </w:r>
          </w:p>
          <w:p w14:paraId="39A58052">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（二）质量要求</w:t>
            </w:r>
          </w:p>
          <w:p w14:paraId="5A07FC3F">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所有成果文件应当符合现行相关国家标准、行业标准、地方标准等标准、规范，并通过专家或主管部门、机构组织的评审，取得主管部门批复（如需要），满足申请锚地划定、海事管理机构对外公布锚地公告的要求。</w:t>
            </w:r>
          </w:p>
          <w:p w14:paraId="23E1D708">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（三）其他要求</w:t>
            </w:r>
          </w:p>
          <w:p w14:paraId="21ED5BC9">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1.工程勘察范围：根据《北部湾港总体规划（2035年）》开展</w:t>
            </w:r>
            <w:r>
              <w:rPr>
                <w:rFonts w:hint="eastAsia"/>
                <w:color w:val="auto"/>
                <w:highlight w:val="none"/>
                <w:shd w:val="clear" w:color="auto" w:fill="FFFFFF" w:themeFill="background1"/>
                <w:lang w:eastAsia="zh-CN"/>
              </w:rPr>
              <w:t>外1#、外2#锚地及锚地通道勘察测量，规划面积746.75平方公里，本次招标其中多波束扫海测量不少于约51.65平方公里，1:2000测量面积不少于约252.50平方公里，岩土勘察钻孔不少于约68个</w:t>
            </w:r>
            <w:r>
              <w:rPr>
                <w:rFonts w:hint="eastAsia"/>
                <w:color w:val="auto"/>
                <w:highlight w:val="none"/>
                <w:shd w:val="clear" w:color="auto" w:fill="FFFFFF" w:themeFill="background1"/>
              </w:rPr>
              <w:t>。正式开展工作前由采购人确认。</w:t>
            </w:r>
          </w:p>
          <w:p w14:paraId="70FCD483">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2.钻孔布置：钻孔间距1</w:t>
            </w:r>
            <w:r>
              <w:rPr>
                <w:rFonts w:hint="eastAsia"/>
                <w:color w:val="auto"/>
                <w:highlight w:val="none"/>
                <w:shd w:val="clear" w:color="auto" w:fill="FFFFFF" w:themeFill="background1"/>
                <w:lang w:val="en-US" w:eastAsia="zh-CN"/>
              </w:rPr>
              <w:t>2</w:t>
            </w:r>
            <w:r>
              <w:rPr>
                <w:rFonts w:hint="eastAsia"/>
                <w:color w:val="auto"/>
                <w:highlight w:val="none"/>
                <w:shd w:val="clear" w:color="auto" w:fill="FFFFFF" w:themeFill="background1"/>
              </w:rPr>
              <w:t>00米×1</w:t>
            </w:r>
            <w:r>
              <w:rPr>
                <w:rFonts w:hint="eastAsia"/>
                <w:color w:val="auto"/>
                <w:highlight w:val="none"/>
                <w:shd w:val="clear" w:color="auto" w:fill="FFFFFF" w:themeFill="background1"/>
                <w:lang w:val="en-US" w:eastAsia="zh-CN"/>
              </w:rPr>
              <w:t>2</w:t>
            </w:r>
            <w:r>
              <w:rPr>
                <w:rFonts w:hint="eastAsia"/>
                <w:color w:val="auto"/>
                <w:highlight w:val="none"/>
                <w:shd w:val="clear" w:color="auto" w:fill="FFFFFF" w:themeFill="background1"/>
              </w:rPr>
              <w:t>00米。</w:t>
            </w:r>
          </w:p>
          <w:p w14:paraId="6DFFA78B">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如实际钻孔数量与估算量不一致时，供应商应及时与采购人联系确认。</w:t>
            </w:r>
          </w:p>
          <w:p w14:paraId="47F2838F">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3.取样、原位测试、室内试验等根据工程实际情况、设计要求和标准规范要求，合理进行，供应商在投标报价时自行估算，且有关费用包含于投标报价中，采购人不再另行支付。</w:t>
            </w:r>
          </w:p>
          <w:p w14:paraId="4BB629AA">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4.如审批部门要求按锚地编号分别编制方案设计、有关专题报告的，供应商应按要求编制。供应商在投标报价时应考虑该情形，且有关费用包含于投标报价中，采购人不再另行支付。</w:t>
            </w:r>
          </w:p>
          <w:p w14:paraId="5D189AC0">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5.除编制选址报告、方案设计、通航安全评估报告外，如在办理申请锚地划定手续时，审批部门仍要求开展其他专题研究的（如有），供应商与采购人协商解决。</w:t>
            </w:r>
          </w:p>
          <w:p w14:paraId="562228F8">
            <w:pPr>
              <w:spacing w:line="360" w:lineRule="auto"/>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6.其他按现行相关国家标准、行业标准、地方标准等标准、规范执行。</w:t>
            </w:r>
          </w:p>
          <w:p w14:paraId="3ADA74D4">
            <w:pPr>
              <w:spacing w:line="360" w:lineRule="auto"/>
              <w:ind w:firstLine="420" w:firstLineChars="200"/>
              <w:rPr>
                <w:rFonts w:hAnsi="宋体"/>
                <w:color w:val="auto"/>
                <w:szCs w:val="21"/>
                <w:highlight w:val="none"/>
                <w:shd w:val="clear" w:color="auto" w:fill="FFFFFF" w:themeFill="background1"/>
              </w:rPr>
            </w:pPr>
          </w:p>
        </w:tc>
      </w:tr>
      <w:tr w14:paraId="2CF200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90" w:hRule="atLeast"/>
          <w:jc w:val="center"/>
        </w:trPr>
        <w:tc>
          <w:tcPr>
            <w:tcW w:w="9596" w:type="dxa"/>
            <w:gridSpan w:val="6"/>
            <w:tcBorders>
              <w:top w:val="single" w:color="000000" w:sz="4" w:space="0"/>
              <w:left w:val="single" w:color="000000" w:sz="4" w:space="0"/>
              <w:bottom w:val="single" w:color="000000" w:sz="4" w:space="0"/>
              <w:right w:val="single" w:color="000000" w:sz="4" w:space="0"/>
            </w:tcBorders>
            <w:noWrap/>
            <w:vAlign w:val="center"/>
          </w:tcPr>
          <w:p w14:paraId="7BFEE7E2">
            <w:pPr>
              <w:spacing w:line="320" w:lineRule="exact"/>
              <w:ind w:firstLine="643"/>
              <w:rPr>
                <w:b/>
                <w:color w:val="auto"/>
                <w:highlight w:val="none"/>
                <w:shd w:val="clear" w:color="auto" w:fill="FFFFFF" w:themeFill="background1"/>
              </w:rPr>
            </w:pPr>
            <w:r>
              <w:rPr>
                <w:rFonts w:hint="eastAsia"/>
                <w:b/>
                <w:color w:val="auto"/>
                <w:sz w:val="32"/>
                <w:szCs w:val="32"/>
                <w:highlight w:val="none"/>
                <w:shd w:val="clear" w:color="auto" w:fill="FFFFFF" w:themeFill="background1"/>
              </w:rPr>
              <w:t>二、商务要求</w:t>
            </w:r>
          </w:p>
        </w:tc>
      </w:tr>
      <w:tr w14:paraId="5BAA7F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38"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13E9CC83">
            <w:pPr>
              <w:widowControl/>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合同签订期</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72ADE0DC">
            <w:pPr>
              <w:widowControl/>
              <w:spacing w:line="360" w:lineRule="auto"/>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自中标通知书发出之日起25 日内（注：中标通知书发出之日起25日内必须签订合同）</w:t>
            </w:r>
          </w:p>
        </w:tc>
      </w:tr>
      <w:tr w14:paraId="0F1D83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45"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00418CD5">
            <w:pPr>
              <w:spacing w:line="320" w:lineRule="exact"/>
              <w:jc w:val="center"/>
              <w:rPr>
                <w:rFonts w:ascii="宋体" w:hAnsi="宋体" w:cs="宋体"/>
                <w:b/>
                <w:color w:val="auto"/>
                <w:szCs w:val="21"/>
                <w:highlight w:val="none"/>
                <w:shd w:val="clear" w:color="auto" w:fill="FFFFFF" w:themeFill="background1"/>
              </w:rPr>
            </w:pPr>
            <w:r>
              <w:rPr>
                <w:rFonts w:hint="eastAsia" w:ascii="宋体" w:hAnsi="宋体" w:cs="宋体"/>
                <w:b/>
                <w:color w:val="auto"/>
                <w:szCs w:val="21"/>
                <w:highlight w:val="none"/>
                <w:shd w:val="clear" w:color="auto" w:fill="FFFFFF" w:themeFill="background1"/>
              </w:rPr>
              <w:t>▲成果交付时间及地点</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3F17A144">
            <w:pPr>
              <w:widowControl/>
              <w:spacing w:line="360" w:lineRule="auto"/>
              <w:ind w:firstLine="422"/>
              <w:jc w:val="left"/>
              <w:rPr>
                <w:rFonts w:hint="eastAsia"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总工期为80个日历天。具体如下：</w:t>
            </w:r>
          </w:p>
          <w:p w14:paraId="02BAD7F7">
            <w:pPr>
              <w:widowControl/>
              <w:spacing w:line="360" w:lineRule="auto"/>
              <w:ind w:firstLine="422"/>
              <w:jc w:val="left"/>
              <w:rPr>
                <w:rFonts w:hint="eastAsia"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（1）中标通知书发出后60个日历天内提交勘察成果；</w:t>
            </w:r>
          </w:p>
          <w:p w14:paraId="721A8CE3">
            <w:pPr>
              <w:widowControl/>
              <w:spacing w:line="360" w:lineRule="auto"/>
              <w:ind w:firstLine="422"/>
              <w:jc w:val="left"/>
              <w:rPr>
                <w:rFonts w:hint="eastAsia"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（2）中标通知书发出后70个日历天内提交方案设计、通航安全评估等报告送审稿；报告评审会后，10个日历天内完成报批稿。</w:t>
            </w:r>
          </w:p>
          <w:p w14:paraId="6801EDAD">
            <w:pPr>
              <w:widowControl/>
              <w:spacing w:line="360" w:lineRule="auto"/>
              <w:ind w:firstLine="422"/>
              <w:jc w:val="left"/>
              <w:rPr>
                <w:color w:val="auto"/>
                <w:highlight w:val="none"/>
                <w:shd w:val="clear" w:color="auto" w:fill="FFFFFF" w:themeFill="background1"/>
              </w:rPr>
            </w:pPr>
            <w:r>
              <w:rPr>
                <w:rFonts w:hint="eastAsia" w:ascii="宋体" w:hAnsi="宋体"/>
                <w:color w:val="auto"/>
                <w:szCs w:val="21"/>
                <w:highlight w:val="none"/>
                <w:shd w:val="clear" w:color="auto" w:fill="FFFFFF" w:themeFill="background1"/>
                <w:lang w:eastAsia="zh-CN"/>
              </w:rPr>
              <w:t>（注：</w:t>
            </w:r>
            <w:r>
              <w:rPr>
                <w:rFonts w:hint="eastAsia" w:ascii="宋体" w:hAnsi="宋体"/>
                <w:color w:val="auto"/>
                <w:szCs w:val="21"/>
                <w:highlight w:val="none"/>
                <w:shd w:val="clear" w:color="auto" w:fill="FFFFFF" w:themeFill="background1"/>
              </w:rPr>
              <w:t>主管部门审查、审批时间另行计算</w:t>
            </w:r>
            <w:r>
              <w:rPr>
                <w:rFonts w:hint="eastAsia" w:ascii="宋体" w:hAnsi="宋体"/>
                <w:color w:val="auto"/>
                <w:szCs w:val="21"/>
                <w:highlight w:val="none"/>
                <w:shd w:val="clear" w:color="auto" w:fill="FFFFFF" w:themeFill="background1"/>
                <w:lang w:eastAsia="zh-CN"/>
              </w:rPr>
              <w:t>）</w:t>
            </w:r>
          </w:p>
        </w:tc>
      </w:tr>
      <w:tr w14:paraId="0D6AA0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45"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019D5ED4">
            <w:pPr>
              <w:spacing w:line="320" w:lineRule="exact"/>
              <w:jc w:val="center"/>
              <w:rPr>
                <w:color w:val="auto"/>
                <w:highlight w:val="none"/>
                <w:shd w:val="clear" w:color="auto" w:fill="FFFFFF" w:themeFill="background1"/>
              </w:rPr>
            </w:pPr>
            <w:r>
              <w:rPr>
                <w:rFonts w:hint="eastAsia" w:ascii="宋体" w:hAnsi="宋体" w:eastAsia="宋体" w:cs="宋体"/>
                <w:b/>
                <w:color w:val="auto"/>
                <w:szCs w:val="21"/>
                <w:highlight w:val="none"/>
                <w:shd w:val="clear" w:color="auto" w:fill="FFFFFF" w:themeFill="background1"/>
              </w:rPr>
              <w:t>交付地点</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6AB408F5">
            <w:pPr>
              <w:widowControl/>
              <w:spacing w:line="360" w:lineRule="exact"/>
              <w:ind w:firstLine="422"/>
              <w:jc w:val="left"/>
              <w:textAlignment w:val="center"/>
              <w:rPr>
                <w:rFonts w:ascii="宋体" w:hAnsi="宋体" w:cs="仿宋"/>
                <w:color w:val="auto"/>
                <w:szCs w:val="21"/>
                <w:highlight w:val="none"/>
                <w:shd w:val="clear" w:color="auto" w:fill="FFFFFF" w:themeFill="background1"/>
              </w:rPr>
            </w:pPr>
            <w:r>
              <w:rPr>
                <w:rFonts w:hint="eastAsia" w:ascii="宋体" w:hAnsi="Calibri" w:cs="宋体"/>
                <w:color w:val="auto"/>
                <w:kern w:val="0"/>
                <w:szCs w:val="21"/>
                <w:highlight w:val="none"/>
                <w:shd w:val="clear" w:color="auto" w:fill="FFFFFF" w:themeFill="background1"/>
              </w:rPr>
              <w:t>采购人办公地点。采购人可根据需要指定其他地点。</w:t>
            </w:r>
          </w:p>
        </w:tc>
      </w:tr>
      <w:tr w14:paraId="42B563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45"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25D7703B">
            <w:pPr>
              <w:spacing w:line="320" w:lineRule="exact"/>
              <w:jc w:val="center"/>
              <w:rPr>
                <w:rFonts w:hint="eastAsia" w:ascii="宋体" w:hAnsi="宋体" w:eastAsia="宋体" w:cs="宋体"/>
                <w:b/>
                <w:color w:val="auto"/>
                <w:szCs w:val="21"/>
                <w:highlight w:val="none"/>
                <w:shd w:val="clear" w:color="auto" w:fill="FFFFFF" w:themeFill="background1"/>
              </w:rPr>
            </w:pP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成果</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36F1D26C">
            <w:pPr>
              <w:widowControl/>
              <w:spacing w:line="360" w:lineRule="exact"/>
              <w:ind w:firstLine="422"/>
              <w:jc w:val="left"/>
              <w:textAlignment w:val="center"/>
              <w:rPr>
                <w:rFonts w:hint="eastAsia" w:ascii="宋体" w:hAnsi="Calibri" w:cs="宋体"/>
                <w:color w:val="auto"/>
                <w:kern w:val="0"/>
                <w:szCs w:val="21"/>
                <w:highlight w:val="none"/>
                <w:shd w:val="clear" w:color="auto" w:fill="FFFFFF" w:themeFill="background1"/>
              </w:rPr>
            </w:pPr>
            <w:r>
              <w:rPr>
                <w:rFonts w:hint="eastAsia" w:ascii="宋体" w:hAnsi="Calibri" w:cs="宋体"/>
                <w:color w:val="auto"/>
                <w:kern w:val="0"/>
                <w:szCs w:val="21"/>
                <w:highlight w:val="none"/>
                <w:shd w:val="clear" w:color="auto" w:fill="FFFFFF" w:themeFill="background1"/>
              </w:rPr>
              <w:t>提供的成果包括：岩土勘察报告10份；方案设计、通航安全评估等报告各10份；所有最终成果资料的可编辑文档，以及按要求签章的PDF成果文件，刻录成电子光盘（包含）2张，并提供U盘一个。</w:t>
            </w:r>
          </w:p>
        </w:tc>
      </w:tr>
      <w:tr w14:paraId="3801A3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57208C74">
            <w:pPr>
              <w:spacing w:line="320" w:lineRule="exact"/>
              <w:jc w:val="center"/>
              <w:rPr>
                <w:color w:val="auto"/>
                <w:highlight w:val="none"/>
                <w:shd w:val="clear" w:color="auto" w:fill="FFFFFF" w:themeFill="background1"/>
              </w:rPr>
            </w:pPr>
            <w:r>
              <w:rPr>
                <w:rFonts w:hint="eastAsia" w:ascii="宋体" w:hAnsi="宋体" w:cs="宋体"/>
                <w:b/>
                <w:bCs/>
                <w:snapToGrid w:val="0"/>
                <w:color w:val="auto"/>
                <w:kern w:val="0"/>
                <w:szCs w:val="21"/>
                <w:highlight w:val="none"/>
                <w:shd w:val="clear" w:color="auto" w:fill="FFFFFF" w:themeFill="background1"/>
              </w:rPr>
              <w:t>投标报价要求</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23C5F6BD">
            <w:pPr>
              <w:wordWrap w:val="0"/>
              <w:spacing w:beforeLines="25" w:afterLines="25" w:line="360" w:lineRule="auto"/>
              <w:ind w:firstLine="422"/>
              <w:rPr>
                <w:rFonts w:ascii="宋体" w:hAnsi="宋体" w:cs="仿宋"/>
                <w:color w:val="auto"/>
                <w:kern w:val="0"/>
                <w:szCs w:val="21"/>
                <w:highlight w:val="none"/>
                <w:shd w:val="clear" w:color="auto" w:fill="FFFFFF" w:themeFill="background1"/>
              </w:rPr>
            </w:pPr>
            <w:r>
              <w:rPr>
                <w:rFonts w:hint="eastAsia" w:ascii="宋体" w:hAnsi="宋体"/>
                <w:color w:val="auto"/>
                <w:szCs w:val="21"/>
                <w:highlight w:val="none"/>
                <w:shd w:val="clear" w:color="auto" w:fill="FFFFFF" w:themeFill="background1"/>
              </w:rPr>
              <w:t>本项目地形测量和地质勘察为固定单价包干，其它项目为单项固定总价包干。服务费包含完成本项目所有工作任务所需的一切费用（含但不限于完成项目过程中所需的劳务、材料、设备、仪器、运输、检测与试验、安全警戒、评审、咨询、会务、管理、保险、税费、利润等费用，以及合同明示或暗示的所有责任、义务和一般风险等各种费用在内，另外还包括本项目采购代理费用）。</w:t>
            </w:r>
          </w:p>
        </w:tc>
      </w:tr>
      <w:tr w14:paraId="4B8E3C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48ADEB7B">
            <w:pPr>
              <w:spacing w:line="320" w:lineRule="exact"/>
              <w:jc w:val="center"/>
              <w:rPr>
                <w:color w:val="auto"/>
                <w:highlight w:val="none"/>
                <w:shd w:val="clear" w:color="auto" w:fill="FFFFFF" w:themeFill="background1"/>
              </w:rPr>
            </w:pPr>
            <w:r>
              <w:rPr>
                <w:rFonts w:hint="eastAsia" w:ascii="宋体" w:hAnsi="宋体" w:cs="宋体"/>
                <w:b/>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付款方式</w:t>
            </w:r>
          </w:p>
        </w:tc>
        <w:tc>
          <w:tcPr>
            <w:tcW w:w="8049" w:type="dxa"/>
            <w:gridSpan w:val="4"/>
            <w:tcBorders>
              <w:top w:val="single" w:color="000000" w:sz="4" w:space="0"/>
              <w:left w:val="single" w:color="000000" w:sz="4" w:space="0"/>
              <w:bottom w:val="single" w:color="000000" w:sz="4" w:space="0"/>
              <w:right w:val="single" w:color="000000" w:sz="4" w:space="0"/>
            </w:tcBorders>
            <w:noWrap/>
          </w:tcPr>
          <w:p w14:paraId="4EC9A567">
            <w:pPr>
              <w:wordWrap w:val="0"/>
              <w:spacing w:beforeLines="25" w:afterLines="25" w:line="340" w:lineRule="exact"/>
              <w:ind w:firstLine="422"/>
              <w:rPr>
                <w:rFonts w:hint="eastAsia" w:ascii="宋体" w:hAnsi="宋体" w:cs="宋体"/>
                <w:b/>
                <w:bCs/>
                <w:color w:val="auto"/>
                <w:szCs w:val="21"/>
                <w:highlight w:val="none"/>
                <w:shd w:val="clear" w:color="auto" w:fill="FFFFFF" w:themeFill="background1"/>
              </w:rPr>
            </w:pPr>
            <w:r>
              <w:rPr>
                <w:rFonts w:hint="eastAsia" w:ascii="宋体" w:hAnsi="宋体" w:cs="宋体"/>
                <w:b/>
                <w:bCs/>
                <w:color w:val="auto"/>
                <w:szCs w:val="21"/>
                <w:highlight w:val="none"/>
                <w:shd w:val="clear" w:color="auto" w:fill="FFFFFF" w:themeFill="background1"/>
              </w:rPr>
              <w:t>1.预付款</w:t>
            </w:r>
          </w:p>
          <w:p w14:paraId="41A5F668">
            <w:pPr>
              <w:wordWrap w:val="0"/>
              <w:spacing w:beforeLines="25" w:afterLines="25" w:line="340" w:lineRule="exact"/>
              <w:ind w:firstLine="422"/>
              <w:rPr>
                <w:rFonts w:hint="eastAsia" w:ascii="宋体" w:hAnsi="宋体" w:cs="宋体"/>
                <w:b w:val="0"/>
                <w:bCs w:val="0"/>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合同签署后，由承包人提交预付款支付申请，采购人收到预付款支付申请后的28天内，向承包人支付合同价的30%作为预付款；承包人应当提供等额的增值税发票；本合同履行后，预付款抵作进度款，不再扣回。</w:t>
            </w:r>
          </w:p>
          <w:p w14:paraId="66E29F19">
            <w:pPr>
              <w:wordWrap w:val="0"/>
              <w:spacing w:beforeLines="25" w:afterLines="25" w:line="340" w:lineRule="exact"/>
              <w:ind w:firstLine="422"/>
              <w:rPr>
                <w:rFonts w:hint="eastAsia" w:ascii="宋体" w:hAnsi="宋体" w:cs="宋体"/>
                <w:b/>
                <w:bCs/>
                <w:color w:val="auto"/>
                <w:szCs w:val="21"/>
                <w:highlight w:val="none"/>
                <w:shd w:val="clear" w:color="auto" w:fill="FFFFFF" w:themeFill="background1"/>
              </w:rPr>
            </w:pPr>
            <w:r>
              <w:rPr>
                <w:rFonts w:hint="eastAsia" w:ascii="宋体" w:hAnsi="宋体" w:cs="宋体"/>
                <w:b/>
                <w:bCs/>
                <w:color w:val="auto"/>
                <w:szCs w:val="21"/>
                <w:highlight w:val="none"/>
                <w:shd w:val="clear" w:color="auto" w:fill="FFFFFF" w:themeFill="background1"/>
              </w:rPr>
              <w:t>2.中期支付</w:t>
            </w:r>
          </w:p>
          <w:p w14:paraId="71F3C58B">
            <w:pPr>
              <w:wordWrap w:val="0"/>
              <w:spacing w:beforeLines="25" w:afterLines="25" w:line="340" w:lineRule="exact"/>
              <w:ind w:firstLine="422"/>
              <w:rPr>
                <w:rFonts w:hint="eastAsia" w:ascii="宋体" w:hAnsi="宋体" w:cs="宋体"/>
                <w:b w:val="0"/>
                <w:bCs w:val="0"/>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1）勘察外业结束并经发包人组织专家验收合格后，由承包人提交进度款支付申请，采购人收到进度款支付申请后的28天内，向承包人支付至相应费用合同价的95%（含相应的预付款）；承包人应当提供等额的增值税发票。</w:t>
            </w:r>
          </w:p>
          <w:p w14:paraId="5AF1D847">
            <w:pPr>
              <w:wordWrap w:val="0"/>
              <w:spacing w:beforeLines="25" w:afterLines="25" w:line="340" w:lineRule="exact"/>
              <w:ind w:firstLine="422"/>
              <w:rPr>
                <w:rFonts w:hint="eastAsia" w:ascii="宋体" w:hAnsi="宋体" w:cs="宋体"/>
                <w:b w:val="0"/>
                <w:bCs w:val="0"/>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（2）完成方案设计及专题报告送审稿后，由承包人提交进度款支付申请，采购人收到进度款支付申请后的14天内，向承包人支付至相应费用合同价的80%（含相应的预付款）；承包人应当提供等额的增值税发票。</w:t>
            </w:r>
          </w:p>
          <w:p w14:paraId="21CB4F58">
            <w:pPr>
              <w:wordWrap w:val="0"/>
              <w:spacing w:beforeLines="25" w:afterLines="25" w:line="340" w:lineRule="exact"/>
              <w:ind w:firstLine="422"/>
              <w:rPr>
                <w:rFonts w:hint="eastAsia" w:ascii="宋体" w:hAnsi="宋体" w:cs="宋体"/>
                <w:b/>
                <w:bCs/>
                <w:color w:val="auto"/>
                <w:szCs w:val="21"/>
                <w:highlight w:val="none"/>
                <w:shd w:val="clear" w:color="auto" w:fill="FFFFFF" w:themeFill="background1"/>
              </w:rPr>
            </w:pPr>
            <w:r>
              <w:rPr>
                <w:rFonts w:hint="eastAsia" w:ascii="宋体" w:hAnsi="宋体" w:cs="宋体"/>
                <w:b/>
                <w:bCs/>
                <w:color w:val="auto"/>
                <w:szCs w:val="21"/>
                <w:highlight w:val="none"/>
                <w:shd w:val="clear" w:color="auto" w:fill="FFFFFF" w:themeFill="background1"/>
              </w:rPr>
              <w:t>3. 费用结算</w:t>
            </w:r>
          </w:p>
          <w:p w14:paraId="67B1078C">
            <w:pPr>
              <w:wordWrap w:val="0"/>
              <w:spacing w:beforeLines="25" w:afterLines="25" w:line="340" w:lineRule="exact"/>
              <w:ind w:firstLine="422"/>
              <w:rPr>
                <w:rFonts w:hint="eastAsia" w:ascii="宋体" w:hAnsi="宋体" w:cs="宋体"/>
                <w:b w:val="0"/>
                <w:bCs w:val="0"/>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所有合同工作完成且锚地发布使用后，由承包人向发包人提交费用结算申请，并提交经验收合格的成果资料和相关证明材料，发包人收到费用结算申请后的28天内完成审批或答复。</w:t>
            </w:r>
          </w:p>
          <w:p w14:paraId="74E7CA8A">
            <w:pPr>
              <w:wordWrap w:val="0"/>
              <w:spacing w:beforeLines="25" w:afterLines="25" w:line="340" w:lineRule="exact"/>
              <w:ind w:firstLine="422"/>
              <w:rPr>
                <w:rFonts w:hint="eastAsia" w:ascii="宋体" w:hAnsi="宋体" w:cs="宋体"/>
                <w:b w:val="0"/>
                <w:bCs w:val="0"/>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（1）勘察工作根据实际完成测量面积、钻孔数量和合同单价进行费用结算；</w:t>
            </w:r>
          </w:p>
          <w:p w14:paraId="496A181B">
            <w:pPr>
              <w:wordWrap w:val="0"/>
              <w:spacing w:beforeLines="25" w:afterLines="25" w:line="340" w:lineRule="exact"/>
              <w:ind w:firstLine="422"/>
              <w:rPr>
                <w:rFonts w:hint="eastAsia" w:ascii="宋体" w:hAnsi="宋体" w:cs="宋体"/>
                <w:b w:val="0"/>
                <w:bCs w:val="0"/>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（2）在合同实施期间，方案设计及专题报告编制服务费用不调整，但如双方约定增加专题研究的，根据实际完成情况按约定进行费用结算；</w:t>
            </w:r>
          </w:p>
          <w:p w14:paraId="367EB6B4">
            <w:pPr>
              <w:wordWrap w:val="0"/>
              <w:spacing w:beforeLines="25" w:afterLines="25" w:line="340" w:lineRule="exact"/>
              <w:ind w:firstLine="422"/>
              <w:rPr>
                <w:rFonts w:ascii="宋体" w:hAnsi="宋体"/>
                <w:color w:val="auto"/>
                <w:szCs w:val="21"/>
                <w:highlight w:val="none"/>
                <w:shd w:val="clear" w:color="auto" w:fill="FFFFFF" w:themeFill="background1"/>
              </w:rPr>
            </w:pPr>
            <w:r>
              <w:rPr>
                <w:rFonts w:hint="eastAsia" w:ascii="宋体" w:hAnsi="宋体" w:cs="宋体"/>
                <w:b w:val="0"/>
                <w:bCs w:val="0"/>
                <w:color w:val="auto"/>
                <w:szCs w:val="21"/>
                <w:highlight w:val="none"/>
                <w:shd w:val="clear" w:color="auto" w:fill="FFFFFF" w:themeFill="background1"/>
              </w:rPr>
              <w:t>（3）结算后导致合同费用增加的，增加的费用不超过签约合同价的10%，且最终合同价格总额不超过635万元。</w:t>
            </w:r>
          </w:p>
        </w:tc>
      </w:tr>
      <w:tr w14:paraId="6B359F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48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26763179">
            <w:pPr>
              <w:spacing w:line="320" w:lineRule="exact"/>
              <w:jc w:val="center"/>
              <w:rPr>
                <w:color w:val="auto"/>
                <w:highlight w:val="none"/>
                <w:shd w:val="clear" w:color="auto" w:fill="FFFFFF" w:themeFill="background1"/>
              </w:rPr>
            </w:pPr>
            <w:r>
              <w:rPr>
                <w:rFonts w:hint="eastAsia" w:ascii="宋体" w:hAnsi="宋体" w:cs="宋体"/>
                <w:b/>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成果验收要求</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206FF726">
            <w:pPr>
              <w:spacing w:line="440" w:lineRule="exact"/>
              <w:ind w:firstLine="422"/>
              <w:rPr>
                <w:rFonts w:hint="eastAsia" w:ascii="宋体" w:hAnsi="宋体"/>
                <w:bCs/>
                <w:color w:val="auto"/>
                <w:szCs w:val="21"/>
                <w:highlight w:val="none"/>
                <w:shd w:val="clear" w:color="auto" w:fill="FFFFFF" w:themeFill="background1"/>
              </w:rPr>
            </w:pPr>
            <w:r>
              <w:rPr>
                <w:rFonts w:hint="eastAsia" w:ascii="宋体" w:hAnsi="宋体"/>
                <w:bCs/>
                <w:color w:val="auto"/>
                <w:szCs w:val="21"/>
                <w:highlight w:val="none"/>
                <w:shd w:val="clear" w:color="auto" w:fill="FFFFFF" w:themeFill="background1"/>
              </w:rPr>
              <w:t>1.供应商按要求完成本项目所有勘察工作任务并提供成果文件后，由采购方组织专家验收，验收过程所产生的专家咨询费等相关费用由供应商承担。</w:t>
            </w:r>
          </w:p>
          <w:p w14:paraId="219A8511">
            <w:pPr>
              <w:spacing w:line="440" w:lineRule="exact"/>
              <w:ind w:firstLine="422"/>
              <w:rPr>
                <w:rFonts w:ascii="宋体" w:hAnsi="宋体"/>
                <w:color w:val="auto"/>
                <w:szCs w:val="21"/>
                <w:highlight w:val="none"/>
                <w:shd w:val="clear" w:color="auto" w:fill="FFFFFF" w:themeFill="background1"/>
              </w:rPr>
            </w:pPr>
            <w:r>
              <w:rPr>
                <w:rFonts w:hint="eastAsia" w:ascii="宋体" w:hAnsi="宋体"/>
                <w:bCs/>
                <w:color w:val="auto"/>
                <w:szCs w:val="21"/>
                <w:highlight w:val="none"/>
                <w:shd w:val="clear" w:color="auto" w:fill="FFFFFF" w:themeFill="background1"/>
              </w:rPr>
              <w:t>2.供应商按要求完成本项目完成方案设计及有关专题报告编制工作任务并提供成果文件后，供应商应协助采购方报送海事机构评审，评审过程所产生的专家咨询费等相关费用由供应商承担。</w:t>
            </w:r>
          </w:p>
        </w:tc>
      </w:tr>
      <w:tr w14:paraId="667017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48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496CB790">
            <w:pPr>
              <w:spacing w:line="320" w:lineRule="exact"/>
              <w:jc w:val="center"/>
              <w:rPr>
                <w:rFonts w:hint="eastAsia" w:ascii="宋体" w:hAnsi="宋体" w:cs="宋体"/>
                <w:b/>
                <w:color w:val="auto"/>
                <w:szCs w:val="21"/>
                <w:highlight w:val="none"/>
                <w:shd w:val="clear" w:color="auto" w:fill="FFFFFF" w:themeFill="background1"/>
              </w:rPr>
            </w:pPr>
            <w:r>
              <w:rPr>
                <w:rFonts w:hint="eastAsia" w:ascii="宋体" w:hAnsi="宋体" w:cs="宋体"/>
                <w:b/>
                <w:color w:val="auto"/>
                <w:szCs w:val="21"/>
                <w:highlight w:val="none"/>
                <w:shd w:val="clear" w:color="auto" w:fill="FFFFFF" w:themeFill="background1"/>
              </w:rPr>
              <w:t>后续服务</w:t>
            </w:r>
          </w:p>
        </w:tc>
        <w:tc>
          <w:tcPr>
            <w:tcW w:w="8049" w:type="dxa"/>
            <w:gridSpan w:val="4"/>
            <w:tcBorders>
              <w:top w:val="single" w:color="000000" w:sz="4" w:space="0"/>
              <w:left w:val="single" w:color="000000" w:sz="4" w:space="0"/>
              <w:bottom w:val="single" w:color="000000" w:sz="4" w:space="0"/>
              <w:right w:val="single" w:color="000000" w:sz="4" w:space="0"/>
            </w:tcBorders>
            <w:noWrap/>
            <w:vAlign w:val="top"/>
          </w:tcPr>
          <w:p w14:paraId="5E1BB5C9">
            <w:pPr>
              <w:spacing w:line="440" w:lineRule="exact"/>
              <w:ind w:firstLine="422" w:firstLineChars="0"/>
              <w:rPr>
                <w:rFonts w:hint="eastAsia" w:ascii="宋体" w:hAnsi="宋体"/>
                <w:bCs/>
                <w:color w:val="auto"/>
                <w:szCs w:val="21"/>
                <w:highlight w:val="none"/>
                <w:shd w:val="clear" w:color="auto" w:fill="FFFFFF" w:themeFill="background1"/>
              </w:rPr>
            </w:pPr>
            <w:r>
              <w:rPr>
                <w:rFonts w:hint="eastAsia" w:ascii="宋体" w:hAnsi="宋体" w:cs="宋体"/>
                <w:bCs/>
                <w:color w:val="auto"/>
                <w:szCs w:val="21"/>
                <w:highlight w:val="none"/>
                <w:shd w:val="clear" w:color="auto" w:fill="FFFFFF" w:themeFill="background1"/>
              </w:rPr>
              <w:t>供应商协助采购人办理申请锚地划定手续，直至海事管理机构对外发布锚地公告。在海事管理机构对外发布相应锚地的公告后，6个月内在海事局出版发行的海图上体现公告内容。</w:t>
            </w:r>
          </w:p>
        </w:tc>
      </w:tr>
      <w:tr w14:paraId="674BE1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0DDB8D48">
            <w:pPr>
              <w:spacing w:line="360" w:lineRule="exact"/>
              <w:jc w:val="center"/>
              <w:rPr>
                <w:rFonts w:ascii="宋体" w:hAnsi="宋体" w:cs="仿宋"/>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售后服务要求</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5B7A589A">
            <w:pPr>
              <w:widowControl/>
              <w:spacing w:line="360" w:lineRule="auto"/>
              <w:jc w:val="left"/>
              <w:rPr>
                <w:rFonts w:ascii="宋体" w:hAnsi="宋体" w:cs="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1）</w:t>
            </w:r>
            <w:r>
              <w:rPr>
                <w:rFonts w:ascii="宋体" w:hAnsi="宋体" w:cs="宋体"/>
                <w:color w:val="auto"/>
                <w:szCs w:val="21"/>
                <w:highlight w:val="none"/>
                <w:shd w:val="clear" w:color="auto" w:fill="FFFFFF" w:themeFill="background1"/>
              </w:rPr>
              <w:t>处理问题响应时间：接到采购人处理问题通知后</w:t>
            </w:r>
            <w:r>
              <w:rPr>
                <w:rFonts w:hint="eastAsia" w:ascii="宋体" w:hAnsi="宋体" w:cs="宋体"/>
                <w:color w:val="auto"/>
                <w:szCs w:val="21"/>
                <w:highlight w:val="none"/>
                <w:shd w:val="clear" w:color="auto" w:fill="FFFFFF" w:themeFill="background1"/>
              </w:rPr>
              <w:t>24</w:t>
            </w:r>
            <w:r>
              <w:rPr>
                <w:rFonts w:ascii="宋体" w:hAnsi="宋体" w:cs="宋体"/>
                <w:color w:val="auto"/>
                <w:szCs w:val="21"/>
                <w:highlight w:val="none"/>
                <w:shd w:val="clear" w:color="auto" w:fill="FFFFFF" w:themeFill="background1"/>
              </w:rPr>
              <w:t>小时内到达采购人指定现场。</w:t>
            </w:r>
          </w:p>
          <w:p w14:paraId="41EB8406">
            <w:pPr>
              <w:widowControl/>
              <w:spacing w:line="360" w:lineRule="auto"/>
              <w:jc w:val="left"/>
              <w:rPr>
                <w:rFonts w:ascii="宋体" w:hAnsi="宋体" w:cs="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2</w:t>
            </w: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承包人</w:t>
            </w:r>
            <w:r>
              <w:rPr>
                <w:rFonts w:ascii="宋体" w:hAnsi="宋体" w:cs="宋体"/>
                <w:color w:val="auto"/>
                <w:szCs w:val="21"/>
                <w:highlight w:val="none"/>
                <w:shd w:val="clear" w:color="auto" w:fill="FFFFFF" w:themeFill="background1"/>
              </w:rPr>
              <w:t>应按照国家有关政策，承担本项目必要的基础数据资料收集，完成整个项目的服务工作，并保证资料数据准确，满足服务要求，且费用由承包人承担。</w:t>
            </w:r>
          </w:p>
          <w:p w14:paraId="7A1E3659">
            <w:pPr>
              <w:widowControl/>
              <w:spacing w:line="360" w:lineRule="auto"/>
              <w:jc w:val="left"/>
              <w:rPr>
                <w:rFonts w:ascii="宋体" w:hAnsi="宋体" w:cs="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3</w:t>
            </w:r>
            <w:r>
              <w:rPr>
                <w:rFonts w:ascii="宋体" w:hAnsi="宋体" w:cs="宋体"/>
                <w:color w:val="auto"/>
                <w:szCs w:val="21"/>
                <w:highlight w:val="none"/>
                <w:shd w:val="clear" w:color="auto" w:fill="FFFFFF" w:themeFill="background1"/>
              </w:rPr>
              <w:t>）该项目全程服务过程中所发生的一切费用均由</w:t>
            </w:r>
            <w:r>
              <w:rPr>
                <w:rFonts w:hint="eastAsia" w:ascii="宋体" w:hAnsi="宋体" w:cs="宋体"/>
                <w:color w:val="auto"/>
                <w:szCs w:val="21"/>
                <w:highlight w:val="none"/>
                <w:shd w:val="clear" w:color="auto" w:fill="FFFFFF" w:themeFill="background1"/>
              </w:rPr>
              <w:t>承包人</w:t>
            </w:r>
            <w:r>
              <w:rPr>
                <w:rFonts w:ascii="宋体" w:hAnsi="宋体" w:cs="宋体"/>
                <w:color w:val="auto"/>
                <w:szCs w:val="21"/>
                <w:highlight w:val="none"/>
                <w:shd w:val="clear" w:color="auto" w:fill="FFFFFF" w:themeFill="background1"/>
              </w:rPr>
              <w:t>自行承担。</w:t>
            </w:r>
          </w:p>
          <w:p w14:paraId="1EC3F5EC">
            <w:pPr>
              <w:widowControl/>
              <w:spacing w:line="360" w:lineRule="auto"/>
              <w:jc w:val="left"/>
              <w:rPr>
                <w:rFonts w:ascii="宋体" w:hAnsi="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4</w:t>
            </w: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承包人</w:t>
            </w:r>
            <w:r>
              <w:rPr>
                <w:rFonts w:ascii="宋体" w:hAnsi="宋体" w:cs="宋体"/>
                <w:color w:val="auto"/>
                <w:szCs w:val="21"/>
                <w:highlight w:val="none"/>
                <w:shd w:val="clear" w:color="auto" w:fill="FFFFFF" w:themeFill="background1"/>
              </w:rPr>
              <w:t>不得以任何形式向与本项目无关的其他单位或人员提供本项目资料及所附的有关资料，如违反，必须赔偿采购人的所有损失，且采购人保留追究法律责任的权力。</w:t>
            </w:r>
          </w:p>
        </w:tc>
      </w:tr>
      <w:tr w14:paraId="088C4A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jc w:val="center"/>
        </w:trPr>
        <w:tc>
          <w:tcPr>
            <w:tcW w:w="1547" w:type="dxa"/>
            <w:gridSpan w:val="2"/>
            <w:tcBorders>
              <w:top w:val="single" w:color="000000" w:sz="4" w:space="0"/>
              <w:left w:val="single" w:color="000000" w:sz="4" w:space="0"/>
              <w:bottom w:val="single" w:color="000000" w:sz="4" w:space="0"/>
              <w:right w:val="single" w:color="000000" w:sz="4" w:space="0"/>
            </w:tcBorders>
            <w:noWrap/>
            <w:vAlign w:val="center"/>
          </w:tcPr>
          <w:p w14:paraId="302CAF41">
            <w:pPr>
              <w:spacing w:line="360" w:lineRule="exact"/>
              <w:jc w:val="center"/>
              <w:rPr>
                <w:rFonts w:ascii="宋体" w:hAnsi="宋体" w:cs="宋体"/>
                <w:b/>
                <w:color w:val="auto"/>
                <w:szCs w:val="21"/>
                <w:highlight w:val="none"/>
                <w:shd w:val="clear" w:color="auto" w:fill="FFFFFF" w:themeFill="background1"/>
              </w:rPr>
            </w:pPr>
            <w:r>
              <w:rPr>
                <w:rFonts w:ascii="宋体" w:hAnsi="宋体" w:cs="宋体"/>
                <w:b/>
                <w:bCs/>
                <w:color w:val="auto"/>
                <w:szCs w:val="21"/>
                <w:highlight w:val="none"/>
                <w:shd w:val="clear" w:color="auto" w:fill="FFFFFF" w:themeFill="background1"/>
              </w:rPr>
              <w:t>其他</w:t>
            </w:r>
          </w:p>
        </w:tc>
        <w:tc>
          <w:tcPr>
            <w:tcW w:w="8049" w:type="dxa"/>
            <w:gridSpan w:val="4"/>
            <w:tcBorders>
              <w:top w:val="single" w:color="000000" w:sz="4" w:space="0"/>
              <w:left w:val="single" w:color="000000" w:sz="4" w:space="0"/>
              <w:bottom w:val="single" w:color="000000" w:sz="4" w:space="0"/>
              <w:right w:val="single" w:color="000000" w:sz="4" w:space="0"/>
            </w:tcBorders>
            <w:noWrap/>
            <w:vAlign w:val="center"/>
          </w:tcPr>
          <w:p w14:paraId="00B1B660">
            <w:pPr>
              <w:widowControl/>
              <w:spacing w:line="360" w:lineRule="auto"/>
              <w:jc w:val="left"/>
              <w:rPr>
                <w:rFonts w:ascii="宋体" w:hAnsi="宋体" w:cs="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1</w:t>
            </w: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投标人如需现场考察，可自行前往费用</w:t>
            </w:r>
            <w:r>
              <w:rPr>
                <w:rFonts w:ascii="宋体" w:hAnsi="宋体" w:cs="宋体"/>
                <w:color w:val="auto"/>
                <w:szCs w:val="21"/>
                <w:highlight w:val="none"/>
                <w:shd w:val="clear" w:color="auto" w:fill="FFFFFF" w:themeFill="background1"/>
              </w:rPr>
              <w:t>自理</w:t>
            </w:r>
            <w:r>
              <w:rPr>
                <w:rFonts w:hint="eastAsia" w:ascii="宋体" w:hAnsi="宋体" w:cs="宋体"/>
                <w:color w:val="auto"/>
                <w:szCs w:val="21"/>
                <w:highlight w:val="none"/>
                <w:shd w:val="clear" w:color="auto" w:fill="FFFFFF" w:themeFill="background1"/>
              </w:rPr>
              <w:t>，且在考察过程中的一切风险及人员伤害由投标人自行承担。</w:t>
            </w:r>
          </w:p>
          <w:p w14:paraId="678C04F1">
            <w:pPr>
              <w:widowControl/>
              <w:spacing w:line="360" w:lineRule="auto"/>
              <w:jc w:val="left"/>
              <w:rPr>
                <w:rFonts w:ascii="宋体" w:hAnsi="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2</w:t>
            </w:r>
            <w:r>
              <w:rPr>
                <w:rFonts w:ascii="宋体" w:hAnsi="宋体" w:cs="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供应商</w:t>
            </w:r>
            <w:r>
              <w:rPr>
                <w:rFonts w:ascii="宋体" w:hAnsi="宋体" w:cs="宋体"/>
                <w:color w:val="auto"/>
                <w:szCs w:val="21"/>
                <w:highlight w:val="none"/>
                <w:shd w:val="clear" w:color="auto" w:fill="FFFFFF" w:themeFill="background1"/>
              </w:rPr>
              <w:t>应针对本项目的特殊性和项目所在地的地理、人文、环境进行综合的评估，谨慎报价，合理安排各项工作。</w:t>
            </w:r>
          </w:p>
        </w:tc>
      </w:tr>
      <w:bookmarkEnd w:id="39"/>
      <w:bookmarkEnd w:id="40"/>
    </w:tbl>
    <w:p w14:paraId="062437D9">
      <w:pPr>
        <w:ind w:firstLine="422"/>
        <w:rPr>
          <w:color w:val="auto"/>
          <w:highlight w:val="none"/>
          <w:shd w:val="clear" w:color="auto" w:fill="FFFFFF" w:themeFill="background1"/>
        </w:rPr>
      </w:pPr>
      <w:bookmarkStart w:id="41" w:name="_Toc158033872"/>
      <w:r>
        <w:rPr>
          <w:rFonts w:hint="eastAsia"/>
          <w:color w:val="auto"/>
          <w:highlight w:val="none"/>
          <w:shd w:val="clear" w:color="auto" w:fill="FFFFFF" w:themeFill="background1"/>
        </w:rPr>
        <w:br w:type="page"/>
      </w:r>
    </w:p>
    <w:p w14:paraId="1C41A1B1">
      <w:pPr>
        <w:pStyle w:val="3"/>
        <w:keepNext w:val="0"/>
        <w:keepLines w:val="0"/>
        <w:tabs>
          <w:tab w:val="left" w:pos="0"/>
          <w:tab w:val="left" w:pos="3165"/>
          <w:tab w:val="center" w:pos="4153"/>
        </w:tabs>
        <w:autoSpaceDE w:val="0"/>
        <w:autoSpaceDN w:val="0"/>
        <w:adjustRightInd w:val="0"/>
        <w:spacing w:before="0" w:after="0" w:line="360" w:lineRule="auto"/>
        <w:ind w:firstLine="883"/>
        <w:jc w:val="center"/>
        <w:rPr>
          <w:color w:val="auto"/>
          <w:highlight w:val="none"/>
          <w:shd w:val="clear" w:color="auto" w:fill="FFFFFF" w:themeFill="background1"/>
        </w:rPr>
      </w:pPr>
      <w:r>
        <w:rPr>
          <w:rFonts w:hint="eastAsia"/>
          <w:color w:val="auto"/>
          <w:highlight w:val="none"/>
          <w:shd w:val="clear" w:color="auto" w:fill="FFFFFF" w:themeFill="background1"/>
        </w:rPr>
        <w:t>第三章投标人须知</w:t>
      </w:r>
      <w:bookmarkEnd w:id="41"/>
    </w:p>
    <w:p w14:paraId="31BA5603">
      <w:pPr>
        <w:ind w:firstLine="723"/>
        <w:jc w:val="center"/>
        <w:rPr>
          <w:color w:val="auto"/>
          <w:sz w:val="36"/>
          <w:szCs w:val="36"/>
          <w:highlight w:val="none"/>
          <w:shd w:val="clear" w:color="auto" w:fill="FFFFFF" w:themeFill="background1"/>
        </w:rPr>
      </w:pPr>
      <w:bookmarkStart w:id="42" w:name="_Toc254970526"/>
      <w:bookmarkStart w:id="43" w:name="_Toc254970667"/>
      <w:r>
        <w:rPr>
          <w:rFonts w:hint="eastAsia"/>
          <w:color w:val="auto"/>
          <w:sz w:val="36"/>
          <w:szCs w:val="36"/>
          <w:highlight w:val="none"/>
          <w:shd w:val="clear" w:color="auto" w:fill="FFFFFF" w:themeFill="background1"/>
        </w:rPr>
        <w:t>投标人须知前附表</w:t>
      </w:r>
      <w:bookmarkEnd w:id="42"/>
      <w:bookmarkEnd w:id="43"/>
    </w:p>
    <w:tbl>
      <w:tblPr>
        <w:tblStyle w:val="62"/>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1022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DC923D3">
            <w:pPr>
              <w:snapToGrid w:val="0"/>
              <w:spacing w:line="360" w:lineRule="auto"/>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58786E1F">
            <w:pPr>
              <w:snapToGrid w:val="0"/>
              <w:spacing w:line="360" w:lineRule="auto"/>
              <w:ind w:firstLine="422"/>
              <w:jc w:val="center"/>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编列内容</w:t>
            </w:r>
          </w:p>
        </w:tc>
      </w:tr>
      <w:tr w14:paraId="30302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3EDEF0A">
            <w:pPr>
              <w:spacing w:line="360" w:lineRule="auto"/>
              <w:jc w:val="center"/>
              <w:rPr>
                <w:rFonts w:ascii="宋体" w:hAnsi="宋体"/>
                <w:color w:val="auto"/>
                <w:szCs w:val="21"/>
                <w:highlight w:val="none"/>
                <w:shd w:val="clear" w:color="auto" w:fill="FFFFFF" w:themeFill="background1"/>
              </w:rPr>
            </w:pPr>
            <w:bookmarkStart w:id="44" w:name="_5"/>
            <w:bookmarkEnd w:id="44"/>
            <w:bookmarkStart w:id="45" w:name="_8.1"/>
            <w:bookmarkEnd w:id="45"/>
            <w:bookmarkStart w:id="46" w:name="_9.2"/>
            <w:bookmarkEnd w:id="46"/>
            <w:r>
              <w:rPr>
                <w:rFonts w:hint="eastAsia" w:ascii="宋体" w:hAnsi="宋体"/>
                <w:color w:val="auto"/>
                <w:szCs w:val="21"/>
                <w:highlight w:val="none"/>
                <w:shd w:val="clear" w:color="auto" w:fill="FFFFFF" w:themeFill="background1"/>
              </w:rPr>
              <w:t>6.1</w:t>
            </w:r>
          </w:p>
        </w:tc>
        <w:tc>
          <w:tcPr>
            <w:tcW w:w="8175" w:type="dxa"/>
            <w:tcBorders>
              <w:top w:val="single" w:color="auto" w:sz="4" w:space="0"/>
              <w:left w:val="single" w:color="auto" w:sz="4" w:space="0"/>
              <w:bottom w:val="single" w:color="auto" w:sz="4" w:space="0"/>
              <w:right w:val="single" w:color="auto" w:sz="4" w:space="0"/>
            </w:tcBorders>
            <w:vAlign w:val="center"/>
          </w:tcPr>
          <w:p w14:paraId="691FEE3F">
            <w:pPr>
              <w:pStyle w:val="20"/>
              <w:spacing w:line="360" w:lineRule="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本项目是否接受联合体投标：详见招标公告。</w:t>
            </w:r>
          </w:p>
        </w:tc>
      </w:tr>
      <w:tr w14:paraId="2CB12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6A5B0F3">
            <w:pPr>
              <w:spacing w:line="360" w:lineRule="auto"/>
              <w:jc w:val="center"/>
              <w:rPr>
                <w:rFonts w:hint="default" w:ascii="宋体" w:hAnsi="宋体" w:eastAsia="宋体"/>
                <w:color w:val="auto"/>
                <w:szCs w:val="21"/>
                <w:highlight w:val="none"/>
                <w:shd w:val="clear" w:color="auto" w:fill="FFFFFF" w:themeFill="background1"/>
                <w:lang w:val="en-US" w:eastAsia="zh-CN"/>
              </w:rPr>
            </w:pPr>
            <w:r>
              <w:rPr>
                <w:rFonts w:hint="eastAsia" w:ascii="宋体" w:hAnsi="宋体"/>
                <w:color w:val="auto"/>
                <w:szCs w:val="21"/>
                <w:highlight w:val="none"/>
                <w:shd w:val="clear" w:color="auto" w:fill="FFFFFF" w:themeFill="background1"/>
                <w:lang w:val="en-US" w:eastAsia="zh-CN"/>
              </w:rPr>
              <w:t>6.2</w:t>
            </w:r>
          </w:p>
        </w:tc>
        <w:tc>
          <w:tcPr>
            <w:tcW w:w="8175" w:type="dxa"/>
            <w:tcBorders>
              <w:top w:val="single" w:color="auto" w:sz="4" w:space="0"/>
              <w:left w:val="single" w:color="auto" w:sz="4" w:space="0"/>
              <w:bottom w:val="single" w:color="auto" w:sz="4" w:space="0"/>
              <w:right w:val="single" w:color="auto" w:sz="4" w:space="0"/>
            </w:tcBorders>
            <w:vAlign w:val="center"/>
          </w:tcPr>
          <w:p w14:paraId="24FCAC56">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如接受联合体竞标，联合体竞标要求如下：</w:t>
            </w:r>
          </w:p>
          <w:p w14:paraId="7BA6D59B">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1.两个以上供应商可以组成一个竞标联合体，以一个供应商的身份共同参加竞标。联合体竞标的，须提供《联合体竞标协议书》（格式后附）。</w:t>
            </w:r>
          </w:p>
          <w:p w14:paraId="0E779606">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2.以联合体形式参加竞标的，联合体各方均必须具备《中华人民共和国政府采购法》第二十二条第一款规定的基本条件（涉</w:t>
            </w:r>
            <w:bookmarkStart w:id="358" w:name="_GoBack"/>
            <w:bookmarkEnd w:id="358"/>
            <w:r>
              <w:rPr>
                <w:rFonts w:hint="eastAsia" w:ascii="宋体" w:hAnsi="宋体"/>
                <w:color w:val="auto"/>
                <w:szCs w:val="21"/>
                <w:highlight w:val="none"/>
              </w:rPr>
              <w:t>及行政许可范围的内容，联合体各方均应具备相应资质）。本项目有特殊要求规定供应商特定条件的，联合体各方中至少有一方必须符合磋商文件规定的特定条件。</w:t>
            </w:r>
          </w:p>
          <w:p w14:paraId="30A3D13C">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3.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AAAE839">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4.以联合体形式参加政府采购活动的，联合体各方不得再单独参加或者与其他供应商另外组成联合体参加同一合同项下的政府采购活动。</w:t>
            </w:r>
          </w:p>
          <w:p w14:paraId="54F34224">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5.联合体中有同类资质的供应商按照联合体分工承担相同工作的，应当按照资质等级较低的供应商确定资质等级。</w:t>
            </w:r>
          </w:p>
          <w:p w14:paraId="4348ECEB">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6.联合体竞标业绩、履约能力按照联合体各方中较高的一方认定并计算（磋商文件另有规定的除外）。</w:t>
            </w:r>
          </w:p>
          <w:p w14:paraId="531A51D2">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7.供应商为联合体的，可以由联合体中的一方或者多方共同交纳磋商保证金，其交纳的保证金对联合体各方均具有约束力。</w:t>
            </w:r>
          </w:p>
          <w:p w14:paraId="1F40ECBB">
            <w:pPr>
              <w:pStyle w:val="20"/>
              <w:spacing w:line="360" w:lineRule="auto"/>
              <w:rPr>
                <w:rFonts w:hint="eastAsia" w:ascii="宋体" w:hAnsi="宋体"/>
                <w:color w:val="auto"/>
                <w:szCs w:val="21"/>
                <w:highlight w:val="none"/>
                <w:shd w:val="clear" w:color="auto" w:fill="FFFFFF" w:themeFill="background1"/>
              </w:rPr>
            </w:pPr>
            <w:r>
              <w:rPr>
                <w:rFonts w:hint="eastAsia" w:ascii="宋体" w:hAnsi="宋体"/>
                <w:color w:val="auto"/>
                <w:szCs w:val="21"/>
                <w:highlight w:val="none"/>
              </w:rPr>
              <w:t>8.联合体各方均应按照磋商文件的规定提交资格证明文件。</w:t>
            </w:r>
          </w:p>
        </w:tc>
      </w:tr>
      <w:tr w14:paraId="45CF1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00778FD">
            <w:pPr>
              <w:spacing w:line="360" w:lineRule="auto"/>
              <w:jc w:val="center"/>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7.2</w:t>
            </w:r>
          </w:p>
        </w:tc>
        <w:tc>
          <w:tcPr>
            <w:tcW w:w="8175" w:type="dxa"/>
            <w:tcBorders>
              <w:top w:val="single" w:color="auto" w:sz="4" w:space="0"/>
              <w:left w:val="single" w:color="auto" w:sz="4" w:space="0"/>
              <w:bottom w:val="single" w:color="auto" w:sz="4" w:space="0"/>
              <w:right w:val="single" w:color="auto" w:sz="4" w:space="0"/>
            </w:tcBorders>
            <w:vAlign w:val="center"/>
          </w:tcPr>
          <w:p w14:paraId="1C71AA9C">
            <w:pPr>
              <w:pStyle w:val="20"/>
              <w:spacing w:line="360" w:lineRule="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□不允许分包</w:t>
            </w:r>
          </w:p>
          <w:p w14:paraId="40EC0FC1">
            <w:pPr>
              <w:pStyle w:val="20"/>
              <w:spacing w:line="360" w:lineRule="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eastAsia="zh-CN"/>
              </w:rPr>
              <w:t>☑</w:t>
            </w:r>
            <w:r>
              <w:rPr>
                <w:rFonts w:hint="eastAsia" w:ascii="宋体" w:hAnsi="宋体"/>
                <w:color w:val="auto"/>
                <w:szCs w:val="21"/>
                <w:highlight w:val="none"/>
                <w:shd w:val="clear" w:color="auto" w:fill="FFFFFF" w:themeFill="background1"/>
              </w:rPr>
              <w:t>允许分包</w:t>
            </w:r>
          </w:p>
          <w:p w14:paraId="27E55E71">
            <w:pPr>
              <w:pStyle w:val="20"/>
              <w:spacing w:line="360" w:lineRule="auto"/>
              <w:rPr>
                <w:rFonts w:ascii="宋体" w:hAnsi="宋体"/>
                <w:color w:val="auto"/>
                <w:szCs w:val="21"/>
                <w:highlight w:val="none"/>
                <w:u w:val="single"/>
                <w:shd w:val="clear" w:color="auto" w:fill="FFFFFF" w:themeFill="background1"/>
              </w:rPr>
            </w:pPr>
            <w:r>
              <w:rPr>
                <w:rFonts w:hint="eastAsia" w:ascii="宋体" w:hAnsi="宋体"/>
                <w:color w:val="auto"/>
                <w:szCs w:val="21"/>
                <w:highlight w:val="none"/>
                <w:shd w:val="clear" w:color="auto" w:fill="FFFFFF" w:themeFill="background1"/>
              </w:rPr>
              <w:t>分包内容：专题部分允许分包，</w:t>
            </w:r>
            <w:r>
              <w:rPr>
                <w:rFonts w:hint="eastAsia" w:ascii="宋体" w:hAnsi="宋体"/>
                <w:color w:val="auto"/>
                <w:szCs w:val="21"/>
                <w:highlight w:val="none"/>
                <w:u w:val="single"/>
                <w:shd w:val="clear" w:color="auto" w:fill="FFFFFF" w:themeFill="background1"/>
              </w:rPr>
              <w:t>需经业主同意。</w:t>
            </w:r>
          </w:p>
          <w:p w14:paraId="71777996">
            <w:pPr>
              <w:pStyle w:val="20"/>
              <w:spacing w:line="360" w:lineRule="auto"/>
              <w:jc w:val="both"/>
              <w:rPr>
                <w:rFonts w:ascii="宋体" w:hAnsi="宋体"/>
                <w:color w:val="auto"/>
                <w:szCs w:val="21"/>
                <w:highlight w:val="none"/>
                <w:u w:val="single"/>
                <w:shd w:val="clear" w:color="auto" w:fill="FFFFFF" w:themeFill="background1"/>
              </w:rPr>
            </w:pPr>
            <w:r>
              <w:rPr>
                <w:rFonts w:hint="eastAsia" w:ascii="宋体" w:hAnsi="宋体"/>
                <w:color w:val="auto"/>
                <w:szCs w:val="21"/>
                <w:highlight w:val="none"/>
                <w:shd w:val="clear" w:color="auto" w:fill="FFFFFF" w:themeFill="background1"/>
              </w:rPr>
              <w:t>分包金额或者比例：</w:t>
            </w:r>
            <w:r>
              <w:rPr>
                <w:rFonts w:hint="eastAsia" w:ascii="宋体" w:hAnsi="宋体"/>
                <w:color w:val="auto"/>
                <w:szCs w:val="21"/>
                <w:highlight w:val="none"/>
                <w:u w:val="single"/>
                <w:shd w:val="clear" w:color="auto" w:fill="FFFFFF" w:themeFill="background1"/>
              </w:rPr>
              <w:t>/  。</w:t>
            </w:r>
          </w:p>
        </w:tc>
      </w:tr>
      <w:tr w14:paraId="200BC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41627422">
            <w:pPr>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11.2</w:t>
            </w:r>
          </w:p>
        </w:tc>
        <w:tc>
          <w:tcPr>
            <w:tcW w:w="8175" w:type="dxa"/>
            <w:tcBorders>
              <w:top w:val="single" w:color="auto" w:sz="4" w:space="0"/>
              <w:left w:val="single" w:color="auto" w:sz="4" w:space="0"/>
              <w:bottom w:val="single" w:color="auto" w:sz="4" w:space="0"/>
              <w:right w:val="single" w:color="auto" w:sz="4" w:space="0"/>
            </w:tcBorders>
            <w:vAlign w:val="center"/>
          </w:tcPr>
          <w:p w14:paraId="22841299">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√不组织现场考察</w:t>
            </w:r>
          </w:p>
          <w:p w14:paraId="5A43D012">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□组织现场考察：</w:t>
            </w:r>
          </w:p>
          <w:p w14:paraId="640A5889">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详见《</w:t>
            </w:r>
            <w:r>
              <w:rPr>
                <w:rFonts w:hint="eastAsia"/>
                <w:color w:val="auto"/>
                <w:highlight w:val="none"/>
                <w:shd w:val="clear" w:color="auto" w:fill="FFFFFF" w:themeFill="background1"/>
              </w:rPr>
              <w:t>第二章采购需求</w:t>
            </w:r>
            <w:r>
              <w:rPr>
                <w:rFonts w:hint="eastAsia" w:ascii="宋体" w:hAnsi="宋体"/>
                <w:color w:val="auto"/>
                <w:szCs w:val="21"/>
                <w:highlight w:val="none"/>
                <w:shd w:val="clear" w:color="auto" w:fill="FFFFFF" w:themeFill="background1"/>
              </w:rPr>
              <w:t>》</w:t>
            </w:r>
          </w:p>
        </w:tc>
      </w:tr>
      <w:tr w14:paraId="7C314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33F53576">
            <w:pPr>
              <w:spacing w:line="360" w:lineRule="auto"/>
              <w:ind w:firstLine="422"/>
              <w:jc w:val="center"/>
              <w:rPr>
                <w:rFonts w:ascii="宋体" w:hAnsi="宋体"/>
                <w:color w:val="auto"/>
                <w:szCs w:val="21"/>
                <w:highlight w:val="none"/>
                <w:shd w:val="clear" w:color="auto" w:fill="FFFFFF" w:themeFill="background1"/>
              </w:rPr>
            </w:pPr>
          </w:p>
        </w:tc>
        <w:tc>
          <w:tcPr>
            <w:tcW w:w="8175" w:type="dxa"/>
            <w:tcBorders>
              <w:top w:val="single" w:color="auto" w:sz="4" w:space="0"/>
              <w:left w:val="single" w:color="auto" w:sz="4" w:space="0"/>
              <w:bottom w:val="single" w:color="auto" w:sz="4" w:space="0"/>
              <w:right w:val="single" w:color="auto" w:sz="4" w:space="0"/>
            </w:tcBorders>
            <w:vAlign w:val="center"/>
          </w:tcPr>
          <w:p w14:paraId="18C0B864">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√不组织召开开标前答疑会</w:t>
            </w:r>
          </w:p>
          <w:p w14:paraId="15782042">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□组织召开开标前答疑会</w:t>
            </w:r>
          </w:p>
          <w:p w14:paraId="2A2D596B">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会议开始时间：年月日 时</w:t>
            </w:r>
            <w:r>
              <w:rPr>
                <w:rFonts w:hint="eastAsia" w:ascii="宋体" w:hAnsi="宋体"/>
                <w:color w:val="auto"/>
                <w:szCs w:val="21"/>
                <w:highlight w:val="none"/>
                <w:u w:val="single"/>
                <w:shd w:val="clear" w:color="auto" w:fill="FFFFFF" w:themeFill="background1"/>
              </w:rPr>
              <w:t xml:space="preserve">  分</w:t>
            </w:r>
            <w:r>
              <w:rPr>
                <w:rFonts w:hint="eastAsia" w:ascii="宋体" w:hAnsi="宋体"/>
                <w:color w:val="auto"/>
                <w:szCs w:val="21"/>
                <w:highlight w:val="none"/>
                <w:shd w:val="clear" w:color="auto" w:fill="FFFFFF" w:themeFill="background1"/>
              </w:rPr>
              <w:t>，逾期后果自负。会议地点：</w:t>
            </w:r>
          </w:p>
        </w:tc>
      </w:tr>
      <w:tr w14:paraId="03207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restart"/>
            <w:tcBorders>
              <w:top w:val="single" w:color="auto" w:sz="4" w:space="0"/>
              <w:left w:val="single" w:color="auto" w:sz="4" w:space="0"/>
              <w:right w:val="single" w:color="auto" w:sz="4" w:space="0"/>
            </w:tcBorders>
            <w:vAlign w:val="center"/>
          </w:tcPr>
          <w:p w14:paraId="7601072D">
            <w:pPr>
              <w:spacing w:line="360" w:lineRule="auto"/>
              <w:ind w:firstLine="422"/>
              <w:jc w:val="center"/>
              <w:rPr>
                <w:rFonts w:ascii="宋体" w:hAnsi="宋体"/>
                <w:color w:val="auto"/>
                <w:szCs w:val="21"/>
                <w:highlight w:val="none"/>
                <w:shd w:val="clear" w:color="auto" w:fill="FFFFFF" w:themeFill="background1"/>
              </w:rPr>
            </w:pPr>
            <w:bookmarkStart w:id="47" w:name="_13.1"/>
            <w:bookmarkEnd w:id="47"/>
          </w:p>
          <w:p w14:paraId="5B8B0391">
            <w:pPr>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13</w:t>
            </w:r>
          </w:p>
        </w:tc>
        <w:tc>
          <w:tcPr>
            <w:tcW w:w="8175" w:type="dxa"/>
            <w:tcBorders>
              <w:top w:val="single" w:color="auto" w:sz="4" w:space="0"/>
              <w:left w:val="single" w:color="auto" w:sz="4" w:space="0"/>
              <w:bottom w:val="single" w:color="auto" w:sz="4" w:space="0"/>
              <w:right w:val="single" w:color="auto" w:sz="4" w:space="0"/>
            </w:tcBorders>
            <w:vAlign w:val="center"/>
          </w:tcPr>
          <w:p w14:paraId="1F238A42">
            <w:pPr>
              <w:snapToGrid w:val="0"/>
              <w:spacing w:line="360" w:lineRule="auto"/>
              <w:jc w:val="left"/>
              <w:rPr>
                <w:rFonts w:ascii="宋体" w:hAnsi="宋体" w:cs="Courier New"/>
                <w:b/>
                <w:color w:val="auto"/>
                <w:szCs w:val="21"/>
                <w:highlight w:val="none"/>
                <w:shd w:val="clear" w:color="auto" w:fill="FFFFFF" w:themeFill="background1"/>
              </w:rPr>
            </w:pPr>
            <w:r>
              <w:rPr>
                <w:rFonts w:hint="eastAsia" w:ascii="宋体" w:hAnsi="宋体" w:cs="Courier New"/>
                <w:b/>
                <w:color w:val="auto"/>
                <w:szCs w:val="21"/>
                <w:highlight w:val="none"/>
                <w:shd w:val="clear" w:color="auto" w:fill="FFFFFF" w:themeFill="background1"/>
              </w:rPr>
              <w:t>报价文件：</w:t>
            </w:r>
          </w:p>
          <w:p w14:paraId="5B4DC7A5">
            <w:pPr>
              <w:tabs>
                <w:tab w:val="left" w:pos="459"/>
              </w:tabs>
              <w:snapToGrid w:val="0"/>
              <w:spacing w:line="360" w:lineRule="auto"/>
              <w:ind w:firstLine="210" w:firstLineChars="1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1.投标函（格式后附）；</w:t>
            </w:r>
            <w:r>
              <w:rPr>
                <w:rFonts w:hint="eastAsia" w:ascii="宋体" w:hAnsi="宋体"/>
                <w:b/>
                <w:color w:val="auto"/>
                <w:szCs w:val="21"/>
                <w:highlight w:val="none"/>
                <w:shd w:val="clear" w:color="auto" w:fill="FFFFFF" w:themeFill="background1"/>
              </w:rPr>
              <w:t>（必须提供，否则按无效投标处理）</w:t>
            </w:r>
          </w:p>
          <w:p w14:paraId="3B169456">
            <w:pPr>
              <w:tabs>
                <w:tab w:val="left" w:pos="459"/>
              </w:tabs>
              <w:snapToGrid w:val="0"/>
              <w:spacing w:line="360" w:lineRule="auto"/>
              <w:ind w:firstLine="210" w:firstLineChars="100"/>
              <w:jc w:val="left"/>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2.开标一览表（格式后附）；</w:t>
            </w:r>
            <w:r>
              <w:rPr>
                <w:rFonts w:hint="eastAsia" w:ascii="宋体" w:hAnsi="宋体"/>
                <w:b/>
                <w:color w:val="auto"/>
                <w:szCs w:val="21"/>
                <w:highlight w:val="none"/>
                <w:shd w:val="clear" w:color="auto" w:fill="FFFFFF" w:themeFill="background1"/>
              </w:rPr>
              <w:t>（必须提供，否则按无效投标处理）</w:t>
            </w:r>
          </w:p>
          <w:p w14:paraId="184459E0">
            <w:pPr>
              <w:tabs>
                <w:tab w:val="left" w:pos="459"/>
              </w:tabs>
              <w:snapToGrid w:val="0"/>
              <w:spacing w:line="360" w:lineRule="auto"/>
              <w:ind w:firstLine="210" w:firstLineChars="1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3.分项报价表（格式后附）；</w:t>
            </w:r>
            <w:r>
              <w:rPr>
                <w:rFonts w:hint="eastAsia" w:ascii="宋体" w:hAnsi="宋体"/>
                <w:b/>
                <w:color w:val="auto"/>
                <w:szCs w:val="21"/>
                <w:highlight w:val="none"/>
                <w:shd w:val="clear" w:color="auto" w:fill="FFFFFF" w:themeFill="background1"/>
              </w:rPr>
              <w:t>（必须供，否则按无效投标处理）</w:t>
            </w:r>
          </w:p>
          <w:p w14:paraId="21CA4BFB">
            <w:pPr>
              <w:tabs>
                <w:tab w:val="left" w:pos="459"/>
              </w:tabs>
              <w:snapToGrid w:val="0"/>
              <w:spacing w:line="360" w:lineRule="auto"/>
              <w:ind w:firstLine="210" w:firstLineChars="1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4.投标人针对报价需要说明的其他文件和说明（格式自拟）。</w:t>
            </w:r>
            <w:r>
              <w:rPr>
                <w:rFonts w:hint="eastAsia" w:ascii="宋体" w:hAnsi="宋体"/>
                <w:b/>
                <w:color w:val="auto"/>
                <w:szCs w:val="21"/>
                <w:highlight w:val="none"/>
                <w:shd w:val="clear" w:color="auto" w:fill="FFFFFF" w:themeFill="background1"/>
              </w:rPr>
              <w:t>如《中小企业声明函》</w:t>
            </w:r>
          </w:p>
          <w:p w14:paraId="481A39FD">
            <w:pPr>
              <w:snapToGrid w:val="0"/>
              <w:spacing w:line="360" w:lineRule="auto"/>
              <w:jc w:val="left"/>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注：投标函、开标一览表必须加盖投标人电子签章，必须提供的材料在第六章“投标文件格式”中有要求法定代表人或委托代理人签字的，必须由法定代表人或委托代理人签字（或者电子签名）, 否则按无效投标处理。</w:t>
            </w:r>
          </w:p>
        </w:tc>
      </w:tr>
      <w:tr w14:paraId="0B57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480FDEA6">
            <w:pPr>
              <w:spacing w:line="360" w:lineRule="auto"/>
              <w:ind w:firstLine="422"/>
              <w:rPr>
                <w:rFonts w:ascii="宋体" w:hAnsi="宋体"/>
                <w:color w:val="auto"/>
                <w:szCs w:val="21"/>
                <w:highlight w:val="none"/>
                <w:shd w:val="clear" w:color="auto" w:fill="FFFFFF" w:themeFill="background1"/>
              </w:rPr>
            </w:pPr>
            <w:bookmarkStart w:id="48" w:name="_13.2"/>
            <w:bookmarkEnd w:id="48"/>
          </w:p>
        </w:tc>
        <w:tc>
          <w:tcPr>
            <w:tcW w:w="8175" w:type="dxa"/>
            <w:tcBorders>
              <w:top w:val="single" w:color="auto" w:sz="4" w:space="0"/>
              <w:left w:val="single" w:color="auto" w:sz="4" w:space="0"/>
              <w:bottom w:val="single" w:color="auto" w:sz="4" w:space="0"/>
              <w:right w:val="single" w:color="auto" w:sz="4" w:space="0"/>
            </w:tcBorders>
            <w:vAlign w:val="center"/>
          </w:tcPr>
          <w:p w14:paraId="37BB77B4">
            <w:pPr>
              <w:snapToGrid w:val="0"/>
              <w:spacing w:line="360" w:lineRule="auto"/>
              <w:jc w:val="left"/>
              <w:rPr>
                <w:rFonts w:ascii="宋体" w:hAnsi="宋体" w:cs="Courier New"/>
                <w:b/>
                <w:color w:val="auto"/>
                <w:szCs w:val="21"/>
                <w:highlight w:val="none"/>
                <w:shd w:val="clear" w:color="auto" w:fill="FFFFFF" w:themeFill="background1"/>
              </w:rPr>
            </w:pPr>
            <w:r>
              <w:rPr>
                <w:rFonts w:hint="eastAsia" w:ascii="宋体" w:hAnsi="宋体" w:cs="Courier New"/>
                <w:b/>
                <w:color w:val="auto"/>
                <w:szCs w:val="21"/>
                <w:highlight w:val="none"/>
                <w:shd w:val="clear" w:color="auto" w:fill="FFFFFF" w:themeFill="background1"/>
              </w:rPr>
              <w:t>资格证明文件</w:t>
            </w:r>
          </w:p>
          <w:p w14:paraId="11E2CB21">
            <w:pPr>
              <w:snapToGrid w:val="0"/>
              <w:spacing w:line="360" w:lineRule="auto"/>
              <w:ind w:firstLine="420" w:firstLineChars="200"/>
              <w:jc w:val="left"/>
              <w:rPr>
                <w:rFonts w:ascii="宋体" w:hAnsi="宋体" w:cs="Courier New"/>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1.投标人为法人或者其他组织的，提供营业执照等证明文件</w:t>
            </w:r>
            <w:r>
              <w:rPr>
                <w:rFonts w:hint="eastAsia" w:ascii="宋体" w:hAnsi="宋体" w:cs="宋体"/>
                <w:color w:val="auto"/>
                <w:szCs w:val="21"/>
                <w:highlight w:val="none"/>
                <w:shd w:val="clear" w:color="auto" w:fill="FFFFFF" w:themeFill="background1"/>
              </w:rPr>
              <w:t>（如营业执照或者事业单位法人证书或者</w:t>
            </w:r>
            <w:r>
              <w:rPr>
                <w:rStyle w:val="347"/>
                <w:color w:val="auto"/>
                <w:sz w:val="21"/>
                <w:szCs w:val="21"/>
                <w:highlight w:val="none"/>
                <w:shd w:val="clear" w:color="auto" w:fill="FFFFFF" w:themeFill="background1"/>
              </w:rPr>
              <w:t>执业许可证</w:t>
            </w:r>
            <w:r>
              <w:rPr>
                <w:rFonts w:hint="eastAsia" w:ascii="宋体" w:hAnsi="宋体" w:cs="宋体"/>
                <w:color w:val="auto"/>
                <w:szCs w:val="21"/>
                <w:highlight w:val="none"/>
                <w:shd w:val="clear" w:color="auto" w:fill="FFFFFF" w:themeFill="background1"/>
              </w:rPr>
              <w:t>或者登记证书等）</w:t>
            </w:r>
            <w:r>
              <w:rPr>
                <w:rFonts w:hint="eastAsia" w:ascii="宋体" w:hAnsi="宋体"/>
                <w:color w:val="auto"/>
                <w:szCs w:val="21"/>
                <w:highlight w:val="none"/>
                <w:shd w:val="clear" w:color="auto" w:fill="FFFFFF" w:themeFill="background1"/>
              </w:rPr>
              <w:t>，投标人为自然人的，提供身份证</w:t>
            </w:r>
            <w:r>
              <w:rPr>
                <w:rFonts w:hint="eastAsia" w:ascii="宋体" w:hAnsi="宋体" w:cs="宋体"/>
                <w:color w:val="auto"/>
                <w:szCs w:val="21"/>
                <w:highlight w:val="none"/>
                <w:shd w:val="clear" w:color="auto" w:fill="FFFFFF" w:themeFill="background1"/>
              </w:rPr>
              <w:t>复印件</w:t>
            </w:r>
            <w:r>
              <w:rPr>
                <w:rFonts w:hint="eastAsia" w:ascii="宋体" w:hAnsi="宋体"/>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06B8373D">
            <w:pPr>
              <w:snapToGrid w:val="0"/>
              <w:spacing w:line="360" w:lineRule="auto"/>
              <w:ind w:firstLine="420" w:firstLineChars="200"/>
              <w:jc w:val="left"/>
              <w:rPr>
                <w:rFonts w:ascii="宋体" w:hAnsi="宋体" w:cs="Courier New"/>
                <w:b/>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2.投标人依法缴纳税收的相关材料（</w:t>
            </w:r>
            <w:r>
              <w:rPr>
                <w:rFonts w:ascii="宋体" w:hAnsi="宋体" w:cs="宋体"/>
                <w:color w:val="auto"/>
                <w:szCs w:val="21"/>
                <w:highlight w:val="none"/>
                <w:u w:val="single"/>
                <w:shd w:val="clear" w:color="auto" w:fill="FFFFFF" w:themeFill="background1"/>
              </w:rPr>
              <w:t>202</w:t>
            </w:r>
            <w:r>
              <w:rPr>
                <w:rFonts w:hint="eastAsia" w:ascii="宋体" w:hAnsi="宋体" w:cs="宋体"/>
                <w:color w:val="auto"/>
                <w:szCs w:val="21"/>
                <w:highlight w:val="none"/>
                <w:u w:val="single"/>
                <w:shd w:val="clear" w:color="auto" w:fill="FFFFFF" w:themeFill="background1"/>
                <w:lang w:val="en-US" w:eastAsia="zh-CN"/>
              </w:rPr>
              <w:t>4</w:t>
            </w:r>
            <w:r>
              <w:rPr>
                <w:rFonts w:hint="eastAsia" w:ascii="宋体" w:hAnsi="宋体" w:cs="宋体"/>
                <w:color w:val="auto"/>
                <w:szCs w:val="21"/>
                <w:highlight w:val="none"/>
                <w:shd w:val="clear" w:color="auto" w:fill="FFFFFF" w:themeFill="background1"/>
              </w:rPr>
              <w:t>年</w:t>
            </w:r>
            <w:r>
              <w:rPr>
                <w:rFonts w:hint="eastAsia" w:ascii="宋体" w:hAnsi="宋体" w:cs="宋体"/>
                <w:color w:val="auto"/>
                <w:szCs w:val="21"/>
                <w:highlight w:val="none"/>
                <w:u w:val="single"/>
                <w:shd w:val="clear" w:color="auto" w:fill="FFFFFF" w:themeFill="background1"/>
              </w:rPr>
              <w:t>1</w:t>
            </w:r>
            <w:r>
              <w:rPr>
                <w:rFonts w:hint="eastAsia" w:ascii="宋体" w:hAnsi="宋体" w:cs="宋体"/>
                <w:color w:val="auto"/>
                <w:szCs w:val="21"/>
                <w:highlight w:val="none"/>
                <w:u w:val="single"/>
                <w:shd w:val="clear" w:color="auto" w:fill="FFFFFF" w:themeFill="background1"/>
                <w:lang w:val="en-US" w:eastAsia="zh-CN"/>
              </w:rPr>
              <w:t>2</w:t>
            </w:r>
            <w:r>
              <w:rPr>
                <w:rFonts w:hint="eastAsia" w:ascii="宋体" w:hAnsi="宋体" w:cs="宋体"/>
                <w:color w:val="auto"/>
                <w:szCs w:val="21"/>
                <w:highlight w:val="none"/>
                <w:shd w:val="clear" w:color="auto" w:fill="FFFFFF" w:themeFill="background1"/>
              </w:rPr>
              <w:t>月至</w:t>
            </w:r>
            <w:r>
              <w:rPr>
                <w:rFonts w:hint="eastAsia" w:ascii="宋体" w:hAnsi="宋体" w:cs="宋体"/>
                <w:color w:val="auto"/>
                <w:szCs w:val="21"/>
                <w:highlight w:val="none"/>
                <w:u w:val="single"/>
                <w:shd w:val="clear" w:color="auto" w:fill="FFFFFF" w:themeFill="background1"/>
                <w:lang w:eastAsia="zh-CN"/>
              </w:rPr>
              <w:t>2025</w:t>
            </w:r>
            <w:r>
              <w:rPr>
                <w:rFonts w:hint="eastAsia" w:ascii="宋体" w:hAnsi="宋体" w:cs="宋体"/>
                <w:color w:val="auto"/>
                <w:szCs w:val="21"/>
                <w:highlight w:val="none"/>
                <w:shd w:val="clear" w:color="auto" w:fill="FFFFFF" w:themeFill="background1"/>
              </w:rPr>
              <w:t>年</w:t>
            </w:r>
            <w:r>
              <w:rPr>
                <w:rFonts w:hint="eastAsia" w:ascii="宋体" w:hAnsi="宋体" w:cs="宋体"/>
                <w:color w:val="auto"/>
                <w:szCs w:val="21"/>
                <w:highlight w:val="none"/>
                <w:u w:val="single"/>
                <w:shd w:val="clear" w:color="auto" w:fill="FFFFFF" w:themeFill="background1"/>
                <w:lang w:val="en-US" w:eastAsia="zh-CN"/>
              </w:rPr>
              <w:t>4</w:t>
            </w:r>
            <w:r>
              <w:rPr>
                <w:rFonts w:hint="eastAsia" w:ascii="宋体" w:hAnsi="宋体" w:cs="宋体"/>
                <w:color w:val="auto"/>
                <w:szCs w:val="21"/>
                <w:highlight w:val="none"/>
                <w:shd w:val="clear" w:color="auto" w:fill="FFFFFF" w:themeFill="background1"/>
              </w:rPr>
              <w:t>月内连续</w:t>
            </w:r>
            <w:r>
              <w:rPr>
                <w:rFonts w:ascii="宋体" w:hAnsi="宋体" w:cs="宋体"/>
                <w:color w:val="auto"/>
                <w:szCs w:val="21"/>
                <w:highlight w:val="none"/>
                <w:u w:val="single"/>
                <w:shd w:val="clear" w:color="auto" w:fill="FFFFFF" w:themeFill="background1"/>
              </w:rPr>
              <w:t>3</w:t>
            </w:r>
            <w:r>
              <w:rPr>
                <w:rFonts w:hint="eastAsia" w:ascii="宋体" w:hAnsi="宋体" w:cs="宋体"/>
                <w:color w:val="auto"/>
                <w:szCs w:val="21"/>
                <w:highlight w:val="none"/>
                <w:shd w:val="clear" w:color="auto" w:fill="FFFFFF" w:themeFill="background1"/>
              </w:rPr>
              <w:t>个月的依法缴纳税收的凭据复印件；</w:t>
            </w:r>
            <w:r>
              <w:rPr>
                <w:rFonts w:hint="eastAsia" w:ascii="宋体" w:hAnsi="宋体"/>
                <w:color w:val="auto"/>
                <w:szCs w:val="21"/>
                <w:highlight w:val="none"/>
                <w:shd w:val="clear" w:color="auto" w:fill="FFFFFF" w:themeFill="background1"/>
              </w:rPr>
              <w:t>依法免税的供应商，</w:t>
            </w:r>
            <w:r>
              <w:rPr>
                <w:rFonts w:hint="eastAsia"/>
                <w:color w:val="auto"/>
                <w:highlight w:val="none"/>
                <w:shd w:val="clear" w:color="auto" w:fill="FFFFFF" w:themeFill="background1"/>
              </w:rPr>
              <w:t>必须提供符合免税条件的证明材料</w:t>
            </w:r>
            <w:r>
              <w:rPr>
                <w:rFonts w:hint="eastAsia" w:ascii="宋体" w:hAnsi="宋体"/>
                <w:color w:val="auto"/>
                <w:szCs w:val="21"/>
                <w:highlight w:val="none"/>
                <w:shd w:val="clear" w:color="auto" w:fill="FFFFFF" w:themeFill="background1"/>
              </w:rPr>
              <w:t>。</w:t>
            </w:r>
            <w:r>
              <w:rPr>
                <w:rFonts w:hint="eastAsia" w:ascii="宋体" w:hAnsi="宋体" w:cs="宋体"/>
                <w:color w:val="auto"/>
                <w:szCs w:val="21"/>
                <w:highlight w:val="none"/>
                <w:shd w:val="clear" w:color="auto" w:fill="FFFFFF" w:themeFill="background1"/>
              </w:rPr>
              <w:t>从</w:t>
            </w:r>
            <w:r>
              <w:rPr>
                <w:color w:val="auto"/>
                <w:szCs w:val="21"/>
                <w:highlight w:val="none"/>
                <w:shd w:val="clear" w:color="auto" w:fill="FFFFFF" w:themeFill="background1"/>
              </w:rPr>
              <w:t>成立</w:t>
            </w:r>
            <w:r>
              <w:rPr>
                <w:rFonts w:hint="eastAsia"/>
                <w:color w:val="auto"/>
                <w:szCs w:val="21"/>
                <w:highlight w:val="none"/>
                <w:shd w:val="clear" w:color="auto" w:fill="FFFFFF" w:themeFill="background1"/>
              </w:rPr>
              <w:t>之日</w:t>
            </w:r>
            <w:r>
              <w:rPr>
                <w:rFonts w:hint="eastAsia" w:ascii="宋体" w:hAnsi="宋体" w:cs="宋体"/>
                <w:color w:val="auto"/>
                <w:szCs w:val="21"/>
                <w:highlight w:val="none"/>
                <w:shd w:val="clear" w:color="auto" w:fill="FFFFFF" w:themeFill="background1"/>
              </w:rPr>
              <w:t>起到投标文件提交截止时间止不足要求月数的，只需提供从</w:t>
            </w:r>
            <w:r>
              <w:rPr>
                <w:color w:val="auto"/>
                <w:szCs w:val="21"/>
                <w:highlight w:val="none"/>
                <w:shd w:val="clear" w:color="auto" w:fill="FFFFFF" w:themeFill="background1"/>
              </w:rPr>
              <w:t>成立</w:t>
            </w:r>
            <w:r>
              <w:rPr>
                <w:rFonts w:hint="eastAsia"/>
                <w:color w:val="auto"/>
                <w:szCs w:val="21"/>
                <w:highlight w:val="none"/>
                <w:shd w:val="clear" w:color="auto" w:fill="FFFFFF" w:themeFill="background1"/>
              </w:rPr>
              <w:t>之日起</w:t>
            </w:r>
            <w:r>
              <w:rPr>
                <w:rFonts w:hint="eastAsia" w:ascii="宋体" w:hAnsi="宋体" w:cs="宋体"/>
                <w:color w:val="auto"/>
                <w:szCs w:val="21"/>
                <w:highlight w:val="none"/>
                <w:shd w:val="clear" w:color="auto" w:fill="FFFFFF" w:themeFill="background1"/>
              </w:rPr>
              <w:t>的依法缴纳税收</w:t>
            </w:r>
            <w:r>
              <w:rPr>
                <w:rFonts w:hint="eastAsia" w:ascii="宋体" w:hAnsi="宋体"/>
                <w:color w:val="auto"/>
                <w:szCs w:val="21"/>
                <w:highlight w:val="none"/>
                <w:shd w:val="clear" w:color="auto" w:fill="FFFFFF" w:themeFill="background1"/>
              </w:rPr>
              <w:t>相应证明文件</w:t>
            </w:r>
            <w:r>
              <w:rPr>
                <w:rFonts w:hint="eastAsia" w:ascii="宋体" w:hAnsi="宋体" w:cs="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36EAB7D3">
            <w:pPr>
              <w:snapToGrid w:val="0"/>
              <w:spacing w:line="360" w:lineRule="auto"/>
              <w:ind w:firstLine="420" w:firstLineChars="200"/>
              <w:jc w:val="left"/>
              <w:rPr>
                <w:rFonts w:ascii="宋体" w:hAnsi="宋体" w:cs="Courier New"/>
                <w:b/>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3.投标人依法缴纳社会保障资金的相关材料[</w:t>
            </w:r>
            <w:r>
              <w:rPr>
                <w:rFonts w:ascii="宋体" w:hAnsi="宋体" w:cs="宋体"/>
                <w:color w:val="auto"/>
                <w:szCs w:val="21"/>
                <w:highlight w:val="none"/>
                <w:u w:val="single"/>
                <w:shd w:val="clear" w:color="auto" w:fill="FFFFFF" w:themeFill="background1"/>
              </w:rPr>
              <w:t>202</w:t>
            </w:r>
            <w:r>
              <w:rPr>
                <w:rFonts w:hint="eastAsia" w:ascii="宋体" w:hAnsi="宋体" w:cs="宋体"/>
                <w:color w:val="auto"/>
                <w:szCs w:val="21"/>
                <w:highlight w:val="none"/>
                <w:u w:val="single"/>
                <w:shd w:val="clear" w:color="auto" w:fill="FFFFFF" w:themeFill="background1"/>
                <w:lang w:val="en-US" w:eastAsia="zh-CN"/>
              </w:rPr>
              <w:t>4</w:t>
            </w:r>
            <w:r>
              <w:rPr>
                <w:rFonts w:hint="eastAsia" w:ascii="宋体" w:hAnsi="宋体" w:cs="宋体"/>
                <w:color w:val="auto"/>
                <w:szCs w:val="21"/>
                <w:highlight w:val="none"/>
                <w:shd w:val="clear" w:color="auto" w:fill="FFFFFF" w:themeFill="background1"/>
              </w:rPr>
              <w:t>年</w:t>
            </w:r>
            <w:r>
              <w:rPr>
                <w:rFonts w:hint="eastAsia" w:ascii="宋体" w:hAnsi="宋体" w:cs="宋体"/>
                <w:color w:val="auto"/>
                <w:szCs w:val="21"/>
                <w:highlight w:val="none"/>
                <w:u w:val="single"/>
                <w:shd w:val="clear" w:color="auto" w:fill="FFFFFF" w:themeFill="background1"/>
              </w:rPr>
              <w:t>1</w:t>
            </w:r>
            <w:r>
              <w:rPr>
                <w:rFonts w:hint="eastAsia" w:ascii="宋体" w:hAnsi="宋体" w:cs="宋体"/>
                <w:color w:val="auto"/>
                <w:szCs w:val="21"/>
                <w:highlight w:val="none"/>
                <w:u w:val="single"/>
                <w:shd w:val="clear" w:color="auto" w:fill="FFFFFF" w:themeFill="background1"/>
                <w:lang w:val="en-US" w:eastAsia="zh-CN"/>
              </w:rPr>
              <w:t>2</w:t>
            </w:r>
            <w:r>
              <w:rPr>
                <w:rFonts w:hint="eastAsia" w:ascii="宋体" w:hAnsi="宋体" w:cs="宋体"/>
                <w:color w:val="auto"/>
                <w:szCs w:val="21"/>
                <w:highlight w:val="none"/>
                <w:shd w:val="clear" w:color="auto" w:fill="FFFFFF" w:themeFill="background1"/>
              </w:rPr>
              <w:t>月至</w:t>
            </w:r>
            <w:r>
              <w:rPr>
                <w:rFonts w:hint="eastAsia" w:ascii="宋体" w:hAnsi="宋体" w:cs="宋体"/>
                <w:color w:val="auto"/>
                <w:szCs w:val="21"/>
                <w:highlight w:val="none"/>
                <w:u w:val="single"/>
                <w:shd w:val="clear" w:color="auto" w:fill="FFFFFF" w:themeFill="background1"/>
                <w:lang w:eastAsia="zh-CN"/>
              </w:rPr>
              <w:t>2025</w:t>
            </w:r>
            <w:r>
              <w:rPr>
                <w:rFonts w:hint="eastAsia" w:ascii="宋体" w:hAnsi="宋体" w:cs="宋体"/>
                <w:color w:val="auto"/>
                <w:szCs w:val="21"/>
                <w:highlight w:val="none"/>
                <w:shd w:val="clear" w:color="auto" w:fill="FFFFFF" w:themeFill="background1"/>
              </w:rPr>
              <w:t>年</w:t>
            </w:r>
            <w:r>
              <w:rPr>
                <w:rFonts w:hint="eastAsia" w:ascii="宋体" w:hAnsi="宋体" w:cs="宋体"/>
                <w:color w:val="auto"/>
                <w:szCs w:val="21"/>
                <w:highlight w:val="none"/>
                <w:u w:val="single"/>
                <w:shd w:val="clear" w:color="auto" w:fill="FFFFFF" w:themeFill="background1"/>
                <w:lang w:val="en-US" w:eastAsia="zh-CN"/>
              </w:rPr>
              <w:t>4</w:t>
            </w:r>
            <w:r>
              <w:rPr>
                <w:rFonts w:hint="eastAsia" w:ascii="宋体" w:hAnsi="宋体" w:cs="宋体"/>
                <w:color w:val="auto"/>
                <w:szCs w:val="21"/>
                <w:highlight w:val="none"/>
                <w:shd w:val="clear" w:color="auto" w:fill="FFFFFF" w:themeFill="background1"/>
              </w:rPr>
              <w:t>月内连续</w:t>
            </w:r>
            <w:r>
              <w:rPr>
                <w:rFonts w:hint="eastAsia" w:ascii="宋体" w:hAnsi="宋体" w:cs="宋体"/>
                <w:color w:val="auto"/>
                <w:szCs w:val="21"/>
                <w:highlight w:val="none"/>
                <w:u w:val="single"/>
                <w:shd w:val="clear" w:color="auto" w:fill="FFFFFF" w:themeFill="background1"/>
              </w:rPr>
              <w:t xml:space="preserve"> 3 </w:t>
            </w:r>
            <w:r>
              <w:rPr>
                <w:rFonts w:hint="eastAsia" w:ascii="宋体" w:hAnsi="宋体" w:cs="宋体"/>
                <w:color w:val="auto"/>
                <w:szCs w:val="21"/>
                <w:highlight w:val="none"/>
                <w:shd w:val="clear" w:color="auto" w:fill="FFFFFF" w:themeFill="background1"/>
              </w:rPr>
              <w:t>个月的依法缴纳社会保障资金的缴费</w:t>
            </w:r>
            <w:r>
              <w:rPr>
                <w:rFonts w:hint="eastAsia"/>
                <w:color w:val="auto"/>
                <w:highlight w:val="none"/>
                <w:shd w:val="clear" w:color="auto" w:fill="FFFFFF" w:themeFill="background1"/>
              </w:rPr>
              <w:t>证明材料</w:t>
            </w:r>
            <w:r>
              <w:rPr>
                <w:rFonts w:hint="eastAsia" w:ascii="宋体" w:hAnsi="宋体" w:cs="宋体"/>
                <w:color w:val="auto"/>
                <w:szCs w:val="21"/>
                <w:highlight w:val="none"/>
                <w:shd w:val="clear" w:color="auto" w:fill="FFFFFF" w:themeFill="background1"/>
              </w:rPr>
              <w:t>（</w:t>
            </w:r>
            <w:r>
              <w:rPr>
                <w:rFonts w:hint="eastAsia"/>
                <w:color w:val="auto"/>
                <w:highlight w:val="none"/>
                <w:shd w:val="clear" w:color="auto" w:fill="FFFFFF" w:themeFill="background1"/>
              </w:rPr>
              <w:t>如：</w:t>
            </w:r>
            <w:r>
              <w:rPr>
                <w:rFonts w:hint="eastAsia" w:ascii="宋体" w:hAnsi="宋体" w:cs="宋体"/>
                <w:color w:val="auto"/>
                <w:szCs w:val="21"/>
                <w:highlight w:val="none"/>
                <w:shd w:val="clear" w:color="auto" w:fill="FFFFFF" w:themeFill="background1"/>
              </w:rPr>
              <w:t>专用收据、社会保险缴纳清单或者社保部门的证明）复印件；</w:t>
            </w:r>
            <w:r>
              <w:rPr>
                <w:rFonts w:hint="eastAsia" w:ascii="宋体" w:hAnsi="宋体"/>
                <w:color w:val="auto"/>
                <w:szCs w:val="21"/>
                <w:highlight w:val="none"/>
                <w:shd w:val="clear" w:color="auto" w:fill="FFFFFF" w:themeFill="background1"/>
              </w:rPr>
              <w:t>依法不需要缴纳社会保障资金的供应商，必须提供相应文件证明不需要缴纳社会保障资金。</w:t>
            </w:r>
            <w:r>
              <w:rPr>
                <w:rFonts w:hint="eastAsia" w:ascii="宋体" w:hAnsi="宋体" w:cs="宋体"/>
                <w:color w:val="auto"/>
                <w:szCs w:val="21"/>
                <w:highlight w:val="none"/>
                <w:shd w:val="clear" w:color="auto" w:fill="FFFFFF" w:themeFill="background1"/>
              </w:rPr>
              <w:t>从</w:t>
            </w:r>
            <w:r>
              <w:rPr>
                <w:color w:val="auto"/>
                <w:szCs w:val="21"/>
                <w:highlight w:val="none"/>
                <w:shd w:val="clear" w:color="auto" w:fill="FFFFFF" w:themeFill="background1"/>
              </w:rPr>
              <w:t>成立</w:t>
            </w:r>
            <w:r>
              <w:rPr>
                <w:rFonts w:hint="eastAsia"/>
                <w:color w:val="auto"/>
                <w:szCs w:val="21"/>
                <w:highlight w:val="none"/>
                <w:shd w:val="clear" w:color="auto" w:fill="FFFFFF" w:themeFill="background1"/>
              </w:rPr>
              <w:t>之日起</w:t>
            </w:r>
            <w:r>
              <w:rPr>
                <w:rFonts w:hint="eastAsia" w:ascii="宋体" w:hAnsi="宋体" w:cs="宋体"/>
                <w:color w:val="auto"/>
                <w:szCs w:val="21"/>
                <w:highlight w:val="none"/>
                <w:shd w:val="clear" w:color="auto" w:fill="FFFFFF" w:themeFill="background1"/>
              </w:rPr>
              <w:t>到投标文件提交截止时间止不足要求月数的只需提供从</w:t>
            </w:r>
            <w:r>
              <w:rPr>
                <w:color w:val="auto"/>
                <w:szCs w:val="21"/>
                <w:highlight w:val="none"/>
                <w:shd w:val="clear" w:color="auto" w:fill="FFFFFF" w:themeFill="background1"/>
              </w:rPr>
              <w:t>成立</w:t>
            </w:r>
            <w:r>
              <w:rPr>
                <w:rFonts w:hint="eastAsia"/>
                <w:color w:val="auto"/>
                <w:szCs w:val="21"/>
                <w:highlight w:val="none"/>
                <w:shd w:val="clear" w:color="auto" w:fill="FFFFFF" w:themeFill="background1"/>
              </w:rPr>
              <w:t>之日起</w:t>
            </w:r>
            <w:r>
              <w:rPr>
                <w:rFonts w:hint="eastAsia" w:ascii="宋体" w:hAnsi="宋体" w:cs="宋体"/>
                <w:color w:val="auto"/>
                <w:szCs w:val="21"/>
                <w:highlight w:val="none"/>
                <w:shd w:val="clear" w:color="auto" w:fill="FFFFFF" w:themeFill="background1"/>
              </w:rPr>
              <w:t>的依法缴纳社会保障资金的</w:t>
            </w:r>
            <w:r>
              <w:rPr>
                <w:rFonts w:hint="eastAsia" w:ascii="宋体" w:hAnsi="宋体"/>
                <w:color w:val="auto"/>
                <w:szCs w:val="21"/>
                <w:highlight w:val="none"/>
                <w:shd w:val="clear" w:color="auto" w:fill="FFFFFF" w:themeFill="background1"/>
              </w:rPr>
              <w:t>相应证明文件</w:t>
            </w:r>
            <w:r>
              <w:rPr>
                <w:rFonts w:hint="eastAsia" w:ascii="宋体" w:hAnsi="宋体" w:cs="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1F0CB411">
            <w:pPr>
              <w:snapToGrid w:val="0"/>
              <w:spacing w:line="360" w:lineRule="auto"/>
              <w:ind w:firstLine="420" w:firstLineChars="200"/>
              <w:jc w:val="left"/>
              <w:rPr>
                <w:rFonts w:ascii="宋体" w:hAnsi="宋体" w:cs="Courier New"/>
                <w:b/>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4.投标人</w:t>
            </w:r>
            <w:r>
              <w:rPr>
                <w:rFonts w:hint="eastAsia"/>
                <w:color w:val="auto"/>
                <w:szCs w:val="21"/>
                <w:highlight w:val="none"/>
                <w:shd w:val="clear" w:color="auto" w:fill="FFFFFF" w:themeFill="background1"/>
              </w:rPr>
              <w:t>财务状况报告【202</w:t>
            </w:r>
            <w:r>
              <w:rPr>
                <w:rFonts w:hint="eastAsia"/>
                <w:color w:val="auto"/>
                <w:szCs w:val="21"/>
                <w:highlight w:val="none"/>
                <w:shd w:val="clear" w:color="auto" w:fill="FFFFFF" w:themeFill="background1"/>
                <w:lang w:val="en-US" w:eastAsia="zh-CN"/>
              </w:rPr>
              <w:t>3</w:t>
            </w:r>
            <w:r>
              <w:rPr>
                <w:rFonts w:hint="eastAsia"/>
                <w:color w:val="auto"/>
                <w:szCs w:val="21"/>
                <w:highlight w:val="none"/>
                <w:shd w:val="clear" w:color="auto" w:fill="FFFFFF" w:themeFill="background1"/>
              </w:rPr>
              <w:t>或202</w:t>
            </w:r>
            <w:r>
              <w:rPr>
                <w:rFonts w:hint="eastAsia"/>
                <w:color w:val="auto"/>
                <w:szCs w:val="21"/>
                <w:highlight w:val="none"/>
                <w:shd w:val="clear" w:color="auto" w:fill="FFFFFF" w:themeFill="background1"/>
                <w:lang w:val="en-US" w:eastAsia="zh-CN"/>
              </w:rPr>
              <w:t>4</w:t>
            </w:r>
            <w:r>
              <w:rPr>
                <w:rFonts w:hint="eastAsia"/>
                <w:color w:val="auto"/>
                <w:szCs w:val="21"/>
                <w:highlight w:val="none"/>
                <w:shd w:val="clear" w:color="auto" w:fill="FFFFFF" w:themeFill="background1"/>
              </w:rPr>
              <w:t>年财务状况报告复印件，应提供经审计的财务报告（包括“四表一注”，即资产负债表、利润表、现金流量表、所有者权益变动表及附注，属于小微企业的无须提供所有者权益变动表）或者银行出具的资信证明（注明有效期的，应在有效期内；未注明有效期的，出具时间至投标截止时间不超过一年）】；</w:t>
            </w:r>
            <w:r>
              <w:rPr>
                <w:rFonts w:hint="eastAsia" w:ascii="宋体" w:hAnsi="宋体"/>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660C5450">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5.投标人直接控股信息表（格式后附）；（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11959791">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6.投标人直接管理关系信息表（格式后附）；（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7AFD309E">
            <w:pPr>
              <w:snapToGrid w:val="0"/>
              <w:spacing w:line="360" w:lineRule="auto"/>
              <w:ind w:firstLine="420" w:firstLineChars="200"/>
              <w:jc w:val="left"/>
              <w:rPr>
                <w:rFonts w:ascii="宋体" w:hAnsi="宋体" w:cs="Courier New"/>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7.投标声明（格式后附）；（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0A513318">
            <w:pPr>
              <w:snapToGrid w:val="0"/>
              <w:spacing w:line="360" w:lineRule="auto"/>
              <w:ind w:firstLine="420" w:firstLineChars="200"/>
              <w:jc w:val="left"/>
              <w:rPr>
                <w:rFonts w:ascii="宋体" w:hAnsi="宋体" w:cs="Courier New"/>
                <w:b/>
                <w:bCs/>
                <w:color w:val="auto"/>
                <w:szCs w:val="21"/>
                <w:highlight w:val="none"/>
                <w:shd w:val="clear" w:color="auto" w:fill="FFFFFF" w:themeFill="background1"/>
              </w:rPr>
            </w:pPr>
            <w:r>
              <w:rPr>
                <w:rFonts w:ascii="宋体" w:hAnsi="宋体"/>
                <w:color w:val="auto"/>
                <w:szCs w:val="21"/>
                <w:highlight w:val="none"/>
                <w:shd w:val="clear" w:color="auto" w:fill="FFFFFF" w:themeFill="background1"/>
              </w:rPr>
              <w:t>8</w:t>
            </w:r>
            <w:r>
              <w:rPr>
                <w:rFonts w:hint="eastAsia" w:ascii="宋体" w:hAnsi="宋体"/>
                <w:color w:val="auto"/>
                <w:szCs w:val="21"/>
                <w:highlight w:val="none"/>
                <w:shd w:val="clear" w:color="auto" w:fill="FFFFFF" w:themeFill="background1"/>
              </w:rPr>
              <w:t>.联合体协议书（格式后附）；</w:t>
            </w:r>
            <w:r>
              <w:rPr>
                <w:rFonts w:hint="eastAsia" w:ascii="宋体" w:hAnsi="宋体"/>
                <w:b/>
                <w:bCs/>
                <w:color w:val="auto"/>
                <w:szCs w:val="21"/>
                <w:highlight w:val="none"/>
                <w:shd w:val="clear" w:color="auto" w:fill="FFFFFF" w:themeFill="background1"/>
              </w:rPr>
              <w:t>（联合体投标时必须提供，否则按无效投标处理；招标文件载明不接受联合体投标或投标人非联合体的，请忽略）</w:t>
            </w:r>
          </w:p>
          <w:p w14:paraId="0CC725C2">
            <w:pPr>
              <w:snapToGrid w:val="0"/>
              <w:spacing w:line="360" w:lineRule="auto"/>
              <w:ind w:firstLine="420" w:firstLineChars="200"/>
              <w:jc w:val="left"/>
              <w:rPr>
                <w:rFonts w:ascii="宋体" w:hAnsi="宋体"/>
                <w:b/>
                <w:bCs/>
                <w:color w:val="auto"/>
                <w:szCs w:val="21"/>
                <w:highlight w:val="none"/>
                <w:shd w:val="clear" w:color="auto" w:fill="FFFFFF" w:themeFill="background1"/>
              </w:rPr>
            </w:pPr>
            <w:r>
              <w:rPr>
                <w:rFonts w:hint="eastAsia"/>
                <w:color w:val="auto"/>
                <w:highlight w:val="none"/>
                <w:shd w:val="clear" w:color="auto" w:fill="FFFFFF" w:themeFill="background1"/>
              </w:rPr>
              <w:t>9</w:t>
            </w:r>
            <w:r>
              <w:rPr>
                <w:rFonts w:hint="eastAsia" w:ascii="宋体" w:hAnsi="宋体"/>
                <w:color w:val="auto"/>
                <w:szCs w:val="21"/>
                <w:highlight w:val="none"/>
                <w:shd w:val="clear" w:color="auto" w:fill="FFFFFF" w:themeFill="background1"/>
              </w:rPr>
              <w:t>.工程勘察专业类（岩土工程勘察）甲级或工程勘察综合类甲级资质</w:t>
            </w:r>
            <w:r>
              <w:rPr>
                <w:rFonts w:hint="eastAsia" w:ascii="宋体" w:hAnsi="宋体"/>
                <w:color w:val="auto"/>
                <w:szCs w:val="21"/>
                <w:highlight w:val="none"/>
                <w:shd w:val="clear" w:color="auto" w:fill="FFFFFF" w:themeFill="background1"/>
                <w:lang w:eastAsia="zh-CN"/>
              </w:rPr>
              <w:t>证书；</w:t>
            </w:r>
            <w:r>
              <w:rPr>
                <w:rFonts w:hint="eastAsia" w:ascii="宋体" w:hAnsi="宋体"/>
                <w:color w:val="auto"/>
                <w:szCs w:val="21"/>
                <w:highlight w:val="none"/>
                <w:shd w:val="clear" w:color="auto" w:fill="FFFFFF" w:themeFill="background1"/>
              </w:rPr>
              <w:t>工程设计水运专业甲级或水运行业甲级或综合甲级资质</w:t>
            </w:r>
            <w:r>
              <w:rPr>
                <w:rFonts w:hint="eastAsia" w:ascii="宋体" w:hAnsi="宋体"/>
                <w:color w:val="auto"/>
                <w:szCs w:val="21"/>
                <w:highlight w:val="none"/>
                <w:shd w:val="clear" w:color="auto" w:fill="FFFFFF" w:themeFill="background1"/>
                <w:lang w:eastAsia="zh-CN"/>
              </w:rPr>
              <w:t>证书</w:t>
            </w:r>
            <w:r>
              <w:rPr>
                <w:rFonts w:hint="eastAsia" w:ascii="宋体" w:hAnsi="宋体"/>
                <w:color w:val="auto"/>
                <w:szCs w:val="21"/>
                <w:highlight w:val="none"/>
                <w:shd w:val="clear" w:color="auto" w:fill="FFFFFF" w:themeFill="background1"/>
              </w:rPr>
              <w:t>；（</w:t>
            </w:r>
            <w:r>
              <w:rPr>
                <w:rFonts w:hint="eastAsia" w:ascii="宋体" w:hAnsi="宋体"/>
                <w:b/>
                <w:bCs/>
                <w:color w:val="auto"/>
                <w:szCs w:val="21"/>
                <w:highlight w:val="none"/>
                <w:shd w:val="clear" w:color="auto" w:fill="FFFFFF" w:themeFill="background1"/>
              </w:rPr>
              <w:t>必须提供，否则按无效投标处理）</w:t>
            </w:r>
          </w:p>
          <w:p w14:paraId="37119403">
            <w:pPr>
              <w:snapToGrid w:val="0"/>
              <w:spacing w:line="360" w:lineRule="auto"/>
              <w:ind w:firstLine="420" w:firstLineChars="200"/>
              <w:jc w:val="left"/>
              <w:rPr>
                <w:rFonts w:ascii="宋体" w:hAnsi="宋体" w:cs="Courier New"/>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10.除招标文件规定必须提供以外，投标人认为需要提供的其他证明材料。</w:t>
            </w:r>
          </w:p>
          <w:p w14:paraId="229D395C">
            <w:pPr>
              <w:snapToGrid w:val="0"/>
              <w:spacing w:line="360" w:lineRule="auto"/>
              <w:jc w:val="left"/>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注：以上标明“必须提供”的材料的，必须加盖投标人电子签章，否则按无效投标</w:t>
            </w:r>
            <w:r>
              <w:rPr>
                <w:rFonts w:hint="eastAsia" w:ascii="宋体" w:hAnsi="宋体" w:cs="Courier New"/>
                <w:b/>
                <w:color w:val="auto"/>
                <w:szCs w:val="21"/>
                <w:highlight w:val="none"/>
                <w:shd w:val="clear" w:color="auto" w:fill="FFFFFF" w:themeFill="background1"/>
              </w:rPr>
              <w:t>处理。</w:t>
            </w:r>
          </w:p>
        </w:tc>
      </w:tr>
      <w:tr w14:paraId="51AF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0A7DD464">
            <w:pPr>
              <w:spacing w:line="360" w:lineRule="auto"/>
              <w:ind w:firstLine="422"/>
              <w:rPr>
                <w:rFonts w:ascii="宋体" w:hAnsi="宋体"/>
                <w:color w:val="auto"/>
                <w:szCs w:val="21"/>
                <w:highlight w:val="none"/>
                <w:shd w:val="clear" w:color="auto" w:fill="FFFFFF" w:themeFill="background1"/>
              </w:rPr>
            </w:pPr>
            <w:bookmarkStart w:id="49" w:name="_13.3"/>
            <w:bookmarkEnd w:id="49"/>
          </w:p>
        </w:tc>
        <w:tc>
          <w:tcPr>
            <w:tcW w:w="8175" w:type="dxa"/>
            <w:tcBorders>
              <w:top w:val="single" w:color="auto" w:sz="4" w:space="0"/>
              <w:left w:val="single" w:color="auto" w:sz="4" w:space="0"/>
              <w:bottom w:val="single" w:color="auto" w:sz="4" w:space="0"/>
              <w:right w:val="single" w:color="auto" w:sz="4" w:space="0"/>
            </w:tcBorders>
            <w:vAlign w:val="center"/>
          </w:tcPr>
          <w:p w14:paraId="04469E6F">
            <w:pPr>
              <w:snapToGrid w:val="0"/>
              <w:spacing w:line="360" w:lineRule="auto"/>
              <w:jc w:val="left"/>
              <w:rPr>
                <w:rFonts w:ascii="宋体" w:hAnsi="宋体" w:cs="Courier New"/>
                <w:b/>
                <w:color w:val="auto"/>
                <w:szCs w:val="21"/>
                <w:highlight w:val="none"/>
                <w:shd w:val="clear" w:color="auto" w:fill="FFFFFF" w:themeFill="background1"/>
              </w:rPr>
            </w:pPr>
            <w:r>
              <w:rPr>
                <w:rFonts w:hint="eastAsia" w:ascii="宋体" w:hAnsi="宋体" w:cs="Courier New"/>
                <w:b/>
                <w:color w:val="auto"/>
                <w:szCs w:val="21"/>
                <w:highlight w:val="none"/>
                <w:shd w:val="clear" w:color="auto" w:fill="FFFFFF" w:themeFill="background1"/>
              </w:rPr>
              <w:t>商务及技术文件：</w:t>
            </w:r>
          </w:p>
          <w:p w14:paraId="546A3A5F">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1.无串通投标行为的承诺函（格式后附）；（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713C4019">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2.投标保证金提交凭证；（</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0F3C912E">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3.法定代表人身份证明及法定代表人有效身份证正反面复印件（格式后附）；（</w:t>
            </w:r>
            <w:r>
              <w:rPr>
                <w:rFonts w:hint="eastAsia" w:ascii="宋体" w:hAnsi="宋体" w:cs="宋体"/>
                <w:b/>
                <w:bCs/>
                <w:color w:val="auto"/>
                <w:szCs w:val="21"/>
                <w:highlight w:val="none"/>
                <w:shd w:val="clear" w:color="auto" w:fill="FFFFFF" w:themeFill="background1"/>
              </w:rPr>
              <w:t>除自然人投标外</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5489C1B9">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4.授权委托书及委托代理人有效身份证正反面复印件（格式后附）；（</w:t>
            </w:r>
            <w:r>
              <w:rPr>
                <w:rFonts w:hint="eastAsia" w:ascii="宋体" w:hAnsi="宋体"/>
                <w:b/>
                <w:color w:val="auto"/>
                <w:szCs w:val="21"/>
                <w:highlight w:val="none"/>
                <w:shd w:val="clear" w:color="auto" w:fill="FFFFFF" w:themeFill="background1"/>
              </w:rPr>
              <w:t>委托时必须提供，否则按无效投标处理</w:t>
            </w:r>
            <w:r>
              <w:rPr>
                <w:rFonts w:hint="eastAsia" w:ascii="宋体" w:hAnsi="宋体"/>
                <w:color w:val="auto"/>
                <w:szCs w:val="21"/>
                <w:highlight w:val="none"/>
                <w:shd w:val="clear" w:color="auto" w:fill="FFFFFF" w:themeFill="background1"/>
              </w:rPr>
              <w:t>）</w:t>
            </w:r>
          </w:p>
          <w:p w14:paraId="0AB8DDB8">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5.商务要求偏离表（格式后附）；（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0C399B5D">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6.售后服务承诺（格式自拟）；（</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52CFADF7">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7.投标人情况介绍（格式自拟）；</w:t>
            </w:r>
          </w:p>
          <w:p w14:paraId="5C91768B">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8.联合体协议书（格式后附）；（</w:t>
            </w:r>
            <w:r>
              <w:rPr>
                <w:rFonts w:hint="eastAsia" w:ascii="宋体" w:hAnsi="宋体"/>
                <w:b/>
                <w:color w:val="auto"/>
                <w:szCs w:val="21"/>
                <w:highlight w:val="none"/>
                <w:shd w:val="clear" w:color="auto" w:fill="FFFFFF" w:themeFill="background1"/>
              </w:rPr>
              <w:t>联合体投标时必须提供，否则按无效投标处理</w:t>
            </w:r>
            <w:r>
              <w:rPr>
                <w:rFonts w:hint="eastAsia" w:ascii="宋体" w:hAnsi="宋体"/>
                <w:color w:val="auto"/>
                <w:szCs w:val="21"/>
                <w:highlight w:val="none"/>
                <w:shd w:val="clear" w:color="auto" w:fill="FFFFFF" w:themeFill="background1"/>
              </w:rPr>
              <w:t>）</w:t>
            </w:r>
          </w:p>
          <w:p w14:paraId="3CB59E5F">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9.技术要求偏离表（格式后附）；（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74C6CE5E">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10.技术方案（格式自拟）【包括但不限于：对本项目的理解和总体思路；对项目研究的特点、关键技术问题的认识及其对策措施；对项目研究的特点、关键技术问题的认识及其对策措施；总体思路和组织管理；拟投入现场和室内的仪器设备；工期及进度计划</w:t>
            </w:r>
            <w:r>
              <w:rPr>
                <w:rFonts w:hint="eastAsia" w:ascii="宋体" w:hAnsi="宋体"/>
                <w:color w:val="auto"/>
                <w:szCs w:val="21"/>
                <w:highlight w:val="none"/>
                <w:shd w:val="clear" w:color="auto" w:fill="FFFFFF" w:themeFill="background1"/>
                <w:lang w:eastAsia="zh-CN"/>
              </w:rPr>
              <w:t>；</w:t>
            </w:r>
            <w:r>
              <w:rPr>
                <w:rFonts w:hint="eastAsia" w:ascii="宋体" w:hAnsi="宋体"/>
                <w:color w:val="auto"/>
                <w:szCs w:val="21"/>
                <w:highlight w:val="none"/>
                <w:shd w:val="clear" w:color="auto" w:fill="FFFFFF" w:themeFill="background1"/>
              </w:rPr>
              <w:t>质量保证措施；安全、环保与职业健康管理措施</w:t>
            </w:r>
            <w:r>
              <w:rPr>
                <w:rFonts w:hint="eastAsia" w:ascii="宋体" w:hAnsi="宋体"/>
                <w:color w:val="auto"/>
                <w:szCs w:val="21"/>
                <w:highlight w:val="none"/>
                <w:shd w:val="clear" w:color="auto" w:fill="FFFFFF" w:themeFill="background1"/>
                <w:lang w:eastAsia="zh-CN"/>
              </w:rPr>
              <w:t>；</w:t>
            </w:r>
            <w:r>
              <w:rPr>
                <w:rFonts w:hint="eastAsia" w:ascii="宋体" w:hAnsi="宋体"/>
                <w:color w:val="auto"/>
                <w:szCs w:val="21"/>
                <w:highlight w:val="none"/>
                <w:shd w:val="clear" w:color="auto" w:fill="FFFFFF" w:themeFill="background1"/>
              </w:rPr>
              <w:t>后续服务计划及保证措施等】；</w:t>
            </w:r>
          </w:p>
          <w:p w14:paraId="39A18BD8">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11.项目实施人员一览表（格式后附）；（</w:t>
            </w:r>
            <w:r>
              <w:rPr>
                <w:rFonts w:hint="eastAsia" w:ascii="宋体" w:hAnsi="宋体"/>
                <w:b/>
                <w:color w:val="auto"/>
                <w:szCs w:val="21"/>
                <w:highlight w:val="none"/>
                <w:shd w:val="clear" w:color="auto" w:fill="FFFFFF" w:themeFill="background1"/>
              </w:rPr>
              <w:t>必须提供，否则按无效投标处理</w:t>
            </w:r>
            <w:r>
              <w:rPr>
                <w:rFonts w:hint="eastAsia" w:ascii="宋体" w:hAnsi="宋体"/>
                <w:color w:val="auto"/>
                <w:szCs w:val="21"/>
                <w:highlight w:val="none"/>
                <w:shd w:val="clear" w:color="auto" w:fill="FFFFFF" w:themeFill="background1"/>
              </w:rPr>
              <w:t>）</w:t>
            </w:r>
          </w:p>
          <w:p w14:paraId="62EB2D41">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12.投标人对本项目的合理化建议和改进措施（格式自拟）；</w:t>
            </w:r>
          </w:p>
          <w:p w14:paraId="7EEBDC82">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13.除招标文件规定必须提供以外，投标人认为需要提供的其他证明材料（格式自拟）。（投标人根据“第二章 采购需求”及“第四章 评标方法及评标标准”提供有关证明材料）。</w:t>
            </w:r>
          </w:p>
          <w:p w14:paraId="5A7BC47D">
            <w:pPr>
              <w:snapToGrid w:val="0"/>
              <w:spacing w:line="360" w:lineRule="auto"/>
              <w:jc w:val="left"/>
              <w:rPr>
                <w:rFonts w:ascii="宋体" w:hAnsi="宋体" w:cs="Courier New"/>
                <w:b/>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注：以上标明“必须提供”的材料的，必须加盖投标人电子签章，否则按无效投标</w:t>
            </w:r>
            <w:r>
              <w:rPr>
                <w:rFonts w:hint="eastAsia" w:ascii="宋体" w:hAnsi="宋体" w:cs="Courier New"/>
                <w:b/>
                <w:color w:val="auto"/>
                <w:szCs w:val="21"/>
                <w:highlight w:val="none"/>
                <w:shd w:val="clear" w:color="auto" w:fill="FFFFFF" w:themeFill="background1"/>
              </w:rPr>
              <w:t>处理</w:t>
            </w:r>
            <w:r>
              <w:rPr>
                <w:rFonts w:hint="eastAsia" w:ascii="宋体" w:hAnsi="宋体"/>
                <w:b/>
                <w:bCs/>
                <w:color w:val="auto"/>
                <w:szCs w:val="21"/>
                <w:highlight w:val="none"/>
                <w:shd w:val="clear" w:color="auto" w:fill="FFFFFF" w:themeFill="background1"/>
              </w:rPr>
              <w:t>。</w:t>
            </w:r>
          </w:p>
        </w:tc>
      </w:tr>
      <w:tr w14:paraId="5EF1F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2FC7F50">
            <w:pPr>
              <w:spacing w:line="360" w:lineRule="auto"/>
              <w:ind w:firstLine="210" w:firstLineChars="100"/>
              <w:jc w:val="both"/>
              <w:rPr>
                <w:rFonts w:ascii="宋体" w:hAnsi="宋体"/>
                <w:color w:val="auto"/>
                <w:szCs w:val="21"/>
                <w:highlight w:val="none"/>
                <w:shd w:val="clear" w:color="auto" w:fill="FFFFFF" w:themeFill="background1"/>
              </w:rPr>
            </w:pPr>
            <w:bookmarkStart w:id="50" w:name="_16.2"/>
            <w:bookmarkEnd w:id="50"/>
            <w:bookmarkStart w:id="51" w:name="_13.4"/>
            <w:bookmarkEnd w:id="51"/>
            <w:bookmarkStart w:id="52" w:name="_13.5"/>
            <w:bookmarkEnd w:id="52"/>
            <w:r>
              <w:rPr>
                <w:rFonts w:hint="eastAsia" w:ascii="宋体" w:hAnsi="宋体"/>
                <w:color w:val="auto"/>
                <w:szCs w:val="21"/>
                <w:highlight w:val="none"/>
                <w:shd w:val="clear" w:color="auto" w:fill="FFFFFF" w:themeFill="background1"/>
              </w:rPr>
              <w:t>16.2</w:t>
            </w:r>
          </w:p>
        </w:tc>
        <w:tc>
          <w:tcPr>
            <w:tcW w:w="8175" w:type="dxa"/>
            <w:tcBorders>
              <w:top w:val="single" w:color="auto" w:sz="4" w:space="0"/>
              <w:left w:val="single" w:color="auto" w:sz="4" w:space="0"/>
              <w:bottom w:val="single" w:color="auto" w:sz="4" w:space="0"/>
              <w:right w:val="single" w:color="auto" w:sz="4" w:space="0"/>
            </w:tcBorders>
            <w:vAlign w:val="center"/>
          </w:tcPr>
          <w:p w14:paraId="3D7747FC">
            <w:pPr>
              <w:pStyle w:val="99"/>
              <w:spacing w:line="400" w:lineRule="exact"/>
              <w:ind w:firstLine="0" w:firstLineChars="0"/>
              <w:rPr>
                <w:color w:val="auto"/>
                <w:highlight w:val="none"/>
                <w:shd w:val="clear" w:color="auto" w:fill="FFFFFF" w:themeFill="background1"/>
              </w:rPr>
            </w:pPr>
            <w:r>
              <w:rPr>
                <w:rFonts w:hint="eastAsia" w:ascii="宋体" w:hAnsi="宋体"/>
                <w:color w:val="auto"/>
                <w:szCs w:val="21"/>
                <w:highlight w:val="none"/>
                <w:shd w:val="clear" w:color="auto" w:fill="FFFFFF" w:themeFill="background1"/>
              </w:rPr>
              <w:t>投标人投标报价应包含完成本“项目需求”中所列所有服务内容的服务价款以及所产生的所有成本，包括但不限于项目验收、税金、代理服务费等其他所有可能发生的一切费用，投标人应综合考虑在报价中。</w:t>
            </w:r>
          </w:p>
        </w:tc>
      </w:tr>
      <w:tr w14:paraId="7C680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4D6AEE7">
            <w:pPr>
              <w:spacing w:line="360" w:lineRule="auto"/>
              <w:ind w:firstLine="210" w:firstLineChars="100"/>
              <w:jc w:val="both"/>
              <w:rPr>
                <w:rFonts w:ascii="宋体" w:hAnsi="宋体"/>
                <w:color w:val="auto"/>
                <w:szCs w:val="21"/>
                <w:highlight w:val="none"/>
                <w:shd w:val="clear" w:color="auto" w:fill="FFFFFF" w:themeFill="background1"/>
              </w:rPr>
            </w:pPr>
            <w:bookmarkStart w:id="53" w:name="_17.1"/>
            <w:bookmarkEnd w:id="53"/>
            <w:r>
              <w:rPr>
                <w:rFonts w:hint="eastAsia" w:ascii="宋体" w:hAnsi="宋体"/>
                <w:color w:val="auto"/>
                <w:szCs w:val="21"/>
                <w:highlight w:val="none"/>
                <w:shd w:val="clear" w:color="auto" w:fill="FFFFFF" w:themeFill="background1"/>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01F67416">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投标有效期：自投标截止之日起</w:t>
            </w:r>
            <w:r>
              <w:rPr>
                <w:rFonts w:ascii="宋体" w:hAnsi="宋体"/>
                <w:color w:val="auto"/>
                <w:szCs w:val="21"/>
                <w:highlight w:val="none"/>
                <w:u w:val="single"/>
                <w:shd w:val="clear" w:color="auto" w:fill="FFFFFF" w:themeFill="background1"/>
              </w:rPr>
              <w:t xml:space="preserve">90 </w:t>
            </w:r>
            <w:r>
              <w:rPr>
                <w:rFonts w:hint="eastAsia" w:ascii="宋体" w:hAnsi="宋体"/>
                <w:color w:val="auto"/>
                <w:szCs w:val="21"/>
                <w:highlight w:val="none"/>
                <w:shd w:val="clear" w:color="auto" w:fill="FFFFFF" w:themeFill="background1"/>
              </w:rPr>
              <w:t>日。</w:t>
            </w:r>
          </w:p>
        </w:tc>
      </w:tr>
      <w:tr w14:paraId="7106A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4C43B1D">
            <w:pPr>
              <w:spacing w:line="360" w:lineRule="auto"/>
              <w:ind w:firstLine="210" w:firstLineChars="100"/>
              <w:jc w:val="both"/>
              <w:rPr>
                <w:rFonts w:ascii="宋体" w:hAnsi="宋体"/>
                <w:color w:val="auto"/>
                <w:szCs w:val="21"/>
                <w:highlight w:val="none"/>
                <w:shd w:val="clear" w:color="auto" w:fill="FFFFFF" w:themeFill="background1"/>
              </w:rPr>
            </w:pPr>
            <w:bookmarkStart w:id="54" w:name="_18"/>
            <w:bookmarkEnd w:id="54"/>
            <w:r>
              <w:rPr>
                <w:rFonts w:hint="eastAsia" w:ascii="宋体" w:hAnsi="宋体"/>
                <w:color w:val="auto"/>
                <w:szCs w:val="21"/>
                <w:highlight w:val="none"/>
                <w:shd w:val="clear" w:color="auto" w:fill="FFFFFF" w:themeFill="background1"/>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6DA164BD">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sym w:font="Wingdings 2" w:char="00A3"/>
            </w:r>
            <w:r>
              <w:rPr>
                <w:rFonts w:hint="eastAsia" w:ascii="宋体" w:hAnsi="宋体"/>
                <w:color w:val="auto"/>
                <w:szCs w:val="21"/>
                <w:highlight w:val="none"/>
                <w:shd w:val="clear" w:color="auto" w:fill="FFFFFF" w:themeFill="background1"/>
              </w:rPr>
              <w:t>本项目不收取投标保证金。</w:t>
            </w:r>
          </w:p>
          <w:p w14:paraId="1F213776">
            <w:pPr>
              <w:snapToGrid w:val="0"/>
              <w:spacing w:line="360" w:lineRule="auto"/>
              <w:ind w:firstLine="422"/>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sym w:font="Wingdings 2" w:char="0052"/>
            </w:r>
            <w:r>
              <w:rPr>
                <w:rFonts w:hint="eastAsia" w:ascii="宋体" w:hAnsi="宋体"/>
                <w:b/>
                <w:color w:val="auto"/>
                <w:szCs w:val="21"/>
                <w:highlight w:val="none"/>
                <w:shd w:val="clear" w:color="auto" w:fill="FFFFFF" w:themeFill="background1"/>
              </w:rPr>
              <w:t>本项目收取投标保证金</w:t>
            </w:r>
            <w:r>
              <w:rPr>
                <w:rFonts w:hint="eastAsia" w:ascii="宋体" w:hAnsi="宋体" w:cs="宋体"/>
                <w:b/>
                <w:bCs/>
                <w:color w:val="auto"/>
                <w:kern w:val="0"/>
                <w:szCs w:val="21"/>
                <w:highlight w:val="none"/>
                <w:shd w:val="clear" w:color="auto" w:fill="FFFFFF" w:themeFill="background1"/>
              </w:rPr>
              <w:t>人民币10000.00元</w:t>
            </w:r>
            <w:r>
              <w:rPr>
                <w:rFonts w:hint="eastAsia" w:ascii="宋体" w:hAnsi="宋体"/>
                <w:b/>
                <w:color w:val="auto"/>
                <w:szCs w:val="21"/>
                <w:highlight w:val="none"/>
                <w:shd w:val="clear" w:color="auto" w:fill="FFFFFF" w:themeFill="background1"/>
              </w:rPr>
              <w:t>，具体规定如下：</w:t>
            </w:r>
          </w:p>
          <w:p w14:paraId="394C0121">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s="宋体"/>
                <w:color w:val="auto"/>
                <w:kern w:val="0"/>
                <w:szCs w:val="21"/>
                <w:highlight w:val="none"/>
                <w:shd w:val="clear" w:color="auto" w:fill="FFFFFF" w:themeFill="background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kern w:val="0"/>
                <w:szCs w:val="21"/>
                <w:highlight w:val="none"/>
                <w:u w:val="single"/>
                <w:shd w:val="clear" w:color="auto" w:fill="FFFFFF" w:themeFill="background1"/>
              </w:rPr>
              <w:t>开户名称：广西同泽工程项目管理股份有限公司 、开户银行：建行广西区分行营业部本级营业厅 、银行账号：4500 1594 1510 5071 6039</w:t>
            </w:r>
            <w:r>
              <w:rPr>
                <w:rFonts w:hint="eastAsia" w:ascii="宋体" w:hAnsi="宋体" w:cs="宋体"/>
                <w:color w:val="auto"/>
                <w:kern w:val="0"/>
                <w:szCs w:val="21"/>
                <w:highlight w:val="none"/>
                <w:shd w:val="clear" w:color="auto" w:fill="FFFFFF" w:themeFill="background1"/>
              </w:rPr>
              <w:t>）；采用支票、汇票、本票或者保函等方式的，在投标截止时间前，投标人必须递交支票、汇票、本票或者保函原件。否则视为无效投标保证金。</w:t>
            </w:r>
          </w:p>
          <w:p w14:paraId="2ABA099F">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相关要求：</w:t>
            </w:r>
          </w:p>
          <w:p w14:paraId="5B9C4411">
            <w:pPr>
              <w:pStyle w:val="20"/>
              <w:spacing w:line="360" w:lineRule="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1.投标保证金采用银行转账交纳方式的，在投标截止时间前交至指定账户并且到账，投标人应将银行转账底单的复印件作为投标保证金提交凭证，</w:t>
            </w:r>
            <w:r>
              <w:rPr>
                <w:rFonts w:ascii="宋体" w:hAnsi="宋体"/>
                <w:color w:val="auto"/>
                <w:szCs w:val="21"/>
                <w:highlight w:val="none"/>
                <w:shd w:val="clear" w:color="auto" w:fill="FFFFFF" w:themeFill="background1"/>
              </w:rPr>
              <w:t>放置于</w:t>
            </w:r>
            <w:r>
              <w:rPr>
                <w:rFonts w:hint="eastAsia" w:ascii="宋体" w:hAnsi="宋体"/>
                <w:color w:val="auto"/>
                <w:szCs w:val="21"/>
                <w:highlight w:val="none"/>
                <w:shd w:val="clear" w:color="auto" w:fill="FFFFFF" w:themeFill="background1"/>
              </w:rPr>
              <w:t>商务文件</w:t>
            </w:r>
            <w:r>
              <w:rPr>
                <w:rFonts w:ascii="宋体" w:hAnsi="宋体"/>
                <w:color w:val="auto"/>
                <w:szCs w:val="21"/>
                <w:highlight w:val="none"/>
                <w:shd w:val="clear" w:color="auto" w:fill="FFFFFF" w:themeFill="background1"/>
              </w:rPr>
              <w:t>中</w:t>
            </w:r>
            <w:r>
              <w:rPr>
                <w:rFonts w:hint="eastAsia" w:ascii="宋体" w:hAnsi="宋体"/>
                <w:color w:val="auto"/>
                <w:szCs w:val="21"/>
                <w:highlight w:val="none"/>
                <w:shd w:val="clear" w:color="auto" w:fill="FFFFFF" w:themeFill="background1"/>
              </w:rPr>
              <w:t>，</w:t>
            </w:r>
            <w:r>
              <w:rPr>
                <w:rFonts w:hint="eastAsia" w:ascii="宋体" w:hAnsi="宋体"/>
                <w:b/>
                <w:color w:val="auto"/>
                <w:szCs w:val="21"/>
                <w:highlight w:val="none"/>
                <w:shd w:val="clear" w:color="auto" w:fill="FFFFFF" w:themeFill="background1"/>
              </w:rPr>
              <w:t>否则投标无效</w:t>
            </w:r>
            <w:r>
              <w:rPr>
                <w:rFonts w:hint="eastAsia" w:ascii="宋体" w:hAnsi="宋体"/>
                <w:color w:val="auto"/>
                <w:szCs w:val="21"/>
                <w:highlight w:val="none"/>
                <w:shd w:val="clear" w:color="auto" w:fill="FFFFFF" w:themeFill="background1"/>
              </w:rPr>
              <w:t>。</w:t>
            </w:r>
          </w:p>
          <w:p w14:paraId="08FB50AE">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shd w:val="clear" w:color="auto" w:fill="FFFFFF" w:themeFill="background1"/>
              </w:rPr>
              <w:t>否则投标无效</w:t>
            </w:r>
            <w:r>
              <w:rPr>
                <w:rFonts w:hint="eastAsia" w:ascii="宋体" w:hAnsi="宋体"/>
                <w:color w:val="auto"/>
                <w:szCs w:val="21"/>
                <w:highlight w:val="none"/>
                <w:shd w:val="clear" w:color="auto" w:fill="FFFFFF" w:themeFill="background1"/>
              </w:rPr>
              <w:t>。投标人必须</w:t>
            </w:r>
            <w:r>
              <w:rPr>
                <w:rFonts w:hint="eastAsia"/>
                <w:color w:val="auto"/>
                <w:highlight w:val="none"/>
                <w:shd w:val="clear" w:color="auto" w:fill="FFFFFF" w:themeFill="background1"/>
              </w:rPr>
              <w:t>在投标截止时间前</w:t>
            </w:r>
            <w:r>
              <w:rPr>
                <w:rFonts w:hint="eastAsia" w:ascii="宋体" w:hAnsi="宋体"/>
                <w:color w:val="auto"/>
                <w:szCs w:val="21"/>
                <w:highlight w:val="none"/>
                <w:shd w:val="clear" w:color="auto" w:fill="FFFFFF" w:themeFill="background1"/>
              </w:rPr>
              <w:t>将支票、汇票、本票或者金融、担保机构出具的保函原件提交给采购人或者采购代理机构，由采购人或者采购代理机构向投标人出具回执，并妥善保管。</w:t>
            </w:r>
          </w:p>
          <w:p w14:paraId="3917266B">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3.投标人为联合体的，可以由联合体中的一方或者多方共同交纳投标保证金，其交纳的保证金对联合体各方均具有约束力。</w:t>
            </w:r>
          </w:p>
          <w:p w14:paraId="7AD7A53F">
            <w:pPr>
              <w:snapToGrid w:val="0"/>
              <w:spacing w:line="360" w:lineRule="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 xml:space="preserve">备注： </w:t>
            </w:r>
          </w:p>
          <w:p w14:paraId="559DF7F7">
            <w:pPr>
              <w:snapToGrid w:val="0"/>
              <w:spacing w:line="360" w:lineRule="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1. 投标保证金在投标截止时间后提交的，或者不按规定交纳方式交纳的，或者未足额交纳的（包含保函额度不足的），视为无效投标保证金。</w:t>
            </w:r>
          </w:p>
          <w:p w14:paraId="653DBA7C">
            <w:pPr>
              <w:snapToGrid w:val="0"/>
              <w:spacing w:line="360" w:lineRule="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2.投标人采用现钞方式或者从个人账户（自然人投标除外）转出的投标保证金，视为无效投标保证金。</w:t>
            </w:r>
          </w:p>
          <w:p w14:paraId="26D8961B">
            <w:pPr>
              <w:snapToGrid w:val="0"/>
              <w:spacing w:line="360" w:lineRule="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3.支票、汇票或者本票出现无效或者背书情形的，视为无效投标保证金。</w:t>
            </w:r>
          </w:p>
          <w:p w14:paraId="5B6C1F8D">
            <w:pPr>
              <w:snapToGrid w:val="0"/>
              <w:spacing w:line="360" w:lineRule="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4.保函有效期低于投标有效期的，视为无效投标保证金。</w:t>
            </w:r>
          </w:p>
          <w:p w14:paraId="6ED2396A">
            <w:pPr>
              <w:snapToGrid w:val="0"/>
              <w:spacing w:line="360" w:lineRule="auto"/>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5.采用金融、担保机构出具保函的，必须为无条件保函，否则视为无效投标保证金。</w:t>
            </w:r>
          </w:p>
        </w:tc>
      </w:tr>
      <w:tr w14:paraId="3D544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8" w:type="dxa"/>
            <w:tcBorders>
              <w:top w:val="single" w:color="auto" w:sz="4" w:space="0"/>
              <w:left w:val="single" w:color="auto" w:sz="4" w:space="0"/>
              <w:bottom w:val="single" w:color="auto" w:sz="4" w:space="0"/>
              <w:right w:val="single" w:color="auto" w:sz="4" w:space="0"/>
            </w:tcBorders>
            <w:vAlign w:val="center"/>
          </w:tcPr>
          <w:p w14:paraId="176FF360">
            <w:pPr>
              <w:spacing w:line="360" w:lineRule="auto"/>
              <w:ind w:firstLine="210" w:firstLineChars="100"/>
              <w:jc w:val="both"/>
              <w:rPr>
                <w:rFonts w:ascii="宋体" w:hAnsi="宋体"/>
                <w:color w:val="auto"/>
                <w:szCs w:val="21"/>
                <w:highlight w:val="none"/>
                <w:shd w:val="clear" w:color="auto" w:fill="FFFFFF" w:themeFill="background1"/>
              </w:rPr>
            </w:pPr>
            <w:bookmarkStart w:id="55" w:name="_21.1"/>
            <w:bookmarkEnd w:id="55"/>
            <w:bookmarkStart w:id="56" w:name="_19.2"/>
            <w:bookmarkEnd w:id="56"/>
            <w:r>
              <w:rPr>
                <w:rFonts w:hint="eastAsia" w:ascii="宋体" w:hAnsi="宋体"/>
                <w:color w:val="auto"/>
                <w:szCs w:val="21"/>
                <w:highlight w:val="none"/>
                <w:shd w:val="clear" w:color="auto" w:fill="FFFFFF" w:themeFill="background1"/>
              </w:rPr>
              <w:t>19.2</w:t>
            </w:r>
          </w:p>
        </w:tc>
        <w:tc>
          <w:tcPr>
            <w:tcW w:w="8175" w:type="dxa"/>
            <w:tcBorders>
              <w:top w:val="single" w:color="auto" w:sz="4" w:space="0"/>
              <w:left w:val="single" w:color="auto" w:sz="4" w:space="0"/>
              <w:bottom w:val="single" w:color="auto" w:sz="4" w:space="0"/>
              <w:right w:val="single" w:color="auto" w:sz="4" w:space="0"/>
            </w:tcBorders>
            <w:vAlign w:val="center"/>
          </w:tcPr>
          <w:p w14:paraId="2565213B">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本项目不接受</w:t>
            </w:r>
            <w:r>
              <w:rPr>
                <w:rFonts w:hint="eastAsia"/>
                <w:color w:val="auto"/>
                <w:highlight w:val="none"/>
                <w:shd w:val="clear" w:color="auto" w:fill="FFFFFF" w:themeFill="background1"/>
              </w:rPr>
              <w:t>电子</w:t>
            </w:r>
            <w:r>
              <w:rPr>
                <w:rFonts w:hint="eastAsia" w:ascii="宋体" w:hAnsi="宋体"/>
                <w:color w:val="auto"/>
                <w:szCs w:val="21"/>
                <w:highlight w:val="none"/>
                <w:shd w:val="clear" w:color="auto" w:fill="FFFFFF" w:themeFill="background1"/>
              </w:rPr>
              <w:t>备份投标文件</w:t>
            </w:r>
          </w:p>
        </w:tc>
      </w:tr>
      <w:tr w14:paraId="5941E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208AEFEE">
            <w:pPr>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4C971182">
            <w:pPr>
              <w:snapToGrid w:val="0"/>
              <w:spacing w:line="360" w:lineRule="auto"/>
              <w:ind w:firstLine="422"/>
              <w:rPr>
                <w:rFonts w:ascii="宋体" w:hAnsi="宋体"/>
                <w:color w:val="auto"/>
                <w:szCs w:val="21"/>
                <w:highlight w:val="none"/>
                <w:u w:val="single"/>
                <w:shd w:val="clear" w:color="auto" w:fill="FFFFFF" w:themeFill="background1"/>
              </w:rPr>
            </w:pPr>
            <w:r>
              <w:rPr>
                <w:rFonts w:hint="eastAsia" w:ascii="宋体" w:hAnsi="宋体"/>
                <w:color w:val="auto"/>
                <w:szCs w:val="21"/>
                <w:highlight w:val="none"/>
                <w:shd w:val="clear" w:color="auto" w:fill="FFFFFF" w:themeFill="background1"/>
              </w:rPr>
              <w:t>1. 提交投标文件截止时间：详见招标公告</w:t>
            </w:r>
          </w:p>
          <w:p w14:paraId="0463E7B6">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2.投标地点：详见招标公告</w:t>
            </w:r>
          </w:p>
        </w:tc>
      </w:tr>
      <w:tr w14:paraId="0E320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020D6FD">
            <w:pPr>
              <w:spacing w:line="360" w:lineRule="auto"/>
              <w:ind w:firstLine="210" w:firstLineChars="100"/>
              <w:jc w:val="both"/>
              <w:rPr>
                <w:rFonts w:ascii="宋体" w:hAnsi="宋体"/>
                <w:color w:val="auto"/>
                <w:szCs w:val="21"/>
                <w:highlight w:val="none"/>
                <w:shd w:val="clear" w:color="auto" w:fill="FFFFFF" w:themeFill="background1"/>
              </w:rPr>
            </w:pPr>
            <w:bookmarkStart w:id="57" w:name="_23"/>
            <w:bookmarkEnd w:id="57"/>
            <w:r>
              <w:rPr>
                <w:rFonts w:hint="eastAsia" w:ascii="宋体" w:hAnsi="宋体"/>
                <w:color w:val="auto"/>
                <w:szCs w:val="21"/>
                <w:highlight w:val="none"/>
                <w:shd w:val="clear" w:color="auto" w:fill="FFFFFF" w:themeFill="background1"/>
              </w:rPr>
              <w:t>23</w:t>
            </w:r>
          </w:p>
        </w:tc>
        <w:tc>
          <w:tcPr>
            <w:tcW w:w="8175" w:type="dxa"/>
            <w:tcBorders>
              <w:top w:val="single" w:color="auto" w:sz="4" w:space="0"/>
              <w:left w:val="single" w:color="auto" w:sz="4" w:space="0"/>
              <w:bottom w:val="single" w:color="auto" w:sz="4" w:space="0"/>
              <w:right w:val="single" w:color="auto" w:sz="4" w:space="0"/>
            </w:tcBorders>
            <w:vAlign w:val="center"/>
          </w:tcPr>
          <w:p w14:paraId="157AB5B6">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1.开标时间：详见招标公告</w:t>
            </w:r>
          </w:p>
          <w:p w14:paraId="6F3FE951">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2.开标地点：详见招标公告</w:t>
            </w:r>
          </w:p>
        </w:tc>
      </w:tr>
      <w:tr w14:paraId="2F8BF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138EF5D">
            <w:pPr>
              <w:spacing w:line="360" w:lineRule="auto"/>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63549BCD">
            <w:pPr>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电子投标文件解密时间：30分钟</w:t>
            </w:r>
          </w:p>
        </w:tc>
      </w:tr>
      <w:tr w14:paraId="32FC3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ACD2A82">
            <w:pPr>
              <w:spacing w:line="360" w:lineRule="auto"/>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24.3（2）</w:t>
            </w:r>
          </w:p>
        </w:tc>
        <w:tc>
          <w:tcPr>
            <w:tcW w:w="8175" w:type="dxa"/>
            <w:tcBorders>
              <w:top w:val="single" w:color="auto" w:sz="4" w:space="0"/>
              <w:left w:val="single" w:color="auto" w:sz="4" w:space="0"/>
              <w:bottom w:val="single" w:color="auto" w:sz="4" w:space="0"/>
              <w:right w:val="single" w:color="auto" w:sz="4" w:space="0"/>
            </w:tcBorders>
            <w:vAlign w:val="center"/>
          </w:tcPr>
          <w:p w14:paraId="3483827B">
            <w:pPr>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宣布的内容：投标人名称、投标价格。</w:t>
            </w:r>
          </w:p>
        </w:tc>
      </w:tr>
      <w:tr w14:paraId="5DA78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20DA47A">
            <w:pPr>
              <w:spacing w:line="360" w:lineRule="auto"/>
              <w:jc w:val="both"/>
              <w:rPr>
                <w:rFonts w:ascii="宋体" w:hAnsi="宋体"/>
                <w:color w:val="auto"/>
                <w:szCs w:val="21"/>
                <w:highlight w:val="none"/>
                <w:shd w:val="clear" w:color="auto" w:fill="FFFFFF" w:themeFill="background1"/>
              </w:rPr>
            </w:pPr>
            <w:bookmarkStart w:id="58" w:name="_25.3"/>
            <w:bookmarkEnd w:id="58"/>
            <w:r>
              <w:rPr>
                <w:rFonts w:hint="eastAsia" w:ascii="宋体" w:hAnsi="宋体"/>
                <w:color w:val="auto"/>
                <w:szCs w:val="21"/>
                <w:highlight w:val="none"/>
                <w:shd w:val="clear" w:color="auto" w:fill="FFFFFF" w:themeFill="background1"/>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469436D4">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采购人或者采购代理机构在资格审查结束前，对投标人进行信用查询。</w:t>
            </w:r>
          </w:p>
          <w:p w14:paraId="215D0C45">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查询渠道：“信用中国”网站（www.creditchina.gov.cn） 、中国政府采购网（www.ccgp.gov.cn）。</w:t>
            </w:r>
          </w:p>
          <w:p w14:paraId="0328178D">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信用查询截止时点：资格审查结束前</w:t>
            </w:r>
          </w:p>
          <w:p w14:paraId="70242C36">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查询记录和证据留存方式：在查询网站中直接截图查询记录，截图作为在“广西政府采购云平台”作为附件上传保存。</w:t>
            </w:r>
          </w:p>
          <w:p w14:paraId="31132E32">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p w14:paraId="74A01E30">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b/>
                <w:bCs/>
                <w:color w:val="auto"/>
                <w:szCs w:val="21"/>
                <w:highlight w:val="none"/>
                <w:shd w:val="clear" w:color="auto" w:fill="FFFFFF" w:themeFill="background1"/>
              </w:rPr>
              <w:t>（招标文件载明不接受联合体投标或投标人非联合体的，请忽略）</w:t>
            </w:r>
          </w:p>
        </w:tc>
      </w:tr>
      <w:tr w14:paraId="7B2D5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92CA89F">
            <w:pPr>
              <w:spacing w:line="360" w:lineRule="auto"/>
              <w:ind w:firstLine="210" w:firstLineChars="100"/>
              <w:jc w:val="both"/>
              <w:rPr>
                <w:rFonts w:ascii="宋体" w:hAnsi="宋体"/>
                <w:color w:val="auto"/>
                <w:szCs w:val="21"/>
                <w:highlight w:val="none"/>
                <w:shd w:val="clear" w:color="auto" w:fill="FFFFFF" w:themeFill="background1"/>
              </w:rPr>
            </w:pPr>
            <w:bookmarkStart w:id="59" w:name="_26"/>
            <w:bookmarkEnd w:id="59"/>
            <w:r>
              <w:rPr>
                <w:rFonts w:hint="eastAsia" w:ascii="宋体" w:hAnsi="宋体"/>
                <w:color w:val="auto"/>
                <w:szCs w:val="21"/>
                <w:highlight w:val="none"/>
                <w:shd w:val="clear" w:color="auto" w:fill="FFFFFF" w:themeFill="background1"/>
              </w:rPr>
              <w:t>26</w:t>
            </w:r>
            <w:r>
              <w:rPr>
                <w:rFonts w:ascii="宋体" w:hAnsi="宋体"/>
                <w:color w:val="auto"/>
                <w:szCs w:val="21"/>
                <w:highlight w:val="none"/>
                <w:shd w:val="clear" w:color="auto" w:fill="FFFFFF" w:themeFill="background1"/>
              </w:rPr>
              <w:t>.1</w:t>
            </w:r>
          </w:p>
        </w:tc>
        <w:tc>
          <w:tcPr>
            <w:tcW w:w="8175" w:type="dxa"/>
            <w:tcBorders>
              <w:top w:val="single" w:color="auto" w:sz="4" w:space="0"/>
              <w:left w:val="single" w:color="auto" w:sz="4" w:space="0"/>
              <w:bottom w:val="single" w:color="auto" w:sz="4" w:space="0"/>
              <w:right w:val="single" w:color="auto" w:sz="4" w:space="0"/>
            </w:tcBorders>
            <w:vAlign w:val="center"/>
          </w:tcPr>
          <w:p w14:paraId="08F768D0">
            <w:pPr>
              <w:autoSpaceDE w:val="0"/>
              <w:autoSpaceDN w:val="0"/>
              <w:snapToGrid w:val="0"/>
              <w:spacing w:line="360" w:lineRule="auto"/>
              <w:ind w:firstLine="422"/>
              <w:textAlignment w:val="bottom"/>
              <w:rPr>
                <w:rFonts w:hint="default" w:ascii="宋体" w:hAnsi="宋体" w:eastAsia="宋体"/>
                <w:color w:val="auto"/>
                <w:szCs w:val="21"/>
                <w:highlight w:val="none"/>
                <w:shd w:val="clear" w:color="auto" w:fill="FFFFFF" w:themeFill="background1"/>
                <w:lang w:val="en-US" w:eastAsia="zh-CN"/>
              </w:rPr>
            </w:pPr>
            <w:r>
              <w:rPr>
                <w:rFonts w:hint="eastAsia" w:ascii="宋体" w:hAnsi="宋体"/>
                <w:color w:val="auto"/>
                <w:szCs w:val="21"/>
                <w:highlight w:val="none"/>
                <w:shd w:val="clear" w:color="auto" w:fill="FFFFFF" w:themeFill="background1"/>
              </w:rPr>
              <w:t>评标委员会的人数：</w:t>
            </w:r>
            <w:r>
              <w:rPr>
                <w:rFonts w:hint="eastAsia" w:ascii="宋体" w:hAnsi="宋体"/>
                <w:color w:val="auto"/>
                <w:szCs w:val="21"/>
                <w:highlight w:val="none"/>
                <w:shd w:val="clear" w:color="auto" w:fill="FFFFFF" w:themeFill="background1"/>
                <w:lang w:val="en-US" w:eastAsia="zh-CN"/>
              </w:rPr>
              <w:t>评审专家5人。</w:t>
            </w:r>
          </w:p>
        </w:tc>
      </w:tr>
      <w:tr w14:paraId="55C57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632916E">
            <w:pPr>
              <w:spacing w:line="360" w:lineRule="auto"/>
              <w:ind w:firstLine="210" w:firstLineChars="100"/>
              <w:jc w:val="both"/>
              <w:rPr>
                <w:rFonts w:ascii="宋体" w:hAnsi="宋体"/>
                <w:color w:val="auto"/>
                <w:szCs w:val="21"/>
                <w:highlight w:val="none"/>
                <w:shd w:val="clear" w:color="auto" w:fill="FFFFFF" w:themeFill="background1"/>
              </w:rPr>
            </w:pPr>
            <w:bookmarkStart w:id="60" w:name="_28.3"/>
            <w:bookmarkEnd w:id="60"/>
            <w:r>
              <w:rPr>
                <w:rFonts w:ascii="宋体" w:hAnsi="宋体"/>
                <w:color w:val="auto"/>
                <w:szCs w:val="21"/>
                <w:highlight w:val="none"/>
                <w:shd w:val="clear" w:color="auto" w:fill="FFFFFF" w:themeFill="background1"/>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0D4F64F1">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评标方法：</w:t>
            </w:r>
          </w:p>
          <w:p w14:paraId="54FEB3CE">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√综合评分法</w:t>
            </w:r>
          </w:p>
          <w:p w14:paraId="5E66CFD5">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□最低评标价法</w:t>
            </w:r>
          </w:p>
        </w:tc>
      </w:tr>
      <w:tr w14:paraId="6B18A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080BBB81">
            <w:pPr>
              <w:spacing w:line="360" w:lineRule="auto"/>
              <w:ind w:firstLine="210" w:firstLineChars="100"/>
              <w:jc w:val="both"/>
              <w:rPr>
                <w:rFonts w:ascii="宋体" w:hAnsi="宋体" w:cs="宋体"/>
                <w:color w:val="auto"/>
                <w:szCs w:val="21"/>
                <w:highlight w:val="none"/>
                <w:shd w:val="clear" w:color="auto" w:fill="FFFFFF" w:themeFill="background1"/>
              </w:rPr>
            </w:pPr>
            <w:bookmarkStart w:id="61" w:name="_29.2.2（2）"/>
            <w:bookmarkEnd w:id="61"/>
            <w:r>
              <w:rPr>
                <w:rFonts w:hint="eastAsia" w:ascii="宋体" w:hAnsi="宋体"/>
                <w:color w:val="auto"/>
                <w:szCs w:val="21"/>
                <w:highlight w:val="none"/>
                <w:shd w:val="clear" w:color="auto" w:fill="FFFFFF" w:themeFill="background1"/>
              </w:rPr>
              <w:t>2</w:t>
            </w:r>
            <w:r>
              <w:rPr>
                <w:rFonts w:ascii="宋体" w:hAnsi="宋体"/>
                <w:color w:val="auto"/>
                <w:szCs w:val="21"/>
                <w:highlight w:val="none"/>
                <w:shd w:val="clear" w:color="auto" w:fill="FFFFFF" w:themeFill="background1"/>
              </w:rPr>
              <w:t>9.2</w:t>
            </w:r>
          </w:p>
        </w:tc>
        <w:tc>
          <w:tcPr>
            <w:tcW w:w="8175" w:type="dxa"/>
            <w:tcBorders>
              <w:top w:val="single" w:color="auto" w:sz="4" w:space="0"/>
              <w:left w:val="single" w:color="auto" w:sz="4" w:space="0"/>
              <w:right w:val="single" w:color="auto" w:sz="4" w:space="0"/>
            </w:tcBorders>
            <w:vAlign w:val="center"/>
          </w:tcPr>
          <w:p w14:paraId="5B3A888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商务要求评审中允许负偏离的条款数为</w:t>
            </w:r>
            <w:r>
              <w:rPr>
                <w:rFonts w:ascii="宋体" w:hAnsi="宋体" w:cs="宋体"/>
                <w:color w:val="auto"/>
                <w:szCs w:val="21"/>
                <w:highlight w:val="none"/>
                <w:shd w:val="clear" w:color="auto" w:fill="FFFFFF" w:themeFill="background1"/>
              </w:rPr>
              <w:t>0</w:t>
            </w:r>
            <w:r>
              <w:rPr>
                <w:rFonts w:hint="eastAsia" w:ascii="宋体" w:hAnsi="宋体" w:cs="宋体"/>
                <w:color w:val="auto"/>
                <w:szCs w:val="21"/>
                <w:highlight w:val="none"/>
                <w:shd w:val="clear" w:color="auto" w:fill="FFFFFF" w:themeFill="background1"/>
              </w:rPr>
              <w:t>项。</w:t>
            </w:r>
          </w:p>
          <w:p w14:paraId="23E109C6">
            <w:pPr>
              <w:snapToGrid w:val="0"/>
              <w:spacing w:line="360" w:lineRule="auto"/>
              <w:ind w:firstLine="422"/>
              <w:rPr>
                <w:rFonts w:ascii="宋体" w:hAnsi="宋体" w:cs="宋体"/>
                <w:bCs/>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技术要求评审中允许负偏离的条款数为0项。</w:t>
            </w:r>
          </w:p>
        </w:tc>
      </w:tr>
      <w:tr w14:paraId="2016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14:paraId="4050B3A7">
            <w:pPr>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w:t>
            </w:r>
            <w:r>
              <w:rPr>
                <w:rFonts w:ascii="宋体" w:hAnsi="宋体"/>
                <w:color w:val="auto"/>
                <w:szCs w:val="21"/>
                <w:highlight w:val="none"/>
                <w:shd w:val="clear" w:color="auto" w:fill="FFFFFF" w:themeFill="background1"/>
              </w:rPr>
              <w:t>9.3</w:t>
            </w:r>
          </w:p>
        </w:tc>
        <w:tc>
          <w:tcPr>
            <w:tcW w:w="8175" w:type="dxa"/>
            <w:tcBorders>
              <w:top w:val="single" w:color="auto" w:sz="4" w:space="0"/>
              <w:left w:val="single" w:color="auto" w:sz="4" w:space="0"/>
              <w:right w:val="single" w:color="auto" w:sz="4" w:space="0"/>
            </w:tcBorders>
            <w:vAlign w:val="center"/>
          </w:tcPr>
          <w:p w14:paraId="78B5468E">
            <w:pPr>
              <w:snapToGrid w:val="0"/>
              <w:spacing w:line="360" w:lineRule="auto"/>
              <w:ind w:firstLine="422"/>
              <w:rPr>
                <w:rFonts w:hAnsi="宋体"/>
                <w:color w:val="auto"/>
                <w:highlight w:val="none"/>
                <w:shd w:val="clear" w:color="auto" w:fill="FFFFFF" w:themeFill="background1"/>
              </w:rPr>
            </w:pPr>
            <w:r>
              <w:rPr>
                <w:rFonts w:hAnsi="宋体"/>
                <w:color w:val="auto"/>
                <w:highlight w:val="none"/>
                <w:shd w:val="clear" w:color="auto" w:fill="FFFFFF" w:themeFill="background1"/>
              </w:rPr>
              <w:t>中标候选人推荐数量</w:t>
            </w:r>
            <w:r>
              <w:rPr>
                <w:rFonts w:hint="eastAsia" w:hAnsi="宋体"/>
                <w:color w:val="auto"/>
                <w:highlight w:val="none"/>
                <w:shd w:val="clear" w:color="auto" w:fill="FFFFFF" w:themeFill="background1"/>
              </w:rPr>
              <w:t>：</w:t>
            </w:r>
          </w:p>
          <w:p w14:paraId="1FB5846B">
            <w:pPr>
              <w:pStyle w:val="220"/>
              <w:numPr>
                <w:ilvl w:val="0"/>
                <w:numId w:val="22"/>
              </w:numPr>
              <w:snapToGrid w:val="0"/>
              <w:spacing w:line="360" w:lineRule="auto"/>
              <w:ind w:firstLineChars="0"/>
              <w:rPr>
                <w:rFonts w:hAnsi="宋体"/>
                <w:color w:val="auto"/>
                <w:highlight w:val="none"/>
                <w:shd w:val="clear" w:color="auto" w:fill="FFFFFF" w:themeFill="background1"/>
              </w:rPr>
            </w:pPr>
            <w:r>
              <w:rPr>
                <w:rFonts w:hint="eastAsia" w:hAnsi="宋体"/>
                <w:color w:val="auto"/>
                <w:highlight w:val="none"/>
                <w:u w:val="single"/>
                <w:shd w:val="clear" w:color="auto" w:fill="FFFFFF" w:themeFill="background1"/>
              </w:rPr>
              <w:t>/</w:t>
            </w:r>
            <w:r>
              <w:rPr>
                <w:rFonts w:hAnsi="宋体"/>
                <w:color w:val="auto"/>
                <w:highlight w:val="none"/>
                <w:shd w:val="clear" w:color="auto" w:fill="FFFFFF" w:themeFill="background1"/>
              </w:rPr>
              <w:t>名</w:t>
            </w:r>
          </w:p>
          <w:p w14:paraId="6FC6F718">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w:t>
            </w:r>
            <w:r>
              <w:rPr>
                <w:rFonts w:hint="eastAsia" w:hAnsi="宋体"/>
                <w:color w:val="auto"/>
                <w:highlight w:val="none"/>
                <w:shd w:val="clear" w:color="auto" w:fill="FFFFFF" w:themeFill="background1"/>
              </w:rPr>
              <w:t>根据[总得分由高到低</w:t>
            </w:r>
            <w:r>
              <w:rPr>
                <w:rFonts w:hAnsi="宋体"/>
                <w:color w:val="auto"/>
                <w:highlight w:val="none"/>
                <w:shd w:val="clear" w:color="auto" w:fill="FFFFFF" w:themeFill="background1"/>
              </w:rPr>
              <w:t>]</w:t>
            </w:r>
            <w:r>
              <w:rPr>
                <w:rFonts w:hint="eastAsia" w:hAnsi="宋体"/>
                <w:color w:val="auto"/>
                <w:highlight w:val="none"/>
                <w:shd w:val="clear" w:color="auto" w:fill="FFFFFF" w:themeFill="background1"/>
              </w:rPr>
              <w:t>排列次序并全部推荐为中标候选人</w:t>
            </w:r>
          </w:p>
        </w:tc>
      </w:tr>
      <w:tr w14:paraId="51377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00CC457">
            <w:pPr>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30</w:t>
            </w:r>
            <w:r>
              <w:rPr>
                <w:rFonts w:ascii="宋体" w:hAnsi="宋体"/>
                <w:color w:val="auto"/>
                <w:szCs w:val="21"/>
                <w:highlight w:val="none"/>
                <w:shd w:val="clear" w:color="auto" w:fill="FFFFFF" w:themeFill="background1"/>
              </w:rPr>
              <w:t>.1</w:t>
            </w:r>
          </w:p>
        </w:tc>
        <w:tc>
          <w:tcPr>
            <w:tcW w:w="8175" w:type="dxa"/>
            <w:tcBorders>
              <w:top w:val="single" w:color="auto" w:sz="4" w:space="0"/>
              <w:left w:val="single" w:color="auto" w:sz="4" w:space="0"/>
              <w:bottom w:val="single" w:color="auto" w:sz="4" w:space="0"/>
              <w:right w:val="single" w:color="auto" w:sz="4" w:space="0"/>
            </w:tcBorders>
            <w:vAlign w:val="center"/>
          </w:tcPr>
          <w:p w14:paraId="3EBB0228">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采用综合评分法的采购项目，采购人确定中标人时，出现中标候选人并列的情形，采购人按以下的方式确定中标人：</w:t>
            </w:r>
          </w:p>
          <w:p w14:paraId="37B0049F">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√依次按投标报价低的优先、政策分得分高的优先、技术评分高的优先、商务评分高的优先、故障响应时间短优先的顺序确定；</w:t>
            </w:r>
          </w:p>
          <w:p w14:paraId="726A9A65">
            <w:pPr>
              <w:autoSpaceDE w:val="0"/>
              <w:autoSpaceDN w:val="0"/>
              <w:snapToGrid w:val="0"/>
              <w:spacing w:line="360" w:lineRule="auto"/>
              <w:ind w:firstLine="422"/>
              <w:textAlignment w:val="bottom"/>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□随机抽取；</w:t>
            </w:r>
          </w:p>
        </w:tc>
      </w:tr>
      <w:tr w14:paraId="0D3EB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5FAFF7B4">
            <w:pPr>
              <w:spacing w:line="360" w:lineRule="auto"/>
              <w:ind w:firstLine="210" w:firstLineChars="100"/>
              <w:jc w:val="both"/>
              <w:rPr>
                <w:rFonts w:ascii="宋体" w:hAnsi="宋体"/>
                <w:color w:val="auto"/>
                <w:szCs w:val="21"/>
                <w:highlight w:val="none"/>
                <w:shd w:val="clear" w:color="auto" w:fill="FFFFFF" w:themeFill="background1"/>
              </w:rPr>
            </w:pPr>
            <w:bookmarkStart w:id="62" w:name="_39.1"/>
            <w:bookmarkEnd w:id="62"/>
            <w:r>
              <w:rPr>
                <w:rFonts w:hint="eastAsia" w:ascii="宋体" w:hAnsi="宋体"/>
                <w:color w:val="auto"/>
                <w:szCs w:val="21"/>
                <w:highlight w:val="none"/>
                <w:shd w:val="clear" w:color="auto" w:fill="FFFFFF" w:themeFill="background1"/>
              </w:rPr>
              <w:t>35</w:t>
            </w:r>
            <w:r>
              <w:rPr>
                <w:rFonts w:ascii="宋体" w:hAnsi="宋体"/>
                <w:color w:val="auto"/>
                <w:szCs w:val="21"/>
                <w:highlight w:val="none"/>
                <w:shd w:val="clear" w:color="auto" w:fill="FFFFFF" w:themeFill="background1"/>
              </w:rPr>
              <w:t>.1</w:t>
            </w:r>
          </w:p>
        </w:tc>
        <w:tc>
          <w:tcPr>
            <w:tcW w:w="8175" w:type="dxa"/>
            <w:tcBorders>
              <w:top w:val="single" w:color="auto" w:sz="4" w:space="0"/>
              <w:left w:val="single" w:color="auto" w:sz="4" w:space="0"/>
              <w:bottom w:val="single" w:color="auto" w:sz="4" w:space="0"/>
              <w:right w:val="single" w:color="auto" w:sz="4" w:space="0"/>
            </w:tcBorders>
            <w:vAlign w:val="center"/>
          </w:tcPr>
          <w:p w14:paraId="62E81D13">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□本项目不收取履约保证金。</w:t>
            </w:r>
          </w:p>
          <w:p w14:paraId="628B6379">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☑本项目收取履约保证金，具体规定如下：</w:t>
            </w:r>
          </w:p>
          <w:p w14:paraId="23367FA3">
            <w:pPr>
              <w:pStyle w:val="20"/>
              <w:spacing w:line="360" w:lineRule="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履约保证金金额：按采购</w:t>
            </w:r>
            <w:r>
              <w:rPr>
                <w:rFonts w:hint="eastAsia"/>
                <w:color w:val="auto"/>
                <w:szCs w:val="21"/>
                <w:highlight w:val="none"/>
                <w:shd w:val="clear" w:color="auto" w:fill="FFFFFF" w:themeFill="background1"/>
              </w:rPr>
              <w:t>合同金额</w:t>
            </w:r>
            <w:r>
              <w:rPr>
                <w:rFonts w:hint="eastAsia" w:ascii="宋体" w:hAnsi="宋体"/>
                <w:color w:val="auto"/>
                <w:szCs w:val="21"/>
                <w:highlight w:val="none"/>
                <w:shd w:val="clear" w:color="auto" w:fill="FFFFFF" w:themeFill="background1"/>
              </w:rPr>
              <w:t>的</w:t>
            </w:r>
            <w:r>
              <w:rPr>
                <w:rFonts w:hint="eastAsia" w:ascii="宋体" w:hAnsi="宋体" w:cs="Arial"/>
                <w:color w:val="auto"/>
                <w:szCs w:val="21"/>
                <w:highlight w:val="none"/>
                <w:u w:val="single"/>
                <w:shd w:val="clear" w:color="auto" w:fill="FFFFFF" w:themeFill="background1"/>
              </w:rPr>
              <w:t xml:space="preserve">2 </w:t>
            </w:r>
            <w:r>
              <w:rPr>
                <w:rFonts w:hint="eastAsia" w:ascii="宋体" w:hAnsi="宋体"/>
                <w:color w:val="auto"/>
                <w:szCs w:val="21"/>
                <w:highlight w:val="none"/>
                <w:shd w:val="clear" w:color="auto" w:fill="FFFFFF" w:themeFill="background1"/>
              </w:rPr>
              <w:t>%（注：履约保证金不超过</w:t>
            </w:r>
            <w:r>
              <w:rPr>
                <w:rFonts w:hint="eastAsia"/>
                <w:color w:val="auto"/>
                <w:highlight w:val="none"/>
                <w:shd w:val="clear" w:color="auto" w:fill="FFFFFF" w:themeFill="background1"/>
              </w:rPr>
              <w:t>政府采购合同金额的</w:t>
            </w:r>
            <w:r>
              <w:rPr>
                <w:rFonts w:ascii="宋体" w:hAnsi="宋体"/>
                <w:color w:val="auto"/>
                <w:szCs w:val="21"/>
                <w:highlight w:val="none"/>
                <w:shd w:val="clear" w:color="auto" w:fill="FFFFFF" w:themeFill="background1"/>
              </w:rPr>
              <w:t>5</w:t>
            </w:r>
            <w:r>
              <w:rPr>
                <w:rFonts w:hint="eastAsia" w:ascii="宋体" w:hAnsi="宋体"/>
                <w:color w:val="auto"/>
                <w:szCs w:val="21"/>
                <w:highlight w:val="none"/>
                <w:shd w:val="clear" w:color="auto" w:fill="FFFFFF" w:themeFill="background1"/>
              </w:rPr>
              <w:t>%）。</w:t>
            </w:r>
          </w:p>
          <w:p w14:paraId="11D8B317">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签订合同前交至指定账户，否则不予签订合同。</w:t>
            </w:r>
          </w:p>
          <w:p w14:paraId="0E20B4B8">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履约保证金递交方式：银行转账、电汇或网上支付、支票、汇票、本票或者银行、保险机构出具的保函（含电子保函）等非现金方式</w:t>
            </w:r>
          </w:p>
          <w:p w14:paraId="13A6AAA1">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履约保证金退付方式、时间及条件：项目验收完成后无息退付。履约保证金退付方式同投标保证金退付方式。</w:t>
            </w:r>
          </w:p>
          <w:p w14:paraId="38FCACDA">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由中标人向履约保证金收取单位提供《政府采购项目合同验收书》、《政府采购项目履约保证金退付意见书》，保证金收取单位在收到合格材料后10个工作日内办理退还手续（不计利息）。</w:t>
            </w:r>
          </w:p>
          <w:p w14:paraId="41CDC52D">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履约保证金收取单位指定账户：采购人提供。</w:t>
            </w:r>
          </w:p>
          <w:p w14:paraId="3053B8D8">
            <w:pPr>
              <w:spacing w:line="360" w:lineRule="auto"/>
              <w:ind w:firstLine="422"/>
              <w:jc w:val="left"/>
              <w:rPr>
                <w:rFonts w:ascii="宋体" w:hAnsi="宋体" w:cs="Courier New"/>
                <w:color w:val="auto"/>
                <w:szCs w:val="21"/>
                <w:highlight w:val="none"/>
                <w:shd w:val="clear" w:color="auto" w:fill="FFFFFF" w:themeFill="background1"/>
              </w:rPr>
            </w:pPr>
            <w:r>
              <w:rPr>
                <w:rFonts w:ascii="宋体" w:hAnsi="宋体" w:cs="Courier New"/>
                <w:color w:val="auto"/>
                <w:szCs w:val="21"/>
                <w:highlight w:val="none"/>
                <w:shd w:val="clear" w:color="auto" w:fill="FFFFFF" w:themeFill="background1"/>
              </w:rPr>
              <w:t>备注：</w:t>
            </w:r>
          </w:p>
          <w:p w14:paraId="29CE6498">
            <w:pPr>
              <w:spacing w:line="360" w:lineRule="auto"/>
              <w:ind w:firstLine="420"/>
              <w:jc w:val="left"/>
              <w:rPr>
                <w:rFonts w:ascii="宋体" w:hAnsi="宋体"/>
                <w:b/>
                <w:color w:val="auto"/>
                <w:szCs w:val="21"/>
                <w:highlight w:val="none"/>
                <w:shd w:val="clear" w:color="auto" w:fill="FFFFFF" w:themeFill="background1"/>
              </w:rPr>
            </w:pPr>
          </w:p>
          <w:p w14:paraId="0669294B">
            <w:pPr>
              <w:spacing w:line="360" w:lineRule="auto"/>
              <w:jc w:val="left"/>
              <w:rPr>
                <w:rFonts w:ascii="宋体" w:hAnsi="宋体" w:cs="宋体"/>
                <w:color w:val="auto"/>
                <w:kern w:val="0"/>
                <w:szCs w:val="21"/>
                <w:highlight w:val="none"/>
                <w:shd w:val="clear" w:color="auto" w:fill="FFFFFF" w:themeFill="background1"/>
              </w:rPr>
            </w:pPr>
            <w:r>
              <w:rPr>
                <w:rFonts w:ascii="宋体" w:hAnsi="宋体"/>
                <w:b/>
                <w:color w:val="auto"/>
                <w:szCs w:val="21"/>
                <w:highlight w:val="none"/>
                <w:shd w:val="clear" w:color="auto" w:fill="FFFFFF" w:themeFill="background1"/>
              </w:rPr>
              <w:t>1.</w:t>
            </w:r>
            <w:bookmarkStart w:id="63" w:name="_Hlk54170335"/>
            <w:r>
              <w:rPr>
                <w:rFonts w:hint="eastAsia" w:ascii="宋体" w:hAnsi="宋体"/>
                <w:b/>
                <w:color w:val="auto"/>
                <w:szCs w:val="21"/>
                <w:highlight w:val="none"/>
                <w:shd w:val="clear" w:color="auto" w:fill="FFFFFF" w:themeFill="background1"/>
              </w:rPr>
              <w:t>根据《桂财规〔2022〕8号 广西壮族自治区财政厅关于规范政府采购货物和服务项目保证金管理的通知》规定，采购文件要求中标或者中标人提交履约保证金的，履约保证金数额不得超过政府采购合同金额的5%，对中小企业收取的履约保证金数额不得超过政府采购合同金额的2%。</w:t>
            </w:r>
            <w:bookmarkEnd w:id="63"/>
            <w:r>
              <w:rPr>
                <w:rFonts w:ascii="宋体" w:hAnsi="宋体" w:cs="Courier New"/>
                <w:color w:val="auto"/>
                <w:szCs w:val="21"/>
                <w:highlight w:val="none"/>
                <w:shd w:val="clear" w:color="auto" w:fill="FFFFFF" w:themeFill="background1"/>
              </w:rPr>
              <w:br w:type="textWrapping"/>
            </w:r>
            <w:r>
              <w:rPr>
                <w:rFonts w:ascii="宋体" w:hAnsi="宋体"/>
                <w:b/>
                <w:color w:val="auto"/>
                <w:szCs w:val="21"/>
                <w:highlight w:val="none"/>
                <w:shd w:val="clear" w:color="auto" w:fill="FFFFFF" w:themeFill="background1"/>
              </w:rPr>
              <w:t>2.</w:t>
            </w:r>
            <w:r>
              <w:rPr>
                <w:rFonts w:hint="eastAsia" w:ascii="宋体" w:hAnsi="宋体"/>
                <w:b/>
                <w:color w:val="auto"/>
                <w:szCs w:val="21"/>
                <w:highlight w:val="none"/>
                <w:shd w:val="clear" w:color="auto" w:fill="FFFFFF" w:themeFill="background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highlight w:val="none"/>
                <w:shd w:val="clear" w:color="auto" w:fill="FFFFFF" w:themeFill="background1"/>
              </w:rPr>
              <w:br w:type="textWrapping"/>
            </w:r>
            <w:r>
              <w:rPr>
                <w:rFonts w:ascii="宋体" w:hAnsi="宋体"/>
                <w:b/>
                <w:color w:val="auto"/>
                <w:szCs w:val="21"/>
                <w:highlight w:val="none"/>
                <w:shd w:val="clear" w:color="auto" w:fill="FFFFFF" w:themeFill="background1"/>
              </w:rPr>
              <w:t>3.采用银行、保险机构出具的保函</w:t>
            </w:r>
            <w:r>
              <w:rPr>
                <w:rFonts w:hint="eastAsia" w:ascii="宋体" w:hAnsi="宋体"/>
                <w:b/>
                <w:color w:val="auto"/>
                <w:szCs w:val="21"/>
                <w:highlight w:val="none"/>
                <w:shd w:val="clear" w:color="auto" w:fill="FFFFFF" w:themeFill="background1"/>
              </w:rPr>
              <w:t>（含电子保函）</w:t>
            </w:r>
            <w:r>
              <w:rPr>
                <w:rFonts w:ascii="宋体" w:hAnsi="宋体"/>
                <w:b/>
                <w:color w:val="auto"/>
                <w:szCs w:val="21"/>
                <w:highlight w:val="none"/>
                <w:shd w:val="clear" w:color="auto" w:fill="FFFFFF" w:themeFill="background1"/>
              </w:rPr>
              <w:t>的，必须为无条件保函，否则不予签订合同。</w:t>
            </w:r>
          </w:p>
        </w:tc>
      </w:tr>
      <w:tr w14:paraId="42403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87ADD7A">
            <w:pPr>
              <w:spacing w:line="360" w:lineRule="auto"/>
              <w:ind w:firstLine="210" w:firstLineChars="100"/>
              <w:jc w:val="both"/>
              <w:rPr>
                <w:rFonts w:ascii="宋体" w:hAnsi="宋体"/>
                <w:color w:val="auto"/>
                <w:szCs w:val="21"/>
                <w:highlight w:val="none"/>
                <w:shd w:val="clear" w:color="auto" w:fill="FFFFFF" w:themeFill="background1"/>
              </w:rPr>
            </w:pPr>
            <w:bookmarkStart w:id="64" w:name="_40.1"/>
            <w:bookmarkEnd w:id="64"/>
            <w:r>
              <w:rPr>
                <w:rFonts w:hint="eastAsia" w:ascii="宋体" w:hAnsi="宋体"/>
                <w:color w:val="auto"/>
                <w:szCs w:val="21"/>
                <w:highlight w:val="none"/>
                <w:shd w:val="clear" w:color="auto" w:fill="FFFFFF" w:themeFill="background1"/>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09BC2EF7">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 xml:space="preserve">签订合同携带的证明材料： </w:t>
            </w:r>
          </w:p>
          <w:p w14:paraId="3106D143">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委托代理人负责签订合同的，须携带授权委托书及委托代理人身份证原件等其他资格证件。</w:t>
            </w:r>
          </w:p>
          <w:p w14:paraId="2BCCBD27">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法定代表人负责签订合同的，须携带法定代表人</w:t>
            </w:r>
            <w:r>
              <w:rPr>
                <w:rFonts w:ascii="宋体" w:hAnsi="宋体"/>
                <w:color w:val="auto"/>
                <w:szCs w:val="21"/>
                <w:highlight w:val="none"/>
                <w:shd w:val="clear" w:color="auto" w:fill="FFFFFF" w:themeFill="background1"/>
              </w:rPr>
              <w:t>身份证明原件</w:t>
            </w:r>
            <w:r>
              <w:rPr>
                <w:rFonts w:hint="eastAsia" w:ascii="宋体" w:hAnsi="宋体"/>
                <w:color w:val="auto"/>
                <w:szCs w:val="21"/>
                <w:highlight w:val="none"/>
                <w:shd w:val="clear" w:color="auto" w:fill="FFFFFF" w:themeFill="background1"/>
              </w:rPr>
              <w:t>及</w:t>
            </w:r>
            <w:r>
              <w:rPr>
                <w:rFonts w:ascii="宋体" w:hAnsi="宋体"/>
                <w:color w:val="auto"/>
                <w:szCs w:val="21"/>
                <w:highlight w:val="none"/>
                <w:shd w:val="clear" w:color="auto" w:fill="FFFFFF" w:themeFill="background1"/>
              </w:rPr>
              <w:t>身份证原件</w:t>
            </w:r>
            <w:r>
              <w:rPr>
                <w:rFonts w:hint="eastAsia" w:ascii="宋体" w:hAnsi="宋体"/>
                <w:color w:val="auto"/>
                <w:szCs w:val="21"/>
                <w:highlight w:val="none"/>
                <w:shd w:val="clear" w:color="auto" w:fill="FFFFFF" w:themeFill="background1"/>
              </w:rPr>
              <w:t>等其他证明材料。</w:t>
            </w:r>
          </w:p>
        </w:tc>
      </w:tr>
      <w:tr w14:paraId="1AFA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B565120">
            <w:pPr>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w:t>
            </w:r>
            <w:r>
              <w:rPr>
                <w:rFonts w:ascii="宋体" w:hAnsi="宋体"/>
                <w:color w:val="auto"/>
                <w:szCs w:val="21"/>
                <w:highlight w:val="none"/>
                <w:shd w:val="clear" w:color="auto" w:fill="FFFFFF" w:themeFill="background1"/>
              </w:rPr>
              <w:t>8.2</w:t>
            </w:r>
          </w:p>
        </w:tc>
        <w:tc>
          <w:tcPr>
            <w:tcW w:w="8175" w:type="dxa"/>
            <w:tcBorders>
              <w:top w:val="single" w:color="auto" w:sz="4" w:space="0"/>
              <w:left w:val="single" w:color="auto" w:sz="4" w:space="0"/>
              <w:bottom w:val="single" w:color="auto" w:sz="4" w:space="0"/>
              <w:right w:val="single" w:color="auto" w:sz="4" w:space="0"/>
            </w:tcBorders>
            <w:vAlign w:val="center"/>
          </w:tcPr>
          <w:p w14:paraId="65E8ECEA">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接收质疑函方式：以书面形式</w:t>
            </w:r>
          </w:p>
          <w:p w14:paraId="2484714A">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质疑联系部门及联系方式：广西同泽工程项目管理股份有限公司</w:t>
            </w:r>
          </w:p>
          <w:p w14:paraId="7B133E8D">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联系电话：0771-5590098</w:t>
            </w:r>
          </w:p>
          <w:p w14:paraId="321993D2">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通讯地址：南宁市良庆区凯旋路16号裕达国际中心广东大厦31层3105室</w:t>
            </w:r>
          </w:p>
          <w:p w14:paraId="6F22EC96">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现场提交质疑办理业务时间：工作日每天9时00分到12时00分，14时30分到17时30分，双休日和法定节假日不办理业务。</w:t>
            </w:r>
          </w:p>
        </w:tc>
      </w:tr>
      <w:tr w14:paraId="16F61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3" w:hRule="atLeast"/>
        </w:trPr>
        <w:tc>
          <w:tcPr>
            <w:tcW w:w="978" w:type="dxa"/>
            <w:tcBorders>
              <w:top w:val="single" w:color="auto" w:sz="4" w:space="0"/>
              <w:left w:val="single" w:color="auto" w:sz="4" w:space="0"/>
              <w:bottom w:val="single" w:color="auto" w:sz="4" w:space="0"/>
              <w:right w:val="single" w:color="auto" w:sz="4" w:space="0"/>
            </w:tcBorders>
            <w:vAlign w:val="center"/>
          </w:tcPr>
          <w:p w14:paraId="22343A64">
            <w:pPr>
              <w:spacing w:line="360" w:lineRule="auto"/>
              <w:ind w:firstLine="210" w:firstLineChars="100"/>
              <w:jc w:val="both"/>
              <w:rPr>
                <w:rFonts w:ascii="宋体" w:hAnsi="宋体"/>
                <w:color w:val="auto"/>
                <w:szCs w:val="21"/>
                <w:highlight w:val="none"/>
                <w:shd w:val="clear" w:color="auto" w:fill="FFFFFF" w:themeFill="background1"/>
              </w:rPr>
            </w:pPr>
            <w:bookmarkStart w:id="65" w:name="_42"/>
            <w:bookmarkEnd w:id="65"/>
            <w:bookmarkStart w:id="66" w:name="_41"/>
            <w:bookmarkEnd w:id="66"/>
            <w:bookmarkStart w:id="67" w:name="_Hlt17709148"/>
            <w:r>
              <w:rPr>
                <w:rFonts w:hint="eastAsia" w:ascii="宋体" w:hAnsi="宋体"/>
                <w:color w:val="auto"/>
                <w:szCs w:val="21"/>
                <w:highlight w:val="none"/>
                <w:shd w:val="clear" w:color="auto" w:fill="FFFFFF" w:themeFill="background1"/>
              </w:rPr>
              <w:t>3</w:t>
            </w:r>
            <w:bookmarkEnd w:id="67"/>
            <w:r>
              <w:rPr>
                <w:rFonts w:ascii="宋体" w:hAnsi="宋体"/>
                <w:color w:val="auto"/>
                <w:szCs w:val="21"/>
                <w:highlight w:val="none"/>
                <w:shd w:val="clear" w:color="auto" w:fill="FFFFFF" w:themeFill="background1"/>
              </w:rPr>
              <w:t>9.1</w:t>
            </w:r>
          </w:p>
        </w:tc>
        <w:tc>
          <w:tcPr>
            <w:tcW w:w="8175" w:type="dxa"/>
            <w:tcBorders>
              <w:top w:val="single" w:color="auto" w:sz="4" w:space="0"/>
              <w:left w:val="single" w:color="auto" w:sz="4" w:space="0"/>
              <w:bottom w:val="single" w:color="auto" w:sz="4" w:space="0"/>
              <w:right w:val="single" w:color="auto" w:sz="4" w:space="0"/>
            </w:tcBorders>
            <w:vAlign w:val="center"/>
          </w:tcPr>
          <w:p w14:paraId="65625733">
            <w:pPr>
              <w:pStyle w:val="31"/>
              <w:snapToGrid w:val="0"/>
              <w:spacing w:line="360" w:lineRule="auto"/>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1.采购代理费支付方式：</w:t>
            </w:r>
          </w:p>
          <w:p w14:paraId="1BDC2974">
            <w:pPr>
              <w:pStyle w:val="31"/>
              <w:snapToGrid w:val="0"/>
              <w:spacing w:line="360" w:lineRule="auto"/>
              <w:ind w:firstLine="402"/>
              <w:rPr>
                <w:rFonts w:hAnsi="宋体" w:cs="宋体"/>
                <w:color w:val="auto"/>
                <w:sz w:val="21"/>
                <w:highlight w:val="none"/>
                <w:shd w:val="clear" w:color="auto" w:fill="FFFFFF" w:themeFill="background1"/>
              </w:rPr>
            </w:pPr>
            <w:r>
              <w:rPr>
                <w:rFonts w:hint="eastAsia" w:hAnsi="宋体"/>
                <w:color w:val="auto"/>
                <w:highlight w:val="none"/>
                <w:shd w:val="clear" w:color="auto" w:fill="FFFFFF" w:themeFill="background1"/>
              </w:rPr>
              <w:t>√</w:t>
            </w:r>
            <w:r>
              <w:rPr>
                <w:rFonts w:hint="eastAsia" w:hAnsi="宋体" w:cs="宋体"/>
                <w:color w:val="auto"/>
                <w:sz w:val="21"/>
                <w:highlight w:val="none"/>
                <w:shd w:val="clear" w:color="auto" w:fill="FFFFFF" w:themeFill="background1"/>
              </w:rPr>
              <w:t>本项目代理服务费由中标人在领取中标通知书后，一次性向采购代理机构支付。</w:t>
            </w:r>
          </w:p>
          <w:p w14:paraId="1CBFE203">
            <w:pPr>
              <w:pStyle w:val="31"/>
              <w:snapToGrid w:val="0"/>
              <w:spacing w:line="360" w:lineRule="auto"/>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□采购人支付。</w:t>
            </w:r>
          </w:p>
          <w:p w14:paraId="698E200A">
            <w:pPr>
              <w:pStyle w:val="31"/>
              <w:snapToGrid w:val="0"/>
              <w:spacing w:line="360" w:lineRule="auto"/>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2.采购代理费收取标准：参考国家发展计划委员会《招标代理服务收费管理暂行办法》（计价格〔2002〕1980号）和《国家发展改革委关于降低部分建设项目收费标准规范收费行为等有关问题的通知》（发改价格〔2011〕534号）收费标准的55%计算费用，且一个标段的招标代理服务费最高不超过10万元。</w:t>
            </w:r>
          </w:p>
        </w:tc>
      </w:tr>
      <w:tr w14:paraId="38CB4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022D12E">
            <w:pPr>
              <w:snapToGrid w:val="0"/>
              <w:spacing w:line="360" w:lineRule="auto"/>
              <w:ind w:firstLine="210" w:firstLineChars="100"/>
              <w:jc w:val="both"/>
              <w:rPr>
                <w:rFonts w:ascii="宋体" w:hAnsi="宋体"/>
                <w:color w:val="auto"/>
                <w:szCs w:val="21"/>
                <w:highlight w:val="none"/>
                <w:shd w:val="clear" w:color="auto" w:fill="FFFFFF" w:themeFill="background1"/>
              </w:rPr>
            </w:pPr>
            <w:r>
              <w:rPr>
                <w:rFonts w:ascii="宋体" w:hAnsi="宋体"/>
                <w:color w:val="auto"/>
                <w:szCs w:val="21"/>
                <w:highlight w:val="none"/>
                <w:shd w:val="clear" w:color="auto" w:fill="FFFFFF" w:themeFill="background1"/>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3749F60B">
            <w:pPr>
              <w:snapToGrid w:val="0"/>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解释：</w:t>
            </w:r>
            <w:r>
              <w:rPr>
                <w:rFonts w:ascii="宋体" w:hAnsi="宋体"/>
                <w:color w:val="auto"/>
                <w:szCs w:val="21"/>
                <w:highlight w:val="none"/>
                <w:shd w:val="clear" w:color="auto" w:fill="FFFFFF" w:themeFill="background1"/>
              </w:rPr>
              <w:t>构成本招标文件的各个组成文件应互为解释，互为说明；除招标文件中有特别规定外，仅适用于招标投标阶段的规定，按</w:t>
            </w:r>
            <w:r>
              <w:rPr>
                <w:rFonts w:hint="eastAsia" w:ascii="宋体" w:hAnsi="宋体"/>
                <w:color w:val="auto"/>
                <w:szCs w:val="21"/>
                <w:highlight w:val="none"/>
                <w:shd w:val="clear" w:color="auto" w:fill="FFFFFF" w:themeFill="background1"/>
              </w:rPr>
              <w:t>更正公告（澄清公告）</w:t>
            </w:r>
            <w:r>
              <w:rPr>
                <w:rFonts w:ascii="宋体" w:hAnsi="宋体"/>
                <w:color w:val="auto"/>
                <w:szCs w:val="21"/>
                <w:highlight w:val="none"/>
                <w:shd w:val="clear" w:color="auto" w:fill="FFFFFF" w:themeFill="background1"/>
              </w:rPr>
              <w:t>、招标公告、</w:t>
            </w:r>
            <w:r>
              <w:rPr>
                <w:rFonts w:hint="eastAsia" w:ascii="宋体" w:hAnsi="宋体"/>
                <w:color w:val="auto"/>
                <w:szCs w:val="21"/>
                <w:highlight w:val="none"/>
                <w:shd w:val="clear" w:color="auto" w:fill="FFFFFF" w:themeFill="background1"/>
              </w:rPr>
              <w:t>采购需求、</w:t>
            </w:r>
            <w:r>
              <w:rPr>
                <w:rFonts w:ascii="宋体" w:hAnsi="宋体"/>
                <w:color w:val="auto"/>
                <w:szCs w:val="21"/>
                <w:highlight w:val="none"/>
                <w:shd w:val="clear" w:color="auto" w:fill="FFFFFF" w:themeFill="background1"/>
              </w:rPr>
              <w:t>投标人须知、</w:t>
            </w:r>
            <w:r>
              <w:rPr>
                <w:rFonts w:hint="eastAsia" w:ascii="宋体" w:hAnsi="宋体"/>
                <w:color w:val="auto"/>
                <w:szCs w:val="21"/>
                <w:highlight w:val="none"/>
                <w:shd w:val="clear" w:color="auto" w:fill="FFFFFF" w:themeFill="background1"/>
              </w:rPr>
              <w:t>评标方法及评标标准</w:t>
            </w:r>
            <w:r>
              <w:rPr>
                <w:rFonts w:ascii="宋体" w:hAnsi="宋体"/>
                <w:color w:val="auto"/>
                <w:szCs w:val="21"/>
                <w:highlight w:val="none"/>
                <w:shd w:val="clear" w:color="auto" w:fill="FFFFFF" w:themeFill="background1"/>
              </w:rPr>
              <w:t>、</w:t>
            </w:r>
            <w:r>
              <w:rPr>
                <w:rFonts w:hint="eastAsia" w:ascii="宋体" w:hAnsi="宋体"/>
                <w:color w:val="auto"/>
                <w:szCs w:val="21"/>
                <w:highlight w:val="none"/>
                <w:shd w:val="clear" w:color="auto" w:fill="FFFFFF" w:themeFill="background1"/>
              </w:rPr>
              <w:t>拟签订的合同文本、</w:t>
            </w:r>
            <w:r>
              <w:rPr>
                <w:rFonts w:ascii="宋体" w:hAnsi="宋体"/>
                <w:color w:val="auto"/>
                <w:szCs w:val="21"/>
                <w:highlight w:val="none"/>
                <w:shd w:val="clear" w:color="auto" w:fill="FFFFFF" w:themeFill="background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shd w:val="clear" w:color="auto" w:fill="FFFFFF" w:themeFill="background1"/>
              </w:rPr>
              <w:t>更正公告（澄清公告）</w:t>
            </w:r>
            <w:r>
              <w:rPr>
                <w:rFonts w:ascii="宋体" w:hAnsi="宋体"/>
                <w:color w:val="auto"/>
                <w:szCs w:val="21"/>
                <w:highlight w:val="none"/>
                <w:shd w:val="clear" w:color="auto" w:fill="FFFFFF" w:themeFill="background1"/>
              </w:rPr>
              <w:t>与同步更新的招标文件不一致时以</w:t>
            </w:r>
            <w:r>
              <w:rPr>
                <w:rFonts w:hint="eastAsia" w:ascii="宋体" w:hAnsi="宋体"/>
                <w:color w:val="auto"/>
                <w:szCs w:val="21"/>
                <w:highlight w:val="none"/>
                <w:shd w:val="clear" w:color="auto" w:fill="FFFFFF" w:themeFill="background1"/>
              </w:rPr>
              <w:t>更正公告（澄清公告）</w:t>
            </w:r>
            <w:r>
              <w:rPr>
                <w:rFonts w:ascii="宋体" w:hAnsi="宋体"/>
                <w:color w:val="auto"/>
                <w:szCs w:val="21"/>
                <w:highlight w:val="none"/>
                <w:shd w:val="clear" w:color="auto" w:fill="FFFFFF" w:themeFill="background1"/>
              </w:rPr>
              <w:t>为准。按本款前述规定仍不能形成结论的，由</w:t>
            </w:r>
            <w:r>
              <w:rPr>
                <w:rFonts w:hint="eastAsia" w:ascii="宋体" w:hAnsi="宋体"/>
                <w:color w:val="auto"/>
                <w:szCs w:val="21"/>
                <w:highlight w:val="none"/>
                <w:shd w:val="clear" w:color="auto" w:fill="FFFFFF" w:themeFill="background1"/>
              </w:rPr>
              <w:t>采购</w:t>
            </w:r>
            <w:r>
              <w:rPr>
                <w:rFonts w:ascii="宋体" w:hAnsi="宋体"/>
                <w:color w:val="auto"/>
                <w:szCs w:val="21"/>
                <w:highlight w:val="none"/>
                <w:shd w:val="clear" w:color="auto" w:fill="FFFFFF" w:themeFill="background1"/>
              </w:rPr>
              <w:t>人</w:t>
            </w:r>
            <w:r>
              <w:rPr>
                <w:rFonts w:hint="eastAsia" w:ascii="宋体" w:hAnsi="宋体"/>
                <w:color w:val="auto"/>
                <w:szCs w:val="21"/>
                <w:highlight w:val="none"/>
                <w:shd w:val="clear" w:color="auto" w:fill="FFFFFF" w:themeFill="background1"/>
              </w:rPr>
              <w:t>或者采购代理机构</w:t>
            </w:r>
            <w:r>
              <w:rPr>
                <w:rFonts w:ascii="宋体" w:hAnsi="宋体"/>
                <w:color w:val="auto"/>
                <w:szCs w:val="21"/>
                <w:highlight w:val="none"/>
                <w:shd w:val="clear" w:color="auto" w:fill="FFFFFF" w:themeFill="background1"/>
              </w:rPr>
              <w:t>负责解释。</w:t>
            </w:r>
          </w:p>
        </w:tc>
      </w:tr>
      <w:tr w14:paraId="5CA95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5765E2F">
            <w:pPr>
              <w:snapToGrid w:val="0"/>
              <w:spacing w:line="360" w:lineRule="auto"/>
              <w:ind w:firstLine="210" w:firstLineChars="100"/>
              <w:jc w:val="both"/>
              <w:rPr>
                <w:rFonts w:ascii="宋体" w:hAnsi="宋体"/>
                <w:color w:val="auto"/>
                <w:szCs w:val="21"/>
                <w:highlight w:val="none"/>
                <w:shd w:val="clear" w:color="auto" w:fill="FFFFFF" w:themeFill="background1"/>
              </w:rPr>
            </w:pPr>
            <w:r>
              <w:rPr>
                <w:rFonts w:ascii="宋体" w:hAnsi="宋体"/>
                <w:color w:val="auto"/>
                <w:szCs w:val="21"/>
                <w:highlight w:val="none"/>
                <w:shd w:val="clear" w:color="auto" w:fill="FFFFFF" w:themeFill="background1"/>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0D0963DA">
            <w:pPr>
              <w:pStyle w:val="31"/>
              <w:snapToGrid w:val="0"/>
              <w:spacing w:line="360" w:lineRule="auto"/>
              <w:rPr>
                <w:rFonts w:hAnsi="宋体" w:cs="宋体"/>
                <w:bCs/>
                <w:color w:val="auto"/>
                <w:sz w:val="21"/>
                <w:highlight w:val="none"/>
                <w:shd w:val="clear" w:color="auto" w:fill="FFFFFF" w:themeFill="background1"/>
              </w:rPr>
            </w:pPr>
            <w:r>
              <w:rPr>
                <w:rFonts w:hint="eastAsia" w:hAnsi="宋体" w:cs="宋体"/>
                <w:bCs/>
                <w:color w:val="auto"/>
                <w:sz w:val="21"/>
                <w:highlight w:val="none"/>
                <w:shd w:val="clear" w:color="auto" w:fill="FFFFFF" w:themeFill="background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124C6C3">
            <w:pPr>
              <w:pStyle w:val="31"/>
              <w:snapToGrid w:val="0"/>
              <w:spacing w:line="360" w:lineRule="auto"/>
              <w:rPr>
                <w:rFonts w:hAnsi="宋体" w:cs="宋体"/>
                <w:bCs/>
                <w:color w:val="auto"/>
                <w:sz w:val="21"/>
                <w:highlight w:val="none"/>
                <w:shd w:val="clear" w:color="auto" w:fill="FFFFFF" w:themeFill="background1"/>
              </w:rPr>
            </w:pPr>
            <w:r>
              <w:rPr>
                <w:rFonts w:hint="eastAsia" w:hAnsi="宋体" w:cs="宋体"/>
                <w:bCs/>
                <w:color w:val="auto"/>
                <w:sz w:val="21"/>
                <w:highlight w:val="none"/>
                <w:shd w:val="clear" w:color="auto" w:fill="FFFFFF" w:themeFill="background1"/>
              </w:rPr>
              <w:t>2.本招标文件所称的“</w:t>
            </w:r>
            <w:r>
              <w:rPr>
                <w:rFonts w:hint="eastAsia" w:hAnsi="宋体"/>
                <w:color w:val="auto"/>
                <w:sz w:val="21"/>
                <w:highlight w:val="none"/>
                <w:shd w:val="clear" w:color="auto" w:fill="FFFFFF" w:themeFill="background1"/>
              </w:rPr>
              <w:t>电子签章</w:t>
            </w:r>
            <w:r>
              <w:rPr>
                <w:rFonts w:hint="eastAsia" w:hAnsi="宋体" w:cs="宋体"/>
                <w:bCs/>
                <w:color w:val="auto"/>
                <w:sz w:val="21"/>
                <w:highlight w:val="none"/>
                <w:shd w:val="clear" w:color="auto" w:fill="FFFFFF" w:themeFill="background1"/>
              </w:rPr>
              <w:t>”、“电子签名”</w:t>
            </w:r>
            <w:r>
              <w:rPr>
                <w:rFonts w:hint="eastAsia" w:hAnsi="宋体"/>
                <w:color w:val="auto"/>
                <w:sz w:val="21"/>
                <w:highlight w:val="none"/>
                <w:shd w:val="clear" w:color="auto" w:fill="FFFFFF" w:themeFill="background1"/>
              </w:rPr>
              <w:t>，是指经“广西政府采购云平台”认可的CA认证的电子签名数据为表现形式的印章，可用于签署电子投标文件，电子印章与实物印章具有同等法律效力，不因其采用电子化表现形式而否定其法律效力。</w:t>
            </w:r>
          </w:p>
          <w:p w14:paraId="33DAC614">
            <w:pPr>
              <w:pStyle w:val="31"/>
              <w:snapToGrid w:val="0"/>
              <w:spacing w:line="360" w:lineRule="auto"/>
              <w:rPr>
                <w:rFonts w:hAnsi="宋体" w:cs="宋体"/>
                <w:bCs/>
                <w:color w:val="auto"/>
                <w:sz w:val="21"/>
                <w:highlight w:val="none"/>
                <w:shd w:val="clear" w:color="auto" w:fill="FFFFFF" w:themeFill="background1"/>
              </w:rPr>
            </w:pPr>
            <w:r>
              <w:rPr>
                <w:rFonts w:hint="eastAsia" w:hAnsi="宋体" w:cs="宋体"/>
                <w:bCs/>
                <w:color w:val="auto"/>
                <w:sz w:val="21"/>
                <w:highlight w:val="none"/>
                <w:shd w:val="clear" w:color="auto" w:fill="FFFFFF" w:themeFill="background1"/>
              </w:rPr>
              <w:t>3.</w:t>
            </w:r>
            <w:bookmarkStart w:id="68" w:name="OLE_LINK2"/>
            <w:r>
              <w:rPr>
                <w:rFonts w:hint="eastAsia" w:hAnsi="宋体" w:cs="宋体"/>
                <w:bCs/>
                <w:color w:val="auto"/>
                <w:sz w:val="21"/>
                <w:highlight w:val="none"/>
                <w:shd w:val="clear" w:color="auto" w:fill="FFFFFF" w:themeFill="background1"/>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bookmarkEnd w:id="68"/>
            <w:r>
              <w:rPr>
                <w:rFonts w:hint="eastAsia" w:hAnsi="宋体" w:cs="宋体"/>
                <w:bCs/>
                <w:color w:val="auto"/>
                <w:sz w:val="21"/>
                <w:highlight w:val="none"/>
                <w:shd w:val="clear" w:color="auto" w:fill="FFFFFF" w:themeFill="background1"/>
              </w:rPr>
              <w:t>。</w:t>
            </w:r>
          </w:p>
          <w:p w14:paraId="741A1D8E">
            <w:pPr>
              <w:pStyle w:val="31"/>
              <w:snapToGrid w:val="0"/>
              <w:spacing w:line="360" w:lineRule="auto"/>
              <w:rPr>
                <w:rFonts w:hAnsi="宋体" w:cs="宋体"/>
                <w:bCs/>
                <w:color w:val="auto"/>
                <w:sz w:val="21"/>
                <w:highlight w:val="none"/>
                <w:shd w:val="clear" w:color="auto" w:fill="FFFFFF" w:themeFill="background1"/>
              </w:rPr>
            </w:pPr>
            <w:r>
              <w:rPr>
                <w:rFonts w:hint="eastAsia" w:hAnsi="宋体" w:cs="宋体"/>
                <w:bCs/>
                <w:color w:val="auto"/>
                <w:sz w:val="21"/>
                <w:highlight w:val="none"/>
                <w:shd w:val="clear" w:color="auto" w:fill="FFFFFF" w:themeFill="background1"/>
              </w:rPr>
              <w:t>4.本招标文件中描述投标人的“签字”是指投标人的法定代表人或者委托代理人亲自在文件规定签字处亲笔写上个人的名字的行为，私章、签字章、印鉴、影印等其他形式均不能代替亲笔签字。</w:t>
            </w:r>
          </w:p>
          <w:p w14:paraId="3C3414EA">
            <w:pPr>
              <w:spacing w:line="360" w:lineRule="auto"/>
              <w:ind w:firstLine="422"/>
              <w:jc w:val="left"/>
              <w:rPr>
                <w:rFonts w:ascii="宋体" w:hAnsi="宋体"/>
                <w:color w:val="auto"/>
                <w:szCs w:val="21"/>
                <w:highlight w:val="none"/>
                <w:shd w:val="clear" w:color="auto" w:fill="FFFFFF" w:themeFill="background1"/>
              </w:rPr>
            </w:pPr>
            <w:r>
              <w:rPr>
                <w:rFonts w:hint="eastAsia" w:hAnsi="宋体" w:cs="宋体"/>
                <w:bCs/>
                <w:color w:val="auto"/>
                <w:highlight w:val="none"/>
                <w:shd w:val="clear" w:color="auto" w:fill="FFFFFF" w:themeFill="background1"/>
              </w:rPr>
              <w:t>5.</w:t>
            </w:r>
            <w:r>
              <w:rPr>
                <w:rFonts w:hint="eastAsia" w:ascii="宋体" w:hAnsi="宋体" w:cs="宋体"/>
                <w:bCs/>
                <w:color w:val="auto"/>
                <w:kern w:val="0"/>
                <w:szCs w:val="21"/>
                <w:highlight w:val="none"/>
                <w:shd w:val="clear" w:color="auto" w:fill="FFFFFF" w:themeFill="background1"/>
              </w:rPr>
              <w:t>本招标文件所称的“以上”“以下”“以内”“届满”，包括本数；所称的“不满”“超过”“以外”，不包括本数。</w:t>
            </w:r>
          </w:p>
        </w:tc>
      </w:tr>
      <w:tr w14:paraId="3C3C3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0D63E53">
            <w:pPr>
              <w:snapToGrid w:val="0"/>
              <w:spacing w:line="360" w:lineRule="auto"/>
              <w:ind w:firstLine="210" w:firstLineChars="100"/>
              <w:jc w:val="both"/>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40.3</w:t>
            </w:r>
          </w:p>
        </w:tc>
        <w:tc>
          <w:tcPr>
            <w:tcW w:w="8175" w:type="dxa"/>
            <w:tcBorders>
              <w:top w:val="single" w:color="auto" w:sz="4" w:space="0"/>
              <w:left w:val="single" w:color="auto" w:sz="4" w:space="0"/>
              <w:bottom w:val="single" w:color="auto" w:sz="4" w:space="0"/>
              <w:right w:val="single" w:color="auto" w:sz="4" w:space="0"/>
            </w:tcBorders>
            <w:vAlign w:val="center"/>
          </w:tcPr>
          <w:p w14:paraId="7718F330">
            <w:pPr>
              <w:spacing w:line="360" w:lineRule="auto"/>
              <w:ind w:firstLine="422"/>
              <w:jc w:val="left"/>
              <w:rPr>
                <w:rFonts w:hAnsi="宋体" w:cs="宋体"/>
                <w:bCs/>
                <w:color w:val="auto"/>
                <w:highlight w:val="none"/>
                <w:shd w:val="clear" w:color="auto" w:fill="FFFFFF" w:themeFill="background1"/>
              </w:rPr>
            </w:pPr>
            <w:r>
              <w:rPr>
                <w:rFonts w:hint="eastAsia"/>
                <w:color w:val="auto"/>
                <w:highlight w:val="none"/>
                <w:shd w:val="clear" w:color="auto" w:fill="FFFFFF" w:themeFill="background1"/>
              </w:rPr>
              <w:t xml:space="preserve">中标人必须在中标公示期满，无行政管理部门、利害关系人提出质疑的，在接到招标人或招标代理单位通知的 3 个工作日内，需提供纸质版投标文件份数：正本壹份，副本贰份；纸质投标文件是投标人根据招标文件要求编制，采用不褪色的材料书写或打印，在相应位置加盖公章，并按招标文件要求装订的投标文件。中标人提交的纸质版投标文件正、副本必须与其上传广西政府采购云平台的电子投标文件在内容上一致，不允许有篡改。  </w:t>
            </w:r>
          </w:p>
        </w:tc>
      </w:tr>
    </w:tbl>
    <w:p w14:paraId="13E0EBFC">
      <w:pPr>
        <w:snapToGrid w:val="0"/>
        <w:ind w:firstLine="482"/>
        <w:rPr>
          <w:rFonts w:ascii="宋体" w:hAnsi="宋体"/>
          <w:color w:val="auto"/>
          <w:sz w:val="24"/>
          <w:szCs w:val="20"/>
          <w:highlight w:val="none"/>
          <w:shd w:val="clear" w:color="auto" w:fill="FFFFFF" w:themeFill="background1"/>
        </w:rPr>
      </w:pPr>
    </w:p>
    <w:p w14:paraId="24E7D2A6">
      <w:pPr>
        <w:snapToGrid w:val="0"/>
        <w:ind w:firstLine="482"/>
        <w:rPr>
          <w:rFonts w:ascii="宋体" w:hAnsi="宋体"/>
          <w:color w:val="auto"/>
          <w:sz w:val="24"/>
          <w:szCs w:val="20"/>
          <w:highlight w:val="none"/>
          <w:shd w:val="clear" w:color="auto" w:fill="FFFFFF" w:themeFill="background1"/>
        </w:rPr>
      </w:pPr>
    </w:p>
    <w:p w14:paraId="5F38EEB3">
      <w:pPr>
        <w:pStyle w:val="5"/>
        <w:keepNext w:val="0"/>
        <w:keepLines w:val="0"/>
        <w:ind w:firstLine="643"/>
        <w:jc w:val="center"/>
        <w:rPr>
          <w:color w:val="auto"/>
          <w:highlight w:val="none"/>
          <w:shd w:val="clear" w:color="auto" w:fill="FFFFFF" w:themeFill="background1"/>
        </w:rPr>
      </w:pPr>
      <w:r>
        <w:rPr>
          <w:color w:val="auto"/>
          <w:highlight w:val="none"/>
          <w:shd w:val="clear" w:color="auto" w:fill="FFFFFF" w:themeFill="background1"/>
        </w:rPr>
        <w:br w:type="page"/>
      </w:r>
      <w:r>
        <w:rPr>
          <w:rFonts w:hint="eastAsia"/>
          <w:color w:val="auto"/>
          <w:highlight w:val="none"/>
          <w:shd w:val="clear" w:color="auto" w:fill="FFFFFF" w:themeFill="background1"/>
        </w:rPr>
        <w:t>投标人须知正文</w:t>
      </w:r>
    </w:p>
    <w:p w14:paraId="1A0701C8">
      <w:pPr>
        <w:pStyle w:val="5"/>
        <w:keepNext w:val="0"/>
        <w:keepLines w:val="0"/>
        <w:ind w:firstLine="643"/>
        <w:jc w:val="center"/>
        <w:rPr>
          <w:color w:val="auto"/>
          <w:highlight w:val="none"/>
          <w:shd w:val="clear" w:color="auto" w:fill="FFFFFF" w:themeFill="background1"/>
        </w:rPr>
      </w:pPr>
      <w:r>
        <w:rPr>
          <w:rFonts w:hint="eastAsia"/>
          <w:color w:val="auto"/>
          <w:highlight w:val="none"/>
          <w:shd w:val="clear" w:color="auto" w:fill="FFFFFF" w:themeFill="background1"/>
        </w:rPr>
        <w:t>一、总则</w:t>
      </w:r>
    </w:p>
    <w:p w14:paraId="5AB4EDD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69" w:name="_Toc254970527"/>
      <w:bookmarkStart w:id="70" w:name="_Toc254970668"/>
      <w:r>
        <w:rPr>
          <w:rFonts w:hint="eastAsia" w:ascii="黑体" w:hAnsi="黑体" w:eastAsia="黑体"/>
          <w:color w:val="auto"/>
          <w:sz w:val="24"/>
          <w:highlight w:val="none"/>
          <w:shd w:val="clear" w:color="auto" w:fill="FFFFFF" w:themeFill="background1"/>
        </w:rPr>
        <w:t>1.适用范围</w:t>
      </w:r>
      <w:bookmarkEnd w:id="69"/>
      <w:bookmarkEnd w:id="70"/>
    </w:p>
    <w:p w14:paraId="7169971F">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25C8A6A">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1.2本招标文件</w:t>
      </w:r>
      <w:r>
        <w:rPr>
          <w:rFonts w:hint="eastAsia" w:ascii="宋体" w:hAnsi="宋体" w:cs="宋体"/>
          <w:color w:val="auto"/>
          <w:spacing w:val="-6"/>
          <w:szCs w:val="21"/>
          <w:highlight w:val="none"/>
          <w:shd w:val="clear" w:color="auto" w:fill="FFFFFF" w:themeFill="background1"/>
        </w:rPr>
        <w:t>适用于本项目的所有采购程序和环节（法律、法规另有规定的，从其规定）。</w:t>
      </w:r>
    </w:p>
    <w:p w14:paraId="67D66312">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71" w:name="_Toc254970528"/>
      <w:bookmarkStart w:id="72" w:name="_Toc254970669"/>
      <w:r>
        <w:rPr>
          <w:rFonts w:hint="eastAsia" w:ascii="黑体" w:hAnsi="黑体" w:eastAsia="黑体"/>
          <w:color w:val="auto"/>
          <w:sz w:val="24"/>
          <w:highlight w:val="none"/>
          <w:shd w:val="clear" w:color="auto" w:fill="FFFFFF" w:themeFill="background1"/>
        </w:rPr>
        <w:t>2.定义</w:t>
      </w:r>
      <w:bookmarkEnd w:id="71"/>
      <w:bookmarkEnd w:id="72"/>
    </w:p>
    <w:p w14:paraId="2C44E3EE">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2.1“采购人”是指依法进行政府采购的国家机关、事业单位、团体组织。</w:t>
      </w:r>
    </w:p>
    <w:p w14:paraId="4B59E223">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2.2“采购代理机构”是指政府采购集中采购机构和集中采购机构以外的采购代理机构。</w:t>
      </w:r>
    </w:p>
    <w:p w14:paraId="616E0969">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2.3“供应商”是指向采购人提供货物、工程或者服务的法人、其他组织或者自然人。</w:t>
      </w:r>
    </w:p>
    <w:p w14:paraId="18EDB882">
      <w:pPr>
        <w:pStyle w:val="8"/>
        <w:spacing w:line="360" w:lineRule="auto"/>
        <w:ind w:firstLine="422"/>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2.4“投标人”是指响应招标、参加投标竞争的法人、其他组织或者自然人。</w:t>
      </w:r>
    </w:p>
    <w:p w14:paraId="377C3D74">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2.5“服务”是指除货物和工程以外的其他政府采购对象。</w:t>
      </w:r>
    </w:p>
    <w:p w14:paraId="01F74D72">
      <w:pPr>
        <w:pStyle w:val="7"/>
        <w:keepNext w:val="0"/>
        <w:keepLines w:val="0"/>
        <w:spacing w:before="0" w:after="0" w:line="360" w:lineRule="auto"/>
        <w:ind w:firstLine="42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2.</w:t>
      </w:r>
      <w:r>
        <w:rPr>
          <w:rFonts w:ascii="宋体" w:hAnsi="宋体"/>
          <w:b w:val="0"/>
          <w:color w:val="auto"/>
          <w:sz w:val="21"/>
          <w:szCs w:val="21"/>
          <w:highlight w:val="none"/>
          <w:shd w:val="clear" w:color="auto" w:fill="FFFFFF" w:themeFill="background1"/>
        </w:rPr>
        <w:t>6</w:t>
      </w:r>
      <w:r>
        <w:rPr>
          <w:rFonts w:hint="eastAsia" w:ascii="宋体" w:hAnsi="宋体"/>
          <w:b w:val="0"/>
          <w:color w:val="auto"/>
          <w:sz w:val="21"/>
          <w:szCs w:val="21"/>
          <w:highlight w:val="none"/>
          <w:shd w:val="clear" w:color="auto" w:fill="FFFFFF" w:themeFill="background1"/>
        </w:rPr>
        <w:t>“书面形式”是指合同书、信件和数据电文（包括电报、电传、传真、电子数据交换和电子邮件）等可以有形地表现所载内容的形式。</w:t>
      </w:r>
    </w:p>
    <w:p w14:paraId="01BD2DDA">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2.</w:t>
      </w:r>
      <w:r>
        <w:rPr>
          <w:rFonts w:ascii="宋体" w:hAnsi="宋体"/>
          <w:b w:val="0"/>
          <w:color w:val="auto"/>
          <w:sz w:val="21"/>
          <w:szCs w:val="21"/>
          <w:highlight w:val="none"/>
          <w:shd w:val="clear" w:color="auto" w:fill="FFFFFF" w:themeFill="background1"/>
        </w:rPr>
        <w:t>7</w:t>
      </w:r>
      <w:r>
        <w:rPr>
          <w:rFonts w:hint="eastAsia" w:ascii="宋体" w:hAnsi="宋体"/>
          <w:b w:val="0"/>
          <w:color w:val="auto"/>
          <w:sz w:val="21"/>
          <w:szCs w:val="21"/>
          <w:highlight w:val="none"/>
          <w:shd w:val="clear" w:color="auto" w:fill="FFFFFF" w:themeFill="background1"/>
        </w:rPr>
        <w:t>“实质性要求”是指招标文件中已经指明不满足则投标无效的条款，或者不能负偏离的条款，或者采购需求中带“▲”的条款。</w:t>
      </w:r>
    </w:p>
    <w:p w14:paraId="043910F7">
      <w:pPr>
        <w:snapToGrid w:val="0"/>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w:t>
      </w:r>
      <w:r>
        <w:rPr>
          <w:rFonts w:ascii="宋体" w:hAnsi="宋体"/>
          <w:color w:val="auto"/>
          <w:szCs w:val="21"/>
          <w:highlight w:val="none"/>
          <w:shd w:val="clear" w:color="auto" w:fill="FFFFFF" w:themeFill="background1"/>
        </w:rPr>
        <w:t>8</w:t>
      </w:r>
      <w:r>
        <w:rPr>
          <w:rFonts w:hint="eastAsia" w:ascii="宋体" w:hAnsi="宋体" w:cs="宋体"/>
          <w:color w:val="auto"/>
          <w:szCs w:val="21"/>
          <w:highlight w:val="none"/>
          <w:shd w:val="clear" w:color="auto" w:fill="FFFFFF" w:themeFill="background1"/>
        </w:rPr>
        <w:t>“正偏离”，是指投标文件对招标文件“采购需求”中有关条款作出的响应优于条款要求并有利于采购人的情形。</w:t>
      </w:r>
    </w:p>
    <w:p w14:paraId="25771371">
      <w:pPr>
        <w:snapToGrid w:val="0"/>
        <w:spacing w:line="360" w:lineRule="auto"/>
        <w:ind w:firstLine="420" w:firstLineChars="200"/>
        <w:jc w:val="left"/>
        <w:rPr>
          <w:rFonts w:ascii="宋体" w:hAnsi="宋体" w:cs="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t>2.9</w:t>
      </w:r>
      <w:r>
        <w:rPr>
          <w:rFonts w:hint="eastAsia" w:ascii="宋体" w:hAnsi="宋体" w:cs="宋体"/>
          <w:color w:val="auto"/>
          <w:szCs w:val="21"/>
          <w:highlight w:val="none"/>
          <w:shd w:val="clear" w:color="auto" w:fill="FFFFFF" w:themeFill="background1"/>
        </w:rPr>
        <w:t>“负偏离”，是指投标文件对招标文件“采购需求”中有关条款作出的响应不满足条款要求，导致采购人要求不能得到满足的情形。</w:t>
      </w:r>
    </w:p>
    <w:p w14:paraId="2971C4A4">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2.1</w:t>
      </w:r>
      <w:r>
        <w:rPr>
          <w:rFonts w:ascii="宋体" w:hAnsi="宋体"/>
          <w:color w:val="auto"/>
          <w:szCs w:val="21"/>
          <w:highlight w:val="none"/>
          <w:shd w:val="clear" w:color="auto" w:fill="FFFFFF" w:themeFill="background1"/>
        </w:rPr>
        <w:t>0</w:t>
      </w:r>
      <w:r>
        <w:rPr>
          <w:rFonts w:hint="eastAsia" w:ascii="宋体" w:hAnsi="宋体" w:cs="宋体"/>
          <w:color w:val="auto"/>
          <w:szCs w:val="21"/>
          <w:highlight w:val="none"/>
          <w:shd w:val="clear" w:color="auto" w:fill="FFFFFF" w:themeFill="background1"/>
        </w:rPr>
        <w:t>“允许负偏离的条款”是指采购需求中的不属于“实质性要求”的条款。</w:t>
      </w:r>
      <w:bookmarkStart w:id="73" w:name="_Toc254970529"/>
      <w:bookmarkStart w:id="74" w:name="_Toc254970670"/>
    </w:p>
    <w:p w14:paraId="7D1E260E">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w:t>
      </w:r>
      <w:bookmarkEnd w:id="73"/>
      <w:bookmarkEnd w:id="74"/>
      <w:r>
        <w:rPr>
          <w:rFonts w:hint="eastAsia" w:ascii="黑体" w:hAnsi="黑体" w:eastAsia="黑体"/>
          <w:color w:val="auto"/>
          <w:sz w:val="24"/>
          <w:highlight w:val="none"/>
          <w:shd w:val="clear" w:color="auto" w:fill="FFFFFF" w:themeFill="background1"/>
        </w:rPr>
        <w:t>投标人的资格要求</w:t>
      </w:r>
    </w:p>
    <w:p w14:paraId="347599D5">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投标人的资格要求详见“投标人须知前附表”。</w:t>
      </w:r>
    </w:p>
    <w:p w14:paraId="0114125B">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75" w:name="_Toc254970671"/>
      <w:bookmarkStart w:id="76" w:name="_Toc254970530"/>
      <w:r>
        <w:rPr>
          <w:rFonts w:hint="eastAsia" w:ascii="黑体" w:hAnsi="黑体" w:eastAsia="黑体"/>
          <w:color w:val="auto"/>
          <w:sz w:val="24"/>
          <w:highlight w:val="none"/>
          <w:shd w:val="clear" w:color="auto" w:fill="FFFFFF" w:themeFill="background1"/>
        </w:rPr>
        <w:t>4.投标委托</w:t>
      </w:r>
      <w:bookmarkEnd w:id="75"/>
      <w:bookmarkEnd w:id="76"/>
    </w:p>
    <w:p w14:paraId="43901F47">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投标人代表参加投标活动过程中必须携带个人有效身份证件。如投标人代表不是法定代表人，须持有授权委托书（按第六章要求格式填写）。</w:t>
      </w:r>
    </w:p>
    <w:p w14:paraId="4E0616D1">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77" w:name="_5.投标费用"/>
      <w:bookmarkEnd w:id="77"/>
      <w:bookmarkStart w:id="78" w:name="_Toc254970672"/>
      <w:bookmarkStart w:id="79" w:name="_Toc254970531"/>
      <w:r>
        <w:rPr>
          <w:rFonts w:hint="eastAsia" w:ascii="黑体" w:hAnsi="黑体" w:eastAsia="黑体"/>
          <w:color w:val="auto"/>
          <w:sz w:val="24"/>
          <w:highlight w:val="none"/>
          <w:shd w:val="clear" w:color="auto" w:fill="FFFFFF" w:themeFill="background1"/>
        </w:rPr>
        <w:t>5.投标费用</w:t>
      </w:r>
      <w:bookmarkEnd w:id="78"/>
      <w:bookmarkEnd w:id="79"/>
    </w:p>
    <w:p w14:paraId="1C4C19AB">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投标费用：投标人应承担参与本次采购活动有关的所有费用，包括但不限于获取招标文件、勘查现场、编制和提交投标文件、参加澄清说明、签订合同等，不论投标结果如何，均应自行承担。</w:t>
      </w:r>
    </w:p>
    <w:p w14:paraId="56D1828B">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6.联合体投标</w:t>
      </w:r>
    </w:p>
    <w:p w14:paraId="571FDF81">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6.1本项目是否接受联合体投标，详见“投标人须知前附表”。</w:t>
      </w:r>
    </w:p>
    <w:p w14:paraId="4F42CC96">
      <w:pPr>
        <w:snapToGrid w:val="0"/>
        <w:spacing w:line="360" w:lineRule="auto"/>
        <w:ind w:firstLine="420" w:firstLineChars="200"/>
        <w:jc w:val="left"/>
        <w:rPr>
          <w:rFonts w:ascii="宋体" w:hAnsi="宋体"/>
          <w:bCs/>
          <w:color w:val="auto"/>
          <w:szCs w:val="21"/>
          <w:highlight w:val="none"/>
          <w:shd w:val="clear" w:color="auto" w:fill="FFFFFF" w:themeFill="background1"/>
        </w:rPr>
      </w:pPr>
      <w:r>
        <w:rPr>
          <w:rFonts w:hint="eastAsia" w:ascii="宋体" w:hAnsi="宋体"/>
          <w:bCs/>
          <w:color w:val="auto"/>
          <w:szCs w:val="21"/>
          <w:highlight w:val="none"/>
          <w:shd w:val="clear" w:color="auto" w:fill="FFFFFF" w:themeFill="background1"/>
        </w:rPr>
        <w:t>6.2如接受联合体投标，联合体投标要求详见“投标人须知前附表”。</w:t>
      </w:r>
    </w:p>
    <w:p w14:paraId="770784FE">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bCs/>
          <w:color w:val="auto"/>
          <w:szCs w:val="21"/>
          <w:highlight w:val="none"/>
          <w:shd w:val="clear" w:color="auto" w:fill="FFFFFF" w:themeFill="background1"/>
        </w:rPr>
        <w:t>6.3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6B60650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 xml:space="preserve">7.转包与分包             </w:t>
      </w:r>
    </w:p>
    <w:p w14:paraId="61F77A8B">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bookmarkStart w:id="80" w:name="_Toc254970673"/>
      <w:bookmarkStart w:id="81" w:name="_Toc254970532"/>
      <w:r>
        <w:rPr>
          <w:rFonts w:hint="eastAsia" w:ascii="宋体" w:hAnsi="宋体"/>
          <w:b w:val="0"/>
          <w:color w:val="auto"/>
          <w:sz w:val="21"/>
          <w:szCs w:val="21"/>
          <w:highlight w:val="none"/>
          <w:shd w:val="clear" w:color="auto" w:fill="FFFFFF" w:themeFill="background1"/>
        </w:rPr>
        <w:t>7.1本项目不允许转包。</w:t>
      </w:r>
    </w:p>
    <w:p w14:paraId="10A06830">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CF1D42A">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F175ECC">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8.特别说明</w:t>
      </w:r>
      <w:bookmarkEnd w:id="80"/>
      <w:bookmarkEnd w:id="81"/>
    </w:p>
    <w:p w14:paraId="1C1A9966">
      <w:pPr>
        <w:pStyle w:val="7"/>
        <w:keepNext w:val="0"/>
        <w:keepLines w:val="0"/>
        <w:spacing w:before="0" w:after="0" w:line="360" w:lineRule="auto"/>
        <w:ind w:firstLine="367" w:firstLineChars="175"/>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8.1如果本招标文件要求提供投标人或制造商的资格、信誉、荣誉、业绩与企业认证等材料的，资格、信誉、荣誉、业绩与企业认证等必须为投标人或者制造商所拥有或自身获得 。</w:t>
      </w:r>
    </w:p>
    <w:p w14:paraId="5544773C">
      <w:pPr>
        <w:pStyle w:val="7"/>
        <w:keepNext w:val="0"/>
        <w:keepLines w:val="0"/>
        <w:spacing w:before="0" w:after="0" w:line="360" w:lineRule="auto"/>
        <w:ind w:firstLine="367" w:firstLineChars="175"/>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8.2投标人应仔细阅读招标文件的所有内容，按照招标文件的要求提交投标文件，并对所提供的全部资料的真实性承担法律责任。</w:t>
      </w:r>
    </w:p>
    <w:p w14:paraId="3BED4BA0">
      <w:pPr>
        <w:pStyle w:val="7"/>
        <w:keepNext w:val="0"/>
        <w:keepLines w:val="0"/>
        <w:spacing w:before="0" w:after="0" w:line="360" w:lineRule="auto"/>
        <w:ind w:firstLine="367" w:firstLineChars="175"/>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8.3投标人在投标活动中提供任何虚假材料，将报监管部门查处；中标后发现的，中标人须依照《中华人民共和国消费者权益保护法》规定赔偿采购人，且民事赔偿并不免除违法投标人的行政与刑事责任。</w:t>
      </w:r>
    </w:p>
    <w:p w14:paraId="5C330D1A">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ascii="黑体" w:hAnsi="黑体" w:eastAsia="黑体"/>
          <w:color w:val="auto"/>
          <w:sz w:val="24"/>
          <w:highlight w:val="none"/>
          <w:shd w:val="clear" w:color="auto" w:fill="FFFFFF" w:themeFill="background1"/>
        </w:rPr>
        <w:t>9.</w:t>
      </w:r>
      <w:r>
        <w:rPr>
          <w:rFonts w:hint="eastAsia" w:ascii="黑体" w:hAnsi="黑体" w:eastAsia="黑体"/>
          <w:color w:val="auto"/>
          <w:sz w:val="24"/>
          <w:highlight w:val="none"/>
          <w:shd w:val="clear" w:color="auto" w:fill="FFFFFF" w:themeFill="background1"/>
        </w:rPr>
        <w:t>回避与串通投标</w:t>
      </w:r>
    </w:p>
    <w:p w14:paraId="1EBB2C3A">
      <w:pPr>
        <w:pStyle w:val="7"/>
        <w:keepNext w:val="0"/>
        <w:keepLines w:val="0"/>
        <w:spacing w:before="0" w:after="0" w:line="360" w:lineRule="auto"/>
        <w:ind w:firstLine="367" w:firstLineChars="175"/>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9</w:t>
      </w:r>
      <w:r>
        <w:rPr>
          <w:rFonts w:ascii="宋体" w:hAnsi="宋体"/>
          <w:b w:val="0"/>
          <w:color w:val="auto"/>
          <w:sz w:val="21"/>
          <w:szCs w:val="21"/>
          <w:highlight w:val="none"/>
          <w:shd w:val="clear" w:color="auto" w:fill="FFFFFF" w:themeFill="background1"/>
        </w:rPr>
        <w:t>.1在政府采购活动中，采购人员及相关人员与</w:t>
      </w:r>
      <w:r>
        <w:rPr>
          <w:rFonts w:hint="eastAsia" w:ascii="宋体" w:hAnsi="宋体"/>
          <w:b w:val="0"/>
          <w:color w:val="auto"/>
          <w:sz w:val="21"/>
          <w:szCs w:val="21"/>
          <w:highlight w:val="none"/>
          <w:shd w:val="clear" w:color="auto" w:fill="FFFFFF" w:themeFill="background1"/>
        </w:rPr>
        <w:t>供应商</w:t>
      </w:r>
      <w:r>
        <w:rPr>
          <w:rFonts w:ascii="宋体" w:hAnsi="宋体"/>
          <w:b w:val="0"/>
          <w:color w:val="auto"/>
          <w:sz w:val="21"/>
          <w:szCs w:val="21"/>
          <w:highlight w:val="none"/>
          <w:shd w:val="clear" w:color="auto" w:fill="FFFFFF" w:themeFill="background1"/>
        </w:rPr>
        <w:t>有下列利害关系之一的，应当回避：</w:t>
      </w:r>
    </w:p>
    <w:p w14:paraId="09D9186A">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Ansi="宋体"/>
          <w:color w:val="auto"/>
          <w:kern w:val="2"/>
          <w:sz w:val="21"/>
          <w:highlight w:val="none"/>
          <w:shd w:val="clear" w:color="auto" w:fill="FFFFFF" w:themeFill="background1"/>
        </w:rPr>
        <w:t>（</w:t>
      </w:r>
      <w:r>
        <w:rPr>
          <w:rFonts w:hint="eastAsia" w:hAnsi="宋体"/>
          <w:color w:val="auto"/>
          <w:kern w:val="2"/>
          <w:sz w:val="21"/>
          <w:highlight w:val="none"/>
          <w:shd w:val="clear" w:color="auto" w:fill="FFFFFF" w:themeFill="background1"/>
        </w:rPr>
        <w:t>1</w:t>
      </w:r>
      <w:r>
        <w:rPr>
          <w:rFonts w:hAnsi="宋体"/>
          <w:color w:val="auto"/>
          <w:kern w:val="2"/>
          <w:sz w:val="21"/>
          <w:highlight w:val="none"/>
          <w:shd w:val="clear" w:color="auto" w:fill="FFFFFF" w:themeFill="background1"/>
        </w:rPr>
        <w:t>）参加采购活动前3年内与</w:t>
      </w: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存在劳动关系；</w:t>
      </w:r>
    </w:p>
    <w:p w14:paraId="19640B26">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Ansi="宋体"/>
          <w:color w:val="auto"/>
          <w:kern w:val="2"/>
          <w:sz w:val="21"/>
          <w:highlight w:val="none"/>
          <w:shd w:val="clear" w:color="auto" w:fill="FFFFFF" w:themeFill="background1"/>
        </w:rPr>
        <w:t>（</w:t>
      </w:r>
      <w:r>
        <w:rPr>
          <w:rFonts w:hint="eastAsia" w:hAnsi="宋体"/>
          <w:color w:val="auto"/>
          <w:kern w:val="2"/>
          <w:sz w:val="21"/>
          <w:highlight w:val="none"/>
          <w:shd w:val="clear" w:color="auto" w:fill="FFFFFF" w:themeFill="background1"/>
        </w:rPr>
        <w:t>2</w:t>
      </w:r>
      <w:r>
        <w:rPr>
          <w:rFonts w:hAnsi="宋体"/>
          <w:color w:val="auto"/>
          <w:kern w:val="2"/>
          <w:sz w:val="21"/>
          <w:highlight w:val="none"/>
          <w:shd w:val="clear" w:color="auto" w:fill="FFFFFF" w:themeFill="background1"/>
        </w:rPr>
        <w:t>）参加采购活动前3年内担任</w:t>
      </w: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的董事、监事；</w:t>
      </w:r>
    </w:p>
    <w:p w14:paraId="658D0FDB">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Ansi="宋体"/>
          <w:color w:val="auto"/>
          <w:kern w:val="2"/>
          <w:sz w:val="21"/>
          <w:highlight w:val="none"/>
          <w:shd w:val="clear" w:color="auto" w:fill="FFFFFF" w:themeFill="background1"/>
        </w:rPr>
        <w:t>（</w:t>
      </w:r>
      <w:r>
        <w:rPr>
          <w:rFonts w:hint="eastAsia" w:hAnsi="宋体"/>
          <w:color w:val="auto"/>
          <w:kern w:val="2"/>
          <w:sz w:val="21"/>
          <w:highlight w:val="none"/>
          <w:shd w:val="clear" w:color="auto" w:fill="FFFFFF" w:themeFill="background1"/>
        </w:rPr>
        <w:t>3</w:t>
      </w:r>
      <w:r>
        <w:rPr>
          <w:rFonts w:hAnsi="宋体"/>
          <w:color w:val="auto"/>
          <w:kern w:val="2"/>
          <w:sz w:val="21"/>
          <w:highlight w:val="none"/>
          <w:shd w:val="clear" w:color="auto" w:fill="FFFFFF" w:themeFill="background1"/>
        </w:rPr>
        <w:t>）参加采购活动前3年内是</w:t>
      </w: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的控股股东或者实际控制人；</w:t>
      </w:r>
    </w:p>
    <w:p w14:paraId="289FD4BD">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Ansi="宋体"/>
          <w:color w:val="auto"/>
          <w:kern w:val="2"/>
          <w:sz w:val="21"/>
          <w:highlight w:val="none"/>
          <w:shd w:val="clear" w:color="auto" w:fill="FFFFFF" w:themeFill="background1"/>
        </w:rPr>
        <w:t>（</w:t>
      </w:r>
      <w:r>
        <w:rPr>
          <w:rFonts w:hint="eastAsia" w:hAnsi="宋体"/>
          <w:color w:val="auto"/>
          <w:kern w:val="2"/>
          <w:sz w:val="21"/>
          <w:highlight w:val="none"/>
          <w:shd w:val="clear" w:color="auto" w:fill="FFFFFF" w:themeFill="background1"/>
        </w:rPr>
        <w:t>4</w:t>
      </w:r>
      <w:r>
        <w:rPr>
          <w:rFonts w:hAnsi="宋体"/>
          <w:color w:val="auto"/>
          <w:kern w:val="2"/>
          <w:sz w:val="21"/>
          <w:highlight w:val="none"/>
          <w:shd w:val="clear" w:color="auto" w:fill="FFFFFF" w:themeFill="background1"/>
        </w:rPr>
        <w:t>）与</w:t>
      </w: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的法定代表人或者负责人有夫妻、直系血亲、三代以内旁系血亲或者近姻亲关系；</w:t>
      </w:r>
    </w:p>
    <w:p w14:paraId="44286DAC">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Ansi="宋体"/>
          <w:color w:val="auto"/>
          <w:kern w:val="2"/>
          <w:sz w:val="21"/>
          <w:highlight w:val="none"/>
          <w:shd w:val="clear" w:color="auto" w:fill="FFFFFF" w:themeFill="background1"/>
        </w:rPr>
        <w:t>（</w:t>
      </w:r>
      <w:r>
        <w:rPr>
          <w:rFonts w:hint="eastAsia" w:hAnsi="宋体"/>
          <w:color w:val="auto"/>
          <w:kern w:val="2"/>
          <w:sz w:val="21"/>
          <w:highlight w:val="none"/>
          <w:shd w:val="clear" w:color="auto" w:fill="FFFFFF" w:themeFill="background1"/>
        </w:rPr>
        <w:t>5</w:t>
      </w:r>
      <w:r>
        <w:rPr>
          <w:rFonts w:hAnsi="宋体"/>
          <w:color w:val="auto"/>
          <w:kern w:val="2"/>
          <w:sz w:val="21"/>
          <w:highlight w:val="none"/>
          <w:shd w:val="clear" w:color="auto" w:fill="FFFFFF" w:themeFill="background1"/>
        </w:rPr>
        <w:t>）与</w:t>
      </w: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有其他可能影响政府采购活动公平、公正进行的关系。</w:t>
      </w:r>
    </w:p>
    <w:p w14:paraId="1DD5D314">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认为采购人员及相关人员与其他</w:t>
      </w:r>
      <w:r>
        <w:rPr>
          <w:rFonts w:hint="eastAsia" w:hAnsi="宋体"/>
          <w:color w:val="auto"/>
          <w:kern w:val="2"/>
          <w:sz w:val="21"/>
          <w:highlight w:val="none"/>
          <w:shd w:val="clear" w:color="auto" w:fill="FFFFFF" w:themeFill="background1"/>
        </w:rPr>
        <w:t>供应商</w:t>
      </w:r>
      <w:r>
        <w:rPr>
          <w:rFonts w:hAnsi="宋体"/>
          <w:color w:val="auto"/>
          <w:kern w:val="2"/>
          <w:sz w:val="21"/>
          <w:highlight w:val="none"/>
          <w:shd w:val="clear" w:color="auto" w:fill="FFFFFF" w:themeFill="background1"/>
        </w:rPr>
        <w:t>有利害关系的，可以向采购人或者采购代理机构书面提出回避申请，并说明理由。采购人或者采购代理机构应当及时询问被申请回避人员，有利害关系的被申请回避人员应当回避。</w:t>
      </w:r>
    </w:p>
    <w:p w14:paraId="6C2B0BB8">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ascii="宋体" w:hAnsi="宋体"/>
          <w:color w:val="auto"/>
          <w:sz w:val="21"/>
          <w:szCs w:val="21"/>
          <w:highlight w:val="none"/>
          <w:shd w:val="clear" w:color="auto" w:fill="FFFFFF" w:themeFill="background1"/>
        </w:rPr>
        <w:t>9.2</w:t>
      </w:r>
      <w:r>
        <w:rPr>
          <w:rFonts w:hint="eastAsia" w:ascii="宋体" w:hAnsi="宋体"/>
          <w:color w:val="auto"/>
          <w:sz w:val="21"/>
          <w:szCs w:val="21"/>
          <w:highlight w:val="none"/>
          <w:shd w:val="clear" w:color="auto" w:fill="FFFFFF" w:themeFill="background1"/>
        </w:rPr>
        <w:t>有下列情形之一的视为投标人相互串通投标，投标文件将被视为无效：</w:t>
      </w:r>
    </w:p>
    <w:p w14:paraId="4CCDEF2E">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 xml:space="preserve">（1）不同投标人的投标文件由同一单位或者个人编制； </w:t>
      </w:r>
    </w:p>
    <w:p w14:paraId="01942821">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（2）不同投标人委托同一单位或者个人办理投标事宜；</w:t>
      </w:r>
    </w:p>
    <w:p w14:paraId="3FA9A6BE">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（3）不同的投标人的投标文件载明的项目管理员为同一个人；</w:t>
      </w:r>
    </w:p>
    <w:p w14:paraId="28487B79">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（4）不同投标人的投标文件异常一致或者投标报价呈规律性差异；</w:t>
      </w:r>
    </w:p>
    <w:p w14:paraId="1328EC41">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（5）不同投标人的投标文件相互混装；</w:t>
      </w:r>
    </w:p>
    <w:p w14:paraId="49D0B68B">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（6）不同投标人的投标保证金从同一单位或者个人账户转出。</w:t>
      </w:r>
    </w:p>
    <w:p w14:paraId="5774DB07">
      <w:pPr>
        <w:pStyle w:val="7"/>
        <w:keepNext w:val="0"/>
        <w:keepLines w:val="0"/>
        <w:spacing w:before="0" w:after="0" w:line="360" w:lineRule="auto"/>
        <w:ind w:left="420" w:leftChars="200" w:firstLine="420"/>
        <w:rPr>
          <w:rFonts w:ascii="宋体" w:hAnsi="宋体"/>
          <w:b w:val="0"/>
          <w:color w:val="auto"/>
          <w:sz w:val="21"/>
          <w:szCs w:val="21"/>
          <w:highlight w:val="none"/>
          <w:shd w:val="clear" w:color="auto" w:fill="FFFFFF" w:themeFill="background1"/>
        </w:rPr>
      </w:pPr>
      <w:r>
        <w:rPr>
          <w:rFonts w:ascii="宋体" w:hAnsi="宋体"/>
          <w:b w:val="0"/>
          <w:color w:val="auto"/>
          <w:sz w:val="21"/>
          <w:szCs w:val="21"/>
          <w:highlight w:val="none"/>
          <w:shd w:val="clear" w:color="auto" w:fill="FFFFFF" w:themeFill="background1"/>
        </w:rPr>
        <w:t>9.3</w:t>
      </w:r>
      <w:r>
        <w:rPr>
          <w:rFonts w:hint="eastAsia" w:ascii="宋体" w:hAnsi="宋体"/>
          <w:b w:val="0"/>
          <w:color w:val="auto"/>
          <w:sz w:val="21"/>
          <w:szCs w:val="21"/>
          <w:highlight w:val="none"/>
          <w:shd w:val="clear" w:color="auto" w:fill="FFFFFF" w:themeFill="background1"/>
        </w:rPr>
        <w:t>供应商有下列情形之一的，属于恶意串通行为，将报同级监督管理部门：</w:t>
      </w:r>
    </w:p>
    <w:p w14:paraId="2A2868BF">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（1）供应商直接或者间接从采购人或者采购代理机构处获得其他供应商的相关信息并修改其投标文件或者响应文件；</w:t>
      </w:r>
    </w:p>
    <w:p w14:paraId="6FFD5CCD">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（2）供应商按照采购人或者采购代理机构的授意撤换、修改投标文件或者响应文件；</w:t>
      </w:r>
    </w:p>
    <w:p w14:paraId="250FD31E">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（3）供应商之间协商报价、技术方案等投标文件或者响应文件的实质性内容；</w:t>
      </w:r>
    </w:p>
    <w:p w14:paraId="1D194947">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（4）属于同一集团、协会、商会等组织成员的供应商按照该组织要求协同参加政府采购活动；</w:t>
      </w:r>
    </w:p>
    <w:p w14:paraId="251FF942">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（5）供应商之间事先约定一致抬高或者压低投标报价，或者在招标项目中事先约定轮流以高价位或者低价位中标，或者事先约定由某一特定供应商中标，然后再参加投标；</w:t>
      </w:r>
    </w:p>
    <w:p w14:paraId="06A2A484">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（6）供应商之间商定部分供应商放弃参加政府采购活动或者放弃中标；</w:t>
      </w:r>
    </w:p>
    <w:p w14:paraId="3F54638C">
      <w:pPr>
        <w:pStyle w:val="31"/>
        <w:snapToGrid w:val="0"/>
        <w:spacing w:line="360" w:lineRule="auto"/>
        <w:ind w:left="2" w:leftChars="1" w:firstLine="420" w:firstLineChars="200"/>
        <w:rPr>
          <w:rFonts w:hAnsi="宋体"/>
          <w:color w:val="auto"/>
          <w:kern w:val="2"/>
          <w:sz w:val="21"/>
          <w:highlight w:val="none"/>
          <w:shd w:val="clear" w:color="auto" w:fill="FFFFFF" w:themeFill="background1"/>
        </w:rPr>
      </w:pPr>
      <w:r>
        <w:rPr>
          <w:rFonts w:hint="eastAsia" w:hAnsi="宋体"/>
          <w:color w:val="auto"/>
          <w:kern w:val="2"/>
          <w:sz w:val="21"/>
          <w:highlight w:val="none"/>
          <w:shd w:val="clear" w:color="auto" w:fill="FFFFFF" w:themeFill="background1"/>
        </w:rPr>
        <w:t>（7）供应商与采购人或者采购代理机构之间、供应商相互之间，为谋求特定供应商中标或者排斥其他供应商的其他串通行为。</w:t>
      </w:r>
    </w:p>
    <w:p w14:paraId="449C344F">
      <w:pPr>
        <w:pStyle w:val="31"/>
        <w:snapToGrid w:val="0"/>
        <w:spacing w:line="360" w:lineRule="auto"/>
        <w:ind w:left="2" w:leftChars="1" w:firstLine="422" w:firstLineChars="200"/>
        <w:rPr>
          <w:rFonts w:hAnsi="宋体"/>
          <w:b/>
          <w:color w:val="auto"/>
          <w:kern w:val="2"/>
          <w:sz w:val="21"/>
          <w:highlight w:val="none"/>
          <w:shd w:val="clear" w:color="auto" w:fill="FFFFFF" w:themeFill="background1"/>
        </w:rPr>
      </w:pPr>
    </w:p>
    <w:p w14:paraId="069B0A50">
      <w:pPr>
        <w:pStyle w:val="5"/>
        <w:keepNext w:val="0"/>
        <w:keepLines w:val="0"/>
        <w:ind w:firstLine="643"/>
        <w:jc w:val="center"/>
        <w:rPr>
          <w:color w:val="auto"/>
          <w:highlight w:val="none"/>
          <w:shd w:val="clear" w:color="auto" w:fill="FFFFFF" w:themeFill="background1"/>
        </w:rPr>
      </w:pPr>
      <w:bookmarkStart w:id="82" w:name="_Toc254970675"/>
      <w:bookmarkStart w:id="83" w:name="_Toc254970534"/>
      <w:r>
        <w:rPr>
          <w:rFonts w:hint="eastAsia"/>
          <w:color w:val="auto"/>
          <w:highlight w:val="none"/>
          <w:shd w:val="clear" w:color="auto" w:fill="FFFFFF" w:themeFill="background1"/>
        </w:rPr>
        <w:t>二、招标文件</w:t>
      </w:r>
      <w:bookmarkEnd w:id="82"/>
      <w:bookmarkEnd w:id="83"/>
    </w:p>
    <w:p w14:paraId="5E011681">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10.招标文件的组成</w:t>
      </w:r>
    </w:p>
    <w:p w14:paraId="6F4D9999">
      <w:pPr>
        <w:snapToGrid w:val="0"/>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（1）招标公告；</w:t>
      </w:r>
    </w:p>
    <w:p w14:paraId="184D6F09">
      <w:pPr>
        <w:snapToGrid w:val="0"/>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 xml:space="preserve">（2）采购需求； </w:t>
      </w:r>
    </w:p>
    <w:p w14:paraId="6DF8861C">
      <w:pPr>
        <w:snapToGrid w:val="0"/>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（3）投标人须知；</w:t>
      </w:r>
    </w:p>
    <w:p w14:paraId="4724F905">
      <w:pPr>
        <w:snapToGrid w:val="0"/>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（4）评标方法及评标标准；</w:t>
      </w:r>
    </w:p>
    <w:p w14:paraId="7A6EA30B">
      <w:pPr>
        <w:snapToGrid w:val="0"/>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（5）拟签订的合同文本；</w:t>
      </w:r>
    </w:p>
    <w:p w14:paraId="0E9A78AB">
      <w:pPr>
        <w:snapToGrid w:val="0"/>
        <w:spacing w:line="360" w:lineRule="auto"/>
        <w:ind w:firstLine="42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（6）投标文件格式。</w:t>
      </w:r>
    </w:p>
    <w:p w14:paraId="1084F4C0">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11.招标文件的澄清、修改 、现场考察和答疑会</w:t>
      </w:r>
    </w:p>
    <w:p w14:paraId="27D5334F">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AA34593">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6E5E909">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1</w:t>
      </w:r>
      <w:r>
        <w:rPr>
          <w:rFonts w:hAnsi="宋体"/>
          <w:color w:val="auto"/>
          <w:sz w:val="21"/>
          <w:highlight w:val="none"/>
          <w:shd w:val="clear" w:color="auto" w:fill="FFFFFF" w:themeFill="background1"/>
        </w:rPr>
        <w:t>1.2</w:t>
      </w:r>
      <w:bookmarkStart w:id="84" w:name="_Hlk53134511"/>
      <w:r>
        <w:rPr>
          <w:rFonts w:hint="eastAsia" w:hAnsi="宋体"/>
          <w:color w:val="auto"/>
          <w:sz w:val="21"/>
          <w:highlight w:val="none"/>
          <w:shd w:val="clear" w:color="auto" w:fill="FFFFFF" w:themeFill="background1"/>
        </w:rPr>
        <w:t>采购人或者采购代理机构可以在招标文件提供期限截止后，组织已获取招标文件的潜在投标人现场考察或者召开开标前答疑会，具体详见“投标人须知前附表”。</w:t>
      </w:r>
    </w:p>
    <w:bookmarkEnd w:id="84"/>
    <w:p w14:paraId="211403D3">
      <w:pPr>
        <w:pStyle w:val="5"/>
        <w:keepNext w:val="0"/>
        <w:keepLines w:val="0"/>
        <w:ind w:firstLine="643"/>
        <w:jc w:val="center"/>
        <w:rPr>
          <w:color w:val="auto"/>
          <w:highlight w:val="none"/>
          <w:shd w:val="clear" w:color="auto" w:fill="FFFFFF" w:themeFill="background1"/>
        </w:rPr>
      </w:pPr>
      <w:bookmarkStart w:id="85" w:name="_Toc254970535"/>
      <w:bookmarkStart w:id="86" w:name="_Toc254970676"/>
      <w:r>
        <w:rPr>
          <w:rFonts w:hint="eastAsia"/>
          <w:color w:val="auto"/>
          <w:highlight w:val="none"/>
          <w:shd w:val="clear" w:color="auto" w:fill="FFFFFF" w:themeFill="background1"/>
        </w:rPr>
        <w:t>三、投标文件的编制</w:t>
      </w:r>
      <w:bookmarkEnd w:id="85"/>
      <w:bookmarkEnd w:id="86"/>
    </w:p>
    <w:p w14:paraId="17B97D01">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87" w:name="_Toc254970536"/>
      <w:bookmarkStart w:id="88" w:name="_Toc254970677"/>
      <w:r>
        <w:rPr>
          <w:rFonts w:hint="eastAsia" w:ascii="黑体" w:hAnsi="黑体" w:eastAsia="黑体"/>
          <w:color w:val="auto"/>
          <w:sz w:val="24"/>
          <w:highlight w:val="none"/>
          <w:shd w:val="clear" w:color="auto" w:fill="FFFFFF" w:themeFill="background1"/>
        </w:rPr>
        <w:t>12.投标文件的编制原则</w:t>
      </w:r>
    </w:p>
    <w:p w14:paraId="5E6293FC">
      <w:pPr>
        <w:snapToGrid w:val="0"/>
        <w:spacing w:line="360" w:lineRule="auto"/>
        <w:ind w:firstLine="422"/>
        <w:jc w:val="left"/>
        <w:rPr>
          <w:rFonts w:ascii="宋体" w:hAnsi="宋体" w:cs="Courier New"/>
          <w:color w:val="auto"/>
          <w:szCs w:val="21"/>
          <w:highlight w:val="none"/>
          <w:shd w:val="clear" w:color="auto" w:fill="FFFFFF" w:themeFill="background1"/>
        </w:rPr>
      </w:pPr>
      <w:r>
        <w:rPr>
          <w:rFonts w:ascii="宋体" w:hAnsi="宋体"/>
          <w:color w:val="auto"/>
          <w:szCs w:val="21"/>
          <w:highlight w:val="none"/>
          <w:shd w:val="clear" w:color="auto" w:fill="FFFFFF" w:themeFill="background1"/>
        </w:rPr>
        <w:t>投标人必须按照招标文件的要求编制投标文件。投标文件必须对招标文件提出的要求和条件作出明确响应。</w:t>
      </w:r>
    </w:p>
    <w:p w14:paraId="6AE943F5">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13.投标文件的组成</w:t>
      </w:r>
      <w:bookmarkEnd w:id="87"/>
      <w:bookmarkEnd w:id="88"/>
    </w:p>
    <w:p w14:paraId="4E3A98CA">
      <w:pPr>
        <w:snapToGrid w:val="0"/>
        <w:spacing w:line="360" w:lineRule="auto"/>
        <w:ind w:firstLine="420" w:firstLineChars="200"/>
        <w:jc w:val="left"/>
        <w:rPr>
          <w:rFonts w:ascii="宋体" w:hAnsi="宋体"/>
          <w:color w:val="auto"/>
          <w:szCs w:val="21"/>
          <w:highlight w:val="none"/>
          <w:shd w:val="clear" w:color="auto" w:fill="FFFFFF" w:themeFill="background1"/>
        </w:rPr>
      </w:pPr>
      <w:bookmarkStart w:id="89" w:name="_13.5投标文件电子版：具体材料见“投标人须知前附表”。"/>
      <w:bookmarkEnd w:id="89"/>
      <w:bookmarkStart w:id="90" w:name="_Toc254970678"/>
      <w:bookmarkStart w:id="91" w:name="_Toc254970537"/>
      <w:r>
        <w:rPr>
          <w:rFonts w:hint="eastAsia" w:ascii="宋体" w:hAnsi="宋体"/>
          <w:color w:val="auto"/>
          <w:szCs w:val="21"/>
          <w:highlight w:val="none"/>
          <w:shd w:val="clear" w:color="auto" w:fill="FFFFFF" w:themeFill="background1"/>
        </w:rPr>
        <w:t>投标文件由报价文件、资格证明文件、商务及技术文件三部分组成。</w:t>
      </w:r>
    </w:p>
    <w:p w14:paraId="62E38834">
      <w:pPr>
        <w:pStyle w:val="7"/>
        <w:keepNext w:val="0"/>
        <w:keepLines w:val="0"/>
        <w:numPr>
          <w:ilvl w:val="4"/>
          <w:numId w:val="23"/>
        </w:numPr>
        <w:spacing w:before="0" w:after="0" w:line="360" w:lineRule="auto"/>
        <w:ind w:left="420" w:leftChars="200" w:firstLine="420"/>
        <w:rPr>
          <w:rFonts w:ascii="宋体" w:hAnsi="宋体"/>
          <w:b w:val="0"/>
          <w:color w:val="auto"/>
          <w:sz w:val="21"/>
          <w:szCs w:val="21"/>
          <w:highlight w:val="none"/>
          <w:shd w:val="clear" w:color="auto" w:fill="FFFFFF" w:themeFill="background1"/>
        </w:rPr>
      </w:pPr>
      <w:bookmarkStart w:id="92" w:name="_13.1报价文件:_具体材料见“投标人须知前附表”。"/>
      <w:bookmarkEnd w:id="92"/>
      <w:r>
        <w:rPr>
          <w:rFonts w:hint="eastAsia" w:ascii="宋体" w:hAnsi="宋体"/>
          <w:b w:val="0"/>
          <w:color w:val="auto"/>
          <w:sz w:val="21"/>
          <w:szCs w:val="21"/>
          <w:highlight w:val="none"/>
          <w:shd w:val="clear" w:color="auto" w:fill="FFFFFF" w:themeFill="background1"/>
        </w:rPr>
        <w:t>（1）报价文件：</w:t>
      </w:r>
      <w:r>
        <w:rPr>
          <w:rFonts w:ascii="宋体" w:hAnsi="宋体"/>
          <w:b w:val="0"/>
          <w:color w:val="auto"/>
          <w:sz w:val="21"/>
          <w:szCs w:val="21"/>
          <w:highlight w:val="none"/>
          <w:shd w:val="clear" w:color="auto" w:fill="FFFFFF" w:themeFill="background1"/>
        </w:rPr>
        <w:t xml:space="preserve"> 具体材料见“投标人须知前附表”</w:t>
      </w:r>
      <w:r>
        <w:rPr>
          <w:rFonts w:hint="eastAsia" w:ascii="宋体" w:hAnsi="宋体"/>
          <w:b w:val="0"/>
          <w:color w:val="auto"/>
          <w:sz w:val="21"/>
          <w:szCs w:val="21"/>
          <w:highlight w:val="none"/>
          <w:shd w:val="clear" w:color="auto" w:fill="FFFFFF" w:themeFill="background1"/>
        </w:rPr>
        <w:t>。</w:t>
      </w:r>
    </w:p>
    <w:p w14:paraId="6073665C">
      <w:pPr>
        <w:pStyle w:val="7"/>
        <w:keepNext w:val="0"/>
        <w:keepLines w:val="0"/>
        <w:numPr>
          <w:ilvl w:val="4"/>
          <w:numId w:val="23"/>
        </w:numPr>
        <w:spacing w:before="0" w:after="0" w:line="360" w:lineRule="auto"/>
        <w:ind w:left="420" w:leftChars="200" w:firstLine="420"/>
        <w:rPr>
          <w:rFonts w:ascii="宋体" w:hAnsi="宋体"/>
          <w:b w:val="0"/>
          <w:color w:val="auto"/>
          <w:sz w:val="21"/>
          <w:szCs w:val="21"/>
          <w:highlight w:val="none"/>
          <w:shd w:val="clear" w:color="auto" w:fill="FFFFFF" w:themeFill="background1"/>
        </w:rPr>
      </w:pPr>
      <w:bookmarkStart w:id="93" w:name="_13.2资格证明文件：具体材料见“投标人须知前附表”。"/>
      <w:bookmarkEnd w:id="93"/>
      <w:r>
        <w:rPr>
          <w:rFonts w:hint="eastAsia" w:ascii="宋体" w:hAnsi="宋体"/>
          <w:b w:val="0"/>
          <w:color w:val="auto"/>
          <w:sz w:val="21"/>
          <w:szCs w:val="21"/>
          <w:highlight w:val="none"/>
          <w:shd w:val="clear" w:color="auto" w:fill="FFFFFF" w:themeFill="background1"/>
        </w:rPr>
        <w:t>（</w:t>
      </w:r>
      <w:r>
        <w:rPr>
          <w:rFonts w:ascii="宋体" w:hAnsi="宋体"/>
          <w:b w:val="0"/>
          <w:color w:val="auto"/>
          <w:sz w:val="21"/>
          <w:szCs w:val="21"/>
          <w:highlight w:val="none"/>
          <w:shd w:val="clear" w:color="auto" w:fill="FFFFFF" w:themeFill="background1"/>
        </w:rPr>
        <w:t>2</w:t>
      </w:r>
      <w:r>
        <w:rPr>
          <w:rFonts w:hint="eastAsia" w:ascii="宋体" w:hAnsi="宋体"/>
          <w:b w:val="0"/>
          <w:color w:val="auto"/>
          <w:sz w:val="21"/>
          <w:szCs w:val="21"/>
          <w:highlight w:val="none"/>
          <w:shd w:val="clear" w:color="auto" w:fill="FFFFFF" w:themeFill="background1"/>
        </w:rPr>
        <w:t>）资格证明文件：</w:t>
      </w:r>
      <w:r>
        <w:rPr>
          <w:rFonts w:ascii="宋体" w:hAnsi="宋体"/>
          <w:b w:val="0"/>
          <w:color w:val="auto"/>
          <w:sz w:val="21"/>
          <w:szCs w:val="21"/>
          <w:highlight w:val="none"/>
          <w:shd w:val="clear" w:color="auto" w:fill="FFFFFF" w:themeFill="background1"/>
        </w:rPr>
        <w:t>具体材料见“投标人须知前附表”</w:t>
      </w:r>
      <w:r>
        <w:rPr>
          <w:rFonts w:hint="eastAsia" w:ascii="宋体" w:hAnsi="宋体"/>
          <w:b w:val="0"/>
          <w:color w:val="auto"/>
          <w:sz w:val="21"/>
          <w:szCs w:val="21"/>
          <w:highlight w:val="none"/>
          <w:shd w:val="clear" w:color="auto" w:fill="FFFFFF" w:themeFill="background1"/>
        </w:rPr>
        <w:t>。</w:t>
      </w:r>
    </w:p>
    <w:p w14:paraId="50DA6923">
      <w:pPr>
        <w:pStyle w:val="7"/>
        <w:keepNext w:val="0"/>
        <w:keepLines w:val="0"/>
        <w:numPr>
          <w:ilvl w:val="4"/>
          <w:numId w:val="23"/>
        </w:numPr>
        <w:spacing w:before="0" w:after="0" w:line="360" w:lineRule="auto"/>
        <w:ind w:left="420" w:leftChars="200" w:firstLine="420"/>
        <w:rPr>
          <w:rFonts w:ascii="宋体" w:hAnsi="宋体"/>
          <w:b w:val="0"/>
          <w:color w:val="auto"/>
          <w:sz w:val="21"/>
          <w:szCs w:val="21"/>
          <w:highlight w:val="none"/>
          <w:shd w:val="clear" w:color="auto" w:fill="FFFFFF" w:themeFill="background1"/>
        </w:rPr>
      </w:pPr>
      <w:bookmarkStart w:id="94" w:name="_13.3商务文件:_具体材料见“投标人须知前附表”。"/>
      <w:bookmarkEnd w:id="94"/>
      <w:r>
        <w:rPr>
          <w:rFonts w:hint="eastAsia" w:ascii="宋体" w:hAnsi="宋体"/>
          <w:b w:val="0"/>
          <w:color w:val="auto"/>
          <w:sz w:val="21"/>
          <w:szCs w:val="21"/>
          <w:highlight w:val="none"/>
          <w:shd w:val="clear" w:color="auto" w:fill="FFFFFF" w:themeFill="background1"/>
        </w:rPr>
        <w:t>（</w:t>
      </w:r>
      <w:r>
        <w:rPr>
          <w:rFonts w:ascii="宋体" w:hAnsi="宋体"/>
          <w:b w:val="0"/>
          <w:color w:val="auto"/>
          <w:sz w:val="21"/>
          <w:szCs w:val="21"/>
          <w:highlight w:val="none"/>
          <w:shd w:val="clear" w:color="auto" w:fill="FFFFFF" w:themeFill="background1"/>
        </w:rPr>
        <w:t>3</w:t>
      </w:r>
      <w:r>
        <w:rPr>
          <w:rFonts w:hint="eastAsia" w:ascii="宋体" w:hAnsi="宋体"/>
          <w:b w:val="0"/>
          <w:color w:val="auto"/>
          <w:sz w:val="21"/>
          <w:szCs w:val="21"/>
          <w:highlight w:val="none"/>
          <w:shd w:val="clear" w:color="auto" w:fill="FFFFFF" w:themeFill="background1"/>
        </w:rPr>
        <w:t>）商务及技术文件：</w:t>
      </w:r>
      <w:r>
        <w:rPr>
          <w:rFonts w:ascii="宋体" w:hAnsi="宋体"/>
          <w:b w:val="0"/>
          <w:color w:val="auto"/>
          <w:sz w:val="21"/>
          <w:szCs w:val="21"/>
          <w:highlight w:val="none"/>
          <w:shd w:val="clear" w:color="auto" w:fill="FFFFFF" w:themeFill="background1"/>
        </w:rPr>
        <w:t>具体材料见“投标人须知前附表”</w:t>
      </w:r>
      <w:r>
        <w:rPr>
          <w:rFonts w:hint="eastAsia" w:ascii="宋体" w:hAnsi="宋体"/>
          <w:b w:val="0"/>
          <w:color w:val="auto"/>
          <w:sz w:val="21"/>
          <w:szCs w:val="21"/>
          <w:highlight w:val="none"/>
          <w:shd w:val="clear" w:color="auto" w:fill="FFFFFF" w:themeFill="background1"/>
        </w:rPr>
        <w:t>。</w:t>
      </w:r>
    </w:p>
    <w:p w14:paraId="2697B4C1">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14.投标文件的语言及计量</w:t>
      </w:r>
      <w:bookmarkEnd w:id="90"/>
      <w:bookmarkEnd w:id="91"/>
    </w:p>
    <w:p w14:paraId="2C881C1E">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14.1语言文字</w:t>
      </w:r>
    </w:p>
    <w:p w14:paraId="17D25CBB">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E0D7495">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14.2投标计量单位</w:t>
      </w:r>
    </w:p>
    <w:p w14:paraId="7DA216B0">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招标文件已有明确规定的，使用招标文件规定的计量单位；招标文件没有规定的，应采用中华人民共和国法定计量单位，货币种类为人民币</w:t>
      </w:r>
      <w:r>
        <w:rPr>
          <w:rFonts w:hint="eastAsia" w:ascii="宋体" w:hAnsi="宋体"/>
          <w:bCs/>
          <w:color w:val="auto"/>
          <w:sz w:val="21"/>
          <w:szCs w:val="21"/>
          <w:highlight w:val="none"/>
          <w:shd w:val="clear" w:color="auto" w:fill="FFFFFF" w:themeFill="background1"/>
        </w:rPr>
        <w:t>，否则视同未响应。</w:t>
      </w:r>
    </w:p>
    <w:p w14:paraId="5A9FA053">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15.投标的风险</w:t>
      </w:r>
    </w:p>
    <w:p w14:paraId="277B97FC">
      <w:pPr>
        <w:pStyle w:val="31"/>
        <w:snapToGrid w:val="0"/>
        <w:spacing w:line="360" w:lineRule="auto"/>
        <w:ind w:firstLine="420" w:firstLineChars="200"/>
        <w:jc w:val="left"/>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投标人没有按照招标文件要求提供全部资料，或者投标人没有对招标文件作出实质性响应是投标人的风险，并可能导致其投标被拒绝。</w:t>
      </w:r>
    </w:p>
    <w:p w14:paraId="6871764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95" w:name="_Toc254970538"/>
      <w:bookmarkStart w:id="96" w:name="_Toc254970679"/>
      <w:r>
        <w:rPr>
          <w:rFonts w:hint="eastAsia" w:ascii="黑体" w:hAnsi="黑体" w:eastAsia="黑体"/>
          <w:color w:val="auto"/>
          <w:sz w:val="24"/>
          <w:highlight w:val="none"/>
          <w:shd w:val="clear" w:color="auto" w:fill="FFFFFF" w:themeFill="background1"/>
        </w:rPr>
        <w:t>16.投标报价</w:t>
      </w:r>
      <w:bookmarkEnd w:id="95"/>
      <w:bookmarkEnd w:id="96"/>
    </w:p>
    <w:p w14:paraId="309697E6">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16.1投标报价应按“第六章　投标文件格式”中“开标一览表”格式填写。</w:t>
      </w:r>
    </w:p>
    <w:p w14:paraId="32B1D169">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bookmarkStart w:id="97" w:name="_16.2投标报价具体定义见投标人须知前附表。"/>
      <w:bookmarkEnd w:id="97"/>
      <w:r>
        <w:rPr>
          <w:rFonts w:hint="eastAsia" w:ascii="宋体" w:hAnsi="宋体"/>
          <w:b w:val="0"/>
          <w:color w:val="auto"/>
          <w:sz w:val="21"/>
          <w:szCs w:val="21"/>
          <w:highlight w:val="none"/>
          <w:shd w:val="clear" w:color="auto" w:fill="FFFFFF" w:themeFill="background1"/>
        </w:rPr>
        <w:t>16.2投标报价具体包括内容详见“投标人须知前附表”。</w:t>
      </w:r>
    </w:p>
    <w:p w14:paraId="2794151D">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16.3投标人必须就所投每个分标的全部内容分别作完整唯一总价报价，不得存在漏项报价；投标人必须就所投分标的单项内容作唯一报价。</w:t>
      </w:r>
    </w:p>
    <w:p w14:paraId="4F6EF2A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17.投标有效期</w:t>
      </w:r>
    </w:p>
    <w:p w14:paraId="47CA05E3">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bookmarkStart w:id="98" w:name="_17.1投标有效期应按“投标人须知中的前附表”规定的期限。"/>
      <w:bookmarkEnd w:id="98"/>
      <w:r>
        <w:rPr>
          <w:rFonts w:hint="eastAsia" w:ascii="宋体" w:hAnsi="宋体"/>
          <w:b w:val="0"/>
          <w:color w:val="auto"/>
          <w:sz w:val="21"/>
          <w:szCs w:val="21"/>
          <w:highlight w:val="none"/>
          <w:shd w:val="clear" w:color="auto" w:fill="FFFFFF" w:themeFill="background1"/>
        </w:rPr>
        <w:t>17.1投标有效期是指为保证采购人有足够的时间在开标后完成评标、定标、合同签订等工作而要求投标人提交的投标文件在一定时间内保持有效的期限。</w:t>
      </w:r>
    </w:p>
    <w:p w14:paraId="72366ED0">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17.2</w:t>
      </w:r>
      <w:bookmarkStart w:id="99" w:name="_Toc254970681"/>
      <w:bookmarkStart w:id="100" w:name="_Toc254970540"/>
      <w:r>
        <w:rPr>
          <w:rFonts w:hint="eastAsia" w:ascii="宋体" w:hAnsi="宋体"/>
          <w:b w:val="0"/>
          <w:color w:val="auto"/>
          <w:sz w:val="21"/>
          <w:szCs w:val="21"/>
          <w:highlight w:val="none"/>
          <w:shd w:val="clear" w:color="auto" w:fill="FFFFFF" w:themeFill="background1"/>
        </w:rPr>
        <w:t xml:space="preserve"> 投标有效期应按规定的期限作出承诺，具体详见“投标人须知前附表”。</w:t>
      </w:r>
    </w:p>
    <w:p w14:paraId="029BB260">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17.3投标人的投标文件在投标有效期内均保持有效。</w:t>
      </w:r>
      <w:bookmarkEnd w:id="99"/>
      <w:bookmarkEnd w:id="100"/>
    </w:p>
    <w:p w14:paraId="24B7B11A">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101" w:name="_18.投标保证金"/>
      <w:bookmarkEnd w:id="101"/>
      <w:bookmarkStart w:id="102" w:name="_Toc254970682"/>
      <w:bookmarkStart w:id="103" w:name="_Toc254970541"/>
      <w:r>
        <w:rPr>
          <w:rFonts w:hint="eastAsia" w:ascii="黑体" w:hAnsi="黑体" w:eastAsia="黑体"/>
          <w:color w:val="auto"/>
          <w:sz w:val="24"/>
          <w:highlight w:val="none"/>
          <w:shd w:val="clear" w:color="auto" w:fill="FFFFFF" w:themeFill="background1"/>
        </w:rPr>
        <w:t>18.投标保证金</w:t>
      </w:r>
      <w:bookmarkEnd w:id="102"/>
      <w:bookmarkEnd w:id="103"/>
    </w:p>
    <w:p w14:paraId="63788A6B">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18.1投标人须按“投标人须知前附表” 的规定提交投标保证金。</w:t>
      </w:r>
    </w:p>
    <w:p w14:paraId="6C3D13F7">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18.2投标保证金的退还</w:t>
      </w:r>
    </w:p>
    <w:p w14:paraId="449C4006">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未中标人的投标保证金自中标通知书发出之日起</w:t>
      </w:r>
      <w:r>
        <w:rPr>
          <w:rFonts w:ascii="宋体" w:hAnsi="宋体"/>
          <w:b w:val="0"/>
          <w:color w:val="auto"/>
          <w:sz w:val="21"/>
          <w:szCs w:val="21"/>
          <w:highlight w:val="none"/>
          <w:shd w:val="clear" w:color="auto" w:fill="FFFFFF" w:themeFill="background1"/>
        </w:rPr>
        <w:t>5</w:t>
      </w:r>
      <w:r>
        <w:rPr>
          <w:rFonts w:hint="eastAsia" w:ascii="宋体" w:hAnsi="宋体"/>
          <w:b w:val="0"/>
          <w:color w:val="auto"/>
          <w:sz w:val="21"/>
          <w:szCs w:val="21"/>
          <w:highlight w:val="none"/>
          <w:shd w:val="clear" w:color="auto" w:fill="FFFFFF" w:themeFill="background1"/>
        </w:rPr>
        <w:t>个工作日内退还；中标人的投标保证金自政府采购合同签订之日起</w:t>
      </w:r>
      <w:r>
        <w:rPr>
          <w:rFonts w:ascii="宋体" w:hAnsi="宋体"/>
          <w:b w:val="0"/>
          <w:color w:val="auto"/>
          <w:sz w:val="21"/>
          <w:szCs w:val="21"/>
          <w:highlight w:val="none"/>
          <w:shd w:val="clear" w:color="auto" w:fill="FFFFFF" w:themeFill="background1"/>
        </w:rPr>
        <w:t>5</w:t>
      </w:r>
      <w:r>
        <w:rPr>
          <w:rFonts w:hint="eastAsia" w:ascii="宋体" w:hAnsi="宋体"/>
          <w:b w:val="0"/>
          <w:color w:val="auto"/>
          <w:sz w:val="21"/>
          <w:szCs w:val="21"/>
          <w:highlight w:val="none"/>
          <w:shd w:val="clear" w:color="auto" w:fill="FFFFFF" w:themeFill="background1"/>
        </w:rPr>
        <w:t xml:space="preserve">个工作日内退还。 </w:t>
      </w:r>
    </w:p>
    <w:p w14:paraId="1BF8D4AF">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18.3除逾期退还投标保证金和终止招标的情形以外，投标保证金不计息。</w:t>
      </w:r>
    </w:p>
    <w:p w14:paraId="67B32389">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18.4投标人有下列情形之一的，投标保证金将不予退还： </w:t>
      </w:r>
    </w:p>
    <w:p w14:paraId="351BF31D">
      <w:pPr>
        <w:snapToGrid w:val="0"/>
        <w:spacing w:line="360" w:lineRule="auto"/>
        <w:ind w:firstLine="411" w:firstLineChars="196"/>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（1）投标人在投标有效期内撤销投标文件的；</w:t>
      </w:r>
    </w:p>
    <w:p w14:paraId="4B6BD9B8">
      <w:pPr>
        <w:snapToGrid w:val="0"/>
        <w:spacing w:line="360" w:lineRule="auto"/>
        <w:ind w:firstLine="411" w:firstLineChars="196"/>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（2）未按规定提交履约保证金的；</w:t>
      </w:r>
    </w:p>
    <w:p w14:paraId="389AA209">
      <w:pPr>
        <w:snapToGrid w:val="0"/>
        <w:spacing w:line="360" w:lineRule="auto"/>
        <w:ind w:firstLine="411" w:firstLineChars="196"/>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（3）投标人在投标过程中弄虚作假，提供虚假材料的；</w:t>
      </w:r>
    </w:p>
    <w:p w14:paraId="12628CEB">
      <w:pPr>
        <w:snapToGrid w:val="0"/>
        <w:spacing w:line="360" w:lineRule="auto"/>
        <w:ind w:firstLine="411" w:firstLineChars="196"/>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（4）中标人无正当理由不与采购人签订合同的；</w:t>
      </w:r>
    </w:p>
    <w:p w14:paraId="6CEC5C85">
      <w:pPr>
        <w:snapToGrid w:val="0"/>
        <w:spacing w:line="360" w:lineRule="auto"/>
        <w:ind w:firstLine="420" w:firstLineChars="200"/>
        <w:rPr>
          <w:rFonts w:ascii="宋体" w:hAnsi="宋体"/>
          <w:color w:val="auto"/>
          <w:szCs w:val="21"/>
          <w:highlight w:val="none"/>
          <w:shd w:val="clear" w:color="auto" w:fill="FFFFFF" w:themeFill="background1"/>
        </w:rPr>
      </w:pPr>
      <w:bookmarkStart w:id="104" w:name="_Toc254970542"/>
      <w:bookmarkStart w:id="105" w:name="_Toc254970683"/>
      <w:r>
        <w:rPr>
          <w:rFonts w:hint="eastAsia" w:ascii="宋体" w:hAnsi="宋体"/>
          <w:color w:val="auto"/>
          <w:szCs w:val="21"/>
          <w:highlight w:val="none"/>
          <w:shd w:val="clear" w:color="auto" w:fill="FFFFFF" w:themeFill="background1"/>
        </w:rPr>
        <w:t>（5）投标人出现本章第9.2、9.3情形的；</w:t>
      </w:r>
    </w:p>
    <w:p w14:paraId="1AF08562">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w:t>
      </w:r>
      <w:r>
        <w:rPr>
          <w:rFonts w:hint="eastAsia" w:ascii="宋体" w:hAnsi="宋体" w:cs="宋体"/>
          <w:color w:val="auto"/>
          <w:szCs w:val="21"/>
          <w:highlight w:val="none"/>
          <w:shd w:val="clear" w:color="auto" w:fill="FFFFFF" w:themeFill="background1"/>
        </w:rPr>
        <w:t>法律法规规定的其他情形</w:t>
      </w:r>
      <w:r>
        <w:rPr>
          <w:rFonts w:hint="eastAsia" w:ascii="宋体" w:hAnsi="宋体"/>
          <w:color w:val="auto"/>
          <w:szCs w:val="21"/>
          <w:highlight w:val="none"/>
          <w:shd w:val="clear" w:color="auto" w:fill="FFFFFF" w:themeFill="background1"/>
        </w:rPr>
        <w:t>。</w:t>
      </w:r>
    </w:p>
    <w:bookmarkEnd w:id="104"/>
    <w:bookmarkEnd w:id="105"/>
    <w:p w14:paraId="36BB5178">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19.投标文件的编制</w:t>
      </w:r>
    </w:p>
    <w:p w14:paraId="3A9647D4">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11C5C840">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bookmarkStart w:id="106" w:name="_19.2投标文件应按报价文件、资格证明文件、商务文件、技术文件分别编制"/>
      <w:bookmarkEnd w:id="106"/>
      <w:r>
        <w:rPr>
          <w:rFonts w:hint="eastAsia" w:ascii="宋体" w:hAnsi="宋体"/>
          <w:b w:val="0"/>
          <w:color w:val="auto"/>
          <w:sz w:val="21"/>
          <w:szCs w:val="21"/>
          <w:highlight w:val="none"/>
          <w:shd w:val="clear" w:color="auto" w:fill="FFFFFF" w:themeFill="background1"/>
        </w:rPr>
        <w:t>19.2为确保网上操作合法、有效和安全，投标人应当在投标截止时间前完成在“广西政府采购云平台”的身份认证，确保在电子投标过程中能够对相关数据电文进行加密和使用电子签章。</w:t>
      </w:r>
    </w:p>
    <w:p w14:paraId="0B3E8662">
      <w:pPr>
        <w:pStyle w:val="7"/>
        <w:keepNext w:val="0"/>
        <w:keepLines w:val="0"/>
        <w:numPr>
          <w:ilvl w:val="4"/>
          <w:numId w:val="0"/>
        </w:numPr>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19.3投标文件须由投标人在规定位置签字（或者电子签名）、盖章（具体以投标人须知前附表或投标文件格式规定为准），</w:t>
      </w:r>
      <w:r>
        <w:rPr>
          <w:rFonts w:hint="eastAsia" w:ascii="宋体" w:hAnsi="宋体"/>
          <w:bCs/>
          <w:color w:val="auto"/>
          <w:sz w:val="21"/>
          <w:szCs w:val="21"/>
          <w:highlight w:val="none"/>
          <w:shd w:val="clear" w:color="auto" w:fill="FFFFFF" w:themeFill="background1"/>
        </w:rPr>
        <w:t>否则按无效投标处理</w:t>
      </w:r>
      <w:r>
        <w:rPr>
          <w:rFonts w:hint="eastAsia" w:ascii="宋体" w:hAnsi="宋体"/>
          <w:b w:val="0"/>
          <w:color w:val="auto"/>
          <w:sz w:val="21"/>
          <w:szCs w:val="21"/>
          <w:highlight w:val="none"/>
          <w:shd w:val="clear" w:color="auto" w:fill="FFFFFF" w:themeFill="background1"/>
        </w:rPr>
        <w:t>。</w:t>
      </w:r>
    </w:p>
    <w:p w14:paraId="79CA17EB">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shd w:val="clear" w:color="auto" w:fill="FFFFFF" w:themeFill="background1"/>
        </w:rPr>
        <w:t>否则按无效投标处理</w:t>
      </w:r>
      <w:r>
        <w:rPr>
          <w:rFonts w:hint="eastAsia" w:ascii="宋体" w:hAnsi="宋体"/>
          <w:b w:val="0"/>
          <w:color w:val="auto"/>
          <w:sz w:val="21"/>
          <w:szCs w:val="21"/>
          <w:highlight w:val="none"/>
          <w:shd w:val="clear" w:color="auto" w:fill="FFFFFF" w:themeFill="background1"/>
        </w:rPr>
        <w:t>。</w:t>
      </w:r>
    </w:p>
    <w:p w14:paraId="3493332A">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F36DDE6">
      <w:pPr>
        <w:spacing w:line="360" w:lineRule="auto"/>
        <w:ind w:firstLine="480" w:firstLineChars="200"/>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20.电子备份投标文件</w:t>
      </w:r>
    </w:p>
    <w:p w14:paraId="07E46C33">
      <w:pPr>
        <w:spacing w:line="360" w:lineRule="auto"/>
        <w:ind w:firstLine="420" w:firstLineChars="200"/>
        <w:rPr>
          <w:rFonts w:ascii="黑体" w:hAnsi="黑体" w:eastAsia="黑体"/>
          <w:color w:val="auto"/>
          <w:sz w:val="24"/>
          <w:highlight w:val="none"/>
          <w:shd w:val="clear" w:color="auto" w:fill="FFFFFF" w:themeFill="background1"/>
        </w:rPr>
      </w:pPr>
      <w:r>
        <w:rPr>
          <w:rFonts w:hint="eastAsia"/>
          <w:color w:val="auto"/>
          <w:highlight w:val="none"/>
          <w:shd w:val="clear" w:color="auto" w:fill="FFFFFF" w:themeFill="background1"/>
        </w:rPr>
        <w:t>电子备份投标文件是指通过“</w:t>
      </w:r>
      <w:r>
        <w:rPr>
          <w:rFonts w:hint="eastAsia" w:ascii="宋体" w:hAnsi="宋体"/>
          <w:color w:val="auto"/>
          <w:szCs w:val="21"/>
          <w:highlight w:val="none"/>
          <w:shd w:val="clear" w:color="auto" w:fill="FFFFFF" w:themeFill="background1"/>
        </w:rPr>
        <w:t>广西政府采购云平台</w:t>
      </w:r>
      <w:r>
        <w:rPr>
          <w:rFonts w:hint="eastAsia"/>
          <w:color w:val="auto"/>
          <w:highlight w:val="none"/>
          <w:shd w:val="clear" w:color="auto" w:fill="FFFFFF" w:themeFill="background1"/>
        </w:rPr>
        <w:t>电子投标客户端”在线编制生成且后缀名为“</w:t>
      </w:r>
      <w:r>
        <w:rPr>
          <w:color w:val="auto"/>
          <w:highlight w:val="none"/>
          <w:shd w:val="clear" w:color="auto" w:fill="FFFFFF" w:themeFill="background1"/>
        </w:rPr>
        <w:t>bfbs</w:t>
      </w:r>
      <w:r>
        <w:rPr>
          <w:rFonts w:hint="eastAsia"/>
          <w:color w:val="auto"/>
          <w:highlight w:val="none"/>
          <w:shd w:val="clear" w:color="auto" w:fill="FFFFFF" w:themeFill="background1"/>
        </w:rPr>
        <w:t>”的文件，是否接受电子备份投标文件</w:t>
      </w:r>
      <w:r>
        <w:rPr>
          <w:rFonts w:hint="eastAsia" w:hAnsi="宋体"/>
          <w:bCs/>
          <w:color w:val="auto"/>
          <w:szCs w:val="21"/>
          <w:highlight w:val="none"/>
          <w:shd w:val="clear" w:color="auto" w:fill="FFFFFF" w:themeFill="background1"/>
        </w:rPr>
        <w:t>详见在“投标人须知前附表”。</w:t>
      </w:r>
    </w:p>
    <w:p w14:paraId="11A707D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21.投标文件的提交</w:t>
      </w:r>
    </w:p>
    <w:p w14:paraId="56719F04">
      <w:pPr>
        <w:spacing w:line="360" w:lineRule="auto"/>
        <w:ind w:firstLine="420" w:firstLineChars="200"/>
        <w:rPr>
          <w:rFonts w:hAnsi="宋体"/>
          <w:b/>
          <w:color w:val="auto"/>
          <w:highlight w:val="none"/>
          <w:shd w:val="clear" w:color="auto" w:fill="FFFFFF" w:themeFill="background1"/>
        </w:rPr>
      </w:pPr>
      <w:bookmarkStart w:id="107" w:name="_21.1投标人必须在“投标人须知中的前附表”规定的投标文件接收时间和投"/>
      <w:bookmarkEnd w:id="107"/>
      <w:r>
        <w:rPr>
          <w:rFonts w:hint="eastAsia" w:hAnsi="宋体"/>
          <w:bCs/>
          <w:color w:val="auto"/>
          <w:szCs w:val="21"/>
          <w:highlight w:val="none"/>
          <w:shd w:val="clear" w:color="auto" w:fill="FFFFFF" w:themeFill="background1"/>
        </w:rPr>
        <w:t>21.1投标人必须在“投标人须知前附表”规定的</w:t>
      </w:r>
      <w:r>
        <w:rPr>
          <w:rFonts w:hint="eastAsia" w:ascii="宋体" w:hAnsi="宋体"/>
          <w:color w:val="auto"/>
          <w:szCs w:val="21"/>
          <w:highlight w:val="none"/>
          <w:shd w:val="clear" w:color="auto" w:fill="FFFFFF" w:themeFill="background1"/>
        </w:rPr>
        <w:t>投标文件提交截止时间前将</w:t>
      </w:r>
      <w:r>
        <w:rPr>
          <w:rFonts w:hint="eastAsia" w:hAnsi="宋体"/>
          <w:bCs/>
          <w:color w:val="auto"/>
          <w:szCs w:val="21"/>
          <w:highlight w:val="none"/>
          <w:shd w:val="clear" w:color="auto" w:fill="FFFFFF" w:themeFill="background1"/>
        </w:rPr>
        <w:t>电子投标文件提交至投标地点。电子投标文件应在制作完成后，</w:t>
      </w:r>
      <w:r>
        <w:rPr>
          <w:rFonts w:hAnsi="宋体"/>
          <w:bCs/>
          <w:color w:val="auto"/>
          <w:szCs w:val="21"/>
          <w:highlight w:val="none"/>
          <w:shd w:val="clear" w:color="auto" w:fill="FFFFFF" w:themeFill="background1"/>
        </w:rPr>
        <w:t>在投标截止时间前</w:t>
      </w:r>
      <w:r>
        <w:rPr>
          <w:rFonts w:hint="eastAsia" w:hAnsi="宋体"/>
          <w:bCs/>
          <w:color w:val="auto"/>
          <w:szCs w:val="21"/>
          <w:highlight w:val="none"/>
          <w:shd w:val="clear" w:color="auto" w:fill="FFFFFF" w:themeFill="background1"/>
        </w:rPr>
        <w:t>通过有效数字证书（CA认证锁）进行电子签章、加密，然后通过网络将加密的电子投标文件递交至</w:t>
      </w:r>
      <w:r>
        <w:rPr>
          <w:rFonts w:hint="eastAsia" w:ascii="宋体" w:hAnsi="宋体"/>
          <w:color w:val="auto"/>
          <w:szCs w:val="21"/>
          <w:highlight w:val="none"/>
          <w:shd w:val="clear" w:color="auto" w:fill="FFFFFF" w:themeFill="background1"/>
        </w:rPr>
        <w:t>“广西政府采购云平台”</w:t>
      </w:r>
      <w:r>
        <w:rPr>
          <w:rFonts w:hint="eastAsia" w:hAnsi="宋体"/>
          <w:bCs/>
          <w:color w:val="auto"/>
          <w:szCs w:val="21"/>
          <w:highlight w:val="none"/>
          <w:shd w:val="clear" w:color="auto" w:fill="FFFFFF" w:themeFill="background1"/>
        </w:rPr>
        <w:t>。</w:t>
      </w:r>
    </w:p>
    <w:p w14:paraId="2354E63A">
      <w:pPr>
        <w:spacing w:line="360" w:lineRule="auto"/>
        <w:ind w:firstLine="422" w:firstLineChars="200"/>
        <w:rPr>
          <w:rFonts w:ascii="宋体" w:hAnsi="宋体"/>
          <w:b/>
          <w:color w:val="auto"/>
          <w:szCs w:val="20"/>
          <w:highlight w:val="none"/>
          <w:shd w:val="clear" w:color="auto" w:fill="FFFFFF" w:themeFill="background1"/>
        </w:rPr>
      </w:pPr>
      <w:r>
        <w:rPr>
          <w:rFonts w:hint="eastAsia" w:ascii="宋体" w:hAnsi="宋体"/>
          <w:b/>
          <w:color w:val="auto"/>
          <w:szCs w:val="21"/>
          <w:highlight w:val="none"/>
          <w:shd w:val="clear" w:color="auto" w:fill="FFFFFF" w:themeFill="background1"/>
        </w:rPr>
        <w:t>21.</w:t>
      </w:r>
      <w:r>
        <w:rPr>
          <w:rFonts w:ascii="宋体" w:hAnsi="宋体"/>
          <w:b/>
          <w:color w:val="auto"/>
          <w:szCs w:val="21"/>
          <w:highlight w:val="none"/>
          <w:shd w:val="clear" w:color="auto" w:fill="FFFFFF" w:themeFill="background1"/>
        </w:rPr>
        <w:t>2</w:t>
      </w:r>
      <w:r>
        <w:rPr>
          <w:rFonts w:hint="eastAsia" w:ascii="宋体" w:hAnsi="宋体"/>
          <w:b/>
          <w:color w:val="auto"/>
          <w:szCs w:val="21"/>
          <w:highlight w:val="none"/>
          <w:shd w:val="clear" w:color="auto" w:fill="FFFFFF" w:themeFill="background1"/>
        </w:rPr>
        <w:t>未在规定时间内提交或者未按照招标文件要求加密的电子投标文件，</w:t>
      </w:r>
      <w:r>
        <w:rPr>
          <w:rFonts w:hint="eastAsia" w:ascii="宋体" w:hAnsi="宋体"/>
          <w:color w:val="auto"/>
          <w:szCs w:val="21"/>
          <w:highlight w:val="none"/>
          <w:shd w:val="clear" w:color="auto" w:fill="FFFFFF" w:themeFill="background1"/>
        </w:rPr>
        <w:t>“广西政府采购云平台”</w:t>
      </w:r>
      <w:r>
        <w:rPr>
          <w:rFonts w:hint="eastAsia" w:ascii="宋体" w:hAnsi="宋体"/>
          <w:b/>
          <w:color w:val="auto"/>
          <w:szCs w:val="21"/>
          <w:highlight w:val="none"/>
          <w:shd w:val="clear" w:color="auto" w:fill="FFFFFF" w:themeFill="background1"/>
        </w:rPr>
        <w:t>将拒收。</w:t>
      </w:r>
    </w:p>
    <w:p w14:paraId="66F6ED81">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22. 投标文件的补充、修改、撤回与退回</w:t>
      </w:r>
    </w:p>
    <w:p w14:paraId="009160D3">
      <w:pPr>
        <w:snapToGrid w:val="0"/>
        <w:spacing w:line="360" w:lineRule="auto"/>
        <w:ind w:firstLine="422"/>
        <w:jc w:val="left"/>
        <w:rPr>
          <w:rFonts w:ascii="宋体" w:hAnsi="宋体"/>
          <w:color w:val="auto"/>
          <w:szCs w:val="21"/>
          <w:highlight w:val="none"/>
          <w:shd w:val="clear" w:color="auto" w:fill="FFFFFF" w:themeFill="background1"/>
        </w:rPr>
      </w:pPr>
      <w:bookmarkStart w:id="108" w:name="_Toc254970684"/>
      <w:bookmarkStart w:id="109" w:name="_Toc254970543"/>
      <w:r>
        <w:rPr>
          <w:rFonts w:ascii="宋体" w:hAnsi="宋体" w:cs="宋体"/>
          <w:color w:val="auto"/>
          <w:szCs w:val="21"/>
          <w:highlight w:val="none"/>
          <w:shd w:val="clear" w:color="auto" w:fill="FFFFFF" w:themeFill="background1"/>
        </w:rPr>
        <w:t>22</w:t>
      </w:r>
      <w:r>
        <w:rPr>
          <w:rFonts w:hint="eastAsia" w:ascii="宋体" w:hAnsi="宋体" w:cs="宋体"/>
          <w:color w:val="auto"/>
          <w:szCs w:val="21"/>
          <w:highlight w:val="none"/>
          <w:shd w:val="clear" w:color="auto" w:fill="FFFFFF" w:themeFill="background1"/>
        </w:rPr>
        <w:t>.1</w:t>
      </w:r>
      <w:r>
        <w:rPr>
          <w:rFonts w:hint="eastAsia" w:ascii="宋体" w:hAnsi="宋体"/>
          <w:bCs/>
          <w:color w:val="auto"/>
          <w:szCs w:val="21"/>
          <w:highlight w:val="none"/>
          <w:shd w:val="clear" w:color="auto" w:fill="FFFFFF" w:themeFill="background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shd w:val="clear" w:color="auto" w:fill="FFFFFF" w:themeFill="background1"/>
        </w:rPr>
        <w:t>“广西政府采购云平台”</w:t>
      </w:r>
      <w:r>
        <w:rPr>
          <w:rFonts w:hint="eastAsia" w:ascii="宋体" w:hAnsi="宋体"/>
          <w:bCs/>
          <w:color w:val="auto"/>
          <w:szCs w:val="21"/>
          <w:highlight w:val="none"/>
          <w:shd w:val="clear" w:color="auto" w:fill="FFFFFF" w:themeFill="background1"/>
        </w:rPr>
        <w:t>将予以拒收。</w:t>
      </w:r>
      <w:r>
        <w:rPr>
          <w:rFonts w:hint="eastAsia" w:ascii="宋体" w:hAnsi="宋体" w:cs="宋体"/>
          <w:color w:val="auto"/>
          <w:szCs w:val="21"/>
          <w:highlight w:val="none"/>
          <w:shd w:val="clear" w:color="auto" w:fill="FFFFFF" w:themeFill="background1"/>
        </w:rPr>
        <w:t>（补充、修改或者撤回方式可</w:t>
      </w:r>
      <w:r>
        <w:rPr>
          <w:rFonts w:hint="eastAsia" w:ascii="宋体" w:hAnsi="宋体"/>
          <w:color w:val="auto"/>
          <w:szCs w:val="21"/>
          <w:highlight w:val="none"/>
          <w:shd w:val="clear" w:color="auto" w:fill="FFFFFF" w:themeFill="background1"/>
        </w:rPr>
        <w:t>登录“广西政府采购云平台”</w:t>
      </w:r>
      <w:r>
        <w:rPr>
          <w:rFonts w:hint="eastAsia" w:ascii="宋体" w:hAnsi="宋体" w:cs="宋体"/>
          <w:color w:val="auto"/>
          <w:kern w:val="0"/>
          <w:szCs w:val="21"/>
          <w:highlight w:val="none"/>
          <w:shd w:val="clear" w:color="auto" w:fill="FFFFFF" w:themeFill="background1"/>
        </w:rPr>
        <w:t>，</w:t>
      </w:r>
      <w:r>
        <w:rPr>
          <w:rFonts w:hint="eastAsia" w:ascii="宋体" w:hAnsi="宋体"/>
          <w:color w:val="auto"/>
          <w:szCs w:val="21"/>
          <w:highlight w:val="none"/>
          <w:shd w:val="clear" w:color="auto" w:fill="FFFFFF" w:themeFill="background1"/>
        </w:rPr>
        <w:t>依次进入“服务中心”中查看</w:t>
      </w:r>
      <w:r>
        <w:rPr>
          <w:rFonts w:hint="eastAsia" w:ascii="宋体" w:hAnsi="宋体" w:cs="宋体"/>
          <w:color w:val="auto"/>
          <w:szCs w:val="21"/>
          <w:highlight w:val="none"/>
          <w:shd w:val="clear" w:color="auto" w:fill="FFFFFF" w:themeFill="background1"/>
        </w:rPr>
        <w:t xml:space="preserve"> “电子投标文件制作与投送教程”）</w:t>
      </w:r>
    </w:p>
    <w:bookmarkEnd w:id="108"/>
    <w:bookmarkEnd w:id="109"/>
    <w:p w14:paraId="60971436">
      <w:pPr>
        <w:pStyle w:val="81"/>
        <w:spacing w:before="0"/>
        <w:ind w:firstLine="420"/>
        <w:rPr>
          <w:rFonts w:ascii="宋体" w:hAnsi="宋体" w:cs="宋体"/>
          <w:color w:val="auto"/>
          <w:sz w:val="21"/>
          <w:szCs w:val="21"/>
          <w:highlight w:val="none"/>
          <w:shd w:val="clear" w:color="auto" w:fill="FFFFFF" w:themeFill="background1"/>
        </w:rPr>
      </w:pPr>
      <w:r>
        <w:rPr>
          <w:rFonts w:ascii="宋体" w:hAnsi="宋体" w:cs="宋体"/>
          <w:color w:val="auto"/>
          <w:sz w:val="21"/>
          <w:szCs w:val="21"/>
          <w:highlight w:val="none"/>
          <w:shd w:val="clear" w:color="auto" w:fill="FFFFFF" w:themeFill="background1"/>
        </w:rPr>
        <w:t>22.</w:t>
      </w:r>
      <w:r>
        <w:rPr>
          <w:rFonts w:hint="eastAsia" w:ascii="宋体" w:hAnsi="宋体" w:cs="宋体"/>
          <w:color w:val="auto"/>
          <w:sz w:val="21"/>
          <w:szCs w:val="21"/>
          <w:highlight w:val="none"/>
          <w:shd w:val="clear" w:color="auto" w:fill="FFFFFF" w:themeFill="background1"/>
        </w:rPr>
        <w:t>2“广西政府采购云平台”收到投标文件后向供应商发出确认回执通知。在投标截止时间前，除供应商补充、修改或者撤回投标文件外，任何单位和个人不得解密或提取投标文件。</w:t>
      </w:r>
    </w:p>
    <w:p w14:paraId="33C218FC">
      <w:pPr>
        <w:spacing w:line="360" w:lineRule="auto"/>
        <w:ind w:firstLine="420" w:firstLineChars="2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22.</w:t>
      </w:r>
      <w:r>
        <w:rPr>
          <w:rFonts w:ascii="宋体" w:hAnsi="宋体" w:cs="宋体"/>
          <w:color w:val="auto"/>
          <w:szCs w:val="21"/>
          <w:highlight w:val="none"/>
          <w:shd w:val="clear" w:color="auto" w:fill="FFFFFF" w:themeFill="background1"/>
        </w:rPr>
        <w:t>3</w:t>
      </w:r>
      <w:r>
        <w:rPr>
          <w:rFonts w:hint="eastAsia" w:ascii="宋体" w:hAnsi="宋体" w:cs="宋体"/>
          <w:color w:val="auto"/>
          <w:szCs w:val="21"/>
          <w:highlight w:val="none"/>
          <w:shd w:val="clear" w:color="auto" w:fill="FFFFFF" w:themeFill="background1"/>
        </w:rPr>
        <w:t>在投标截止时间后，采购人和采购代理机构对已提交的投标文件概不退回。</w:t>
      </w:r>
    </w:p>
    <w:p w14:paraId="5080F03C">
      <w:pPr>
        <w:pStyle w:val="5"/>
        <w:keepNext w:val="0"/>
        <w:keepLines w:val="0"/>
        <w:ind w:firstLine="643"/>
        <w:jc w:val="center"/>
        <w:rPr>
          <w:color w:val="auto"/>
          <w:highlight w:val="none"/>
          <w:shd w:val="clear" w:color="auto" w:fill="FFFFFF" w:themeFill="background1"/>
        </w:rPr>
      </w:pPr>
      <w:bookmarkStart w:id="110" w:name="_Toc254970544"/>
      <w:bookmarkStart w:id="111" w:name="_Toc254970685"/>
      <w:r>
        <w:rPr>
          <w:rFonts w:hint="eastAsia"/>
          <w:color w:val="auto"/>
          <w:highlight w:val="none"/>
          <w:shd w:val="clear" w:color="auto" w:fill="FFFFFF" w:themeFill="background1"/>
        </w:rPr>
        <w:t>四、开标</w:t>
      </w:r>
      <w:bookmarkEnd w:id="110"/>
      <w:bookmarkEnd w:id="111"/>
    </w:p>
    <w:p w14:paraId="7A8381AC">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112" w:name="_23.开标时间和地点"/>
      <w:bookmarkEnd w:id="112"/>
      <w:r>
        <w:rPr>
          <w:rFonts w:hint="eastAsia" w:ascii="黑体" w:hAnsi="黑体" w:eastAsia="黑体"/>
          <w:color w:val="auto"/>
          <w:sz w:val="24"/>
          <w:highlight w:val="none"/>
          <w:shd w:val="clear" w:color="auto" w:fill="FFFFFF" w:themeFill="background1"/>
        </w:rPr>
        <w:t>23.开标时间和地点</w:t>
      </w:r>
    </w:p>
    <w:p w14:paraId="1F425A89">
      <w:pPr>
        <w:spacing w:line="360" w:lineRule="auto"/>
        <w:ind w:firstLine="420" w:firstLineChars="200"/>
        <w:rPr>
          <w:rFonts w:hAnsi="宋体"/>
          <w:bCs/>
          <w:color w:val="auto"/>
          <w:highlight w:val="none"/>
          <w:shd w:val="clear" w:color="auto" w:fill="FFFFFF" w:themeFill="background1"/>
        </w:rPr>
      </w:pPr>
      <w:r>
        <w:rPr>
          <w:rFonts w:hint="eastAsia" w:hAnsi="宋体"/>
          <w:bCs/>
          <w:color w:val="auto"/>
          <w:highlight w:val="none"/>
          <w:shd w:val="clear" w:color="auto" w:fill="FFFFFF" w:themeFill="background1"/>
        </w:rPr>
        <w:t>开标时间及地点详见“投标人须知前附表”</w:t>
      </w:r>
    </w:p>
    <w:p w14:paraId="74193420">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24.开标程序</w:t>
      </w:r>
    </w:p>
    <w:p w14:paraId="1E802EBD">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2</w:t>
      </w:r>
      <w:r>
        <w:rPr>
          <w:color w:val="auto"/>
          <w:highlight w:val="none"/>
          <w:shd w:val="clear" w:color="auto" w:fill="FFFFFF" w:themeFill="background1"/>
        </w:rPr>
        <w:t>4.1</w:t>
      </w:r>
      <w:r>
        <w:rPr>
          <w:rFonts w:hint="eastAsia"/>
          <w:color w:val="auto"/>
          <w:highlight w:val="none"/>
          <w:shd w:val="clear" w:color="auto" w:fill="FFFFFF" w:themeFill="background1"/>
        </w:rPr>
        <w:t>提交投标文件截止时间止，投标人不足3家的，不得开标。</w:t>
      </w:r>
    </w:p>
    <w:p w14:paraId="10327C60">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24.</w:t>
      </w:r>
      <w:r>
        <w:rPr>
          <w:color w:val="auto"/>
          <w:highlight w:val="none"/>
          <w:shd w:val="clear" w:color="auto" w:fill="FFFFFF" w:themeFill="background1"/>
        </w:rPr>
        <w:t>2</w:t>
      </w:r>
      <w:r>
        <w:rPr>
          <w:rFonts w:hint="eastAsia"/>
          <w:color w:val="auto"/>
          <w:highlight w:val="none"/>
          <w:shd w:val="clear" w:color="auto" w:fill="FFFFFF" w:themeFill="background1"/>
        </w:rPr>
        <w:t>采购代理机构将按照招标文件规定的时间通过</w:t>
      </w:r>
      <w:r>
        <w:rPr>
          <w:rFonts w:hint="eastAsia" w:ascii="宋体" w:hAnsi="宋体"/>
          <w:color w:val="auto"/>
          <w:szCs w:val="21"/>
          <w:highlight w:val="none"/>
          <w:shd w:val="clear" w:color="auto" w:fill="FFFFFF" w:themeFill="background1"/>
        </w:rPr>
        <w:t>“广西政府采购云平台”</w:t>
      </w:r>
      <w:r>
        <w:rPr>
          <w:rFonts w:hint="eastAsia"/>
          <w:color w:val="auto"/>
          <w:highlight w:val="none"/>
          <w:shd w:val="clear" w:color="auto" w:fill="FFFFFF" w:themeFill="background1"/>
        </w:rPr>
        <w:t>组织线上开标活动，所有供应商均应当准时在线参加，投标人因未在线参加开标而导致投标文件无法按时解密等一切后果由投标人自己承担。</w:t>
      </w:r>
    </w:p>
    <w:p w14:paraId="7C722895">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24.</w:t>
      </w:r>
      <w:r>
        <w:rPr>
          <w:color w:val="auto"/>
          <w:highlight w:val="none"/>
          <w:shd w:val="clear" w:color="auto" w:fill="FFFFFF" w:themeFill="background1"/>
        </w:rPr>
        <w:t>3</w:t>
      </w:r>
      <w:r>
        <w:rPr>
          <w:rFonts w:hint="eastAsia"/>
          <w:color w:val="auto"/>
          <w:highlight w:val="none"/>
          <w:shd w:val="clear" w:color="auto" w:fill="FFFFFF" w:themeFill="background1"/>
        </w:rPr>
        <w:t>开标程序</w:t>
      </w:r>
    </w:p>
    <w:p w14:paraId="3D1DB3BF">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（1）解密电子投标文件。</w:t>
      </w:r>
      <w:r>
        <w:rPr>
          <w:rFonts w:hint="eastAsia" w:ascii="宋体" w:hAnsi="宋体"/>
          <w:color w:val="auto"/>
          <w:szCs w:val="21"/>
          <w:highlight w:val="none"/>
          <w:shd w:val="clear" w:color="auto" w:fill="FFFFFF" w:themeFill="background1"/>
        </w:rPr>
        <w:t>“广西政府采购云平台”</w:t>
      </w:r>
      <w:r>
        <w:rPr>
          <w:rFonts w:hint="eastAsia"/>
          <w:color w:val="auto"/>
          <w:highlight w:val="none"/>
          <w:shd w:val="clear" w:color="auto" w:fill="FFFFFF" w:themeFill="background1"/>
        </w:rPr>
        <w:t>按开标时间自动提取所有投标文件。采购代理机构依托</w:t>
      </w:r>
      <w:r>
        <w:rPr>
          <w:rFonts w:hint="eastAsia" w:ascii="宋体" w:hAnsi="宋体"/>
          <w:color w:val="auto"/>
          <w:szCs w:val="21"/>
          <w:highlight w:val="none"/>
          <w:shd w:val="clear" w:color="auto" w:fill="FFFFFF" w:themeFill="background1"/>
        </w:rPr>
        <w:t>“广西政府采购云平台”</w:t>
      </w:r>
      <w:r>
        <w:rPr>
          <w:rFonts w:hint="eastAsia"/>
          <w:color w:val="auto"/>
          <w:highlight w:val="none"/>
          <w:shd w:val="clear" w:color="auto" w:fill="FFFFFF" w:themeFill="background1"/>
        </w:rPr>
        <w:t>向各投标人发出电子加密投标文件【开始解密】通知，由投标人按</w:t>
      </w:r>
      <w:r>
        <w:rPr>
          <w:rFonts w:hint="eastAsia" w:hAnsi="宋体"/>
          <w:bCs/>
          <w:color w:val="auto"/>
          <w:szCs w:val="21"/>
          <w:highlight w:val="none"/>
          <w:shd w:val="clear" w:color="auto" w:fill="FFFFFF" w:themeFill="background1"/>
        </w:rPr>
        <w:t>“投标人须知前附表”</w:t>
      </w:r>
      <w:r>
        <w:rPr>
          <w:rFonts w:hint="eastAsia"/>
          <w:color w:val="auto"/>
          <w:highlight w:val="none"/>
          <w:shd w:val="clear" w:color="auto" w:fill="FFFFFF" w:themeFill="background1"/>
        </w:rPr>
        <w:t>规定的时间内自行进行投标文件解密。投标人的法定代表人或其委托代理人须凭加密时所用的CA锁准时登录到</w:t>
      </w:r>
      <w:r>
        <w:rPr>
          <w:rFonts w:hint="eastAsia" w:ascii="宋体" w:hAnsi="宋体"/>
          <w:color w:val="auto"/>
          <w:szCs w:val="21"/>
          <w:highlight w:val="none"/>
          <w:shd w:val="clear" w:color="auto" w:fill="FFFFFF" w:themeFill="background1"/>
        </w:rPr>
        <w:t>“广西政府采购云平台”</w:t>
      </w:r>
      <w:r>
        <w:rPr>
          <w:rFonts w:hint="eastAsia"/>
          <w:color w:val="auto"/>
          <w:highlight w:val="none"/>
          <w:shd w:val="clear" w:color="auto" w:fill="FFFFFF" w:themeFill="background1"/>
        </w:rPr>
        <w:t>电子开标大厅签到并对电子投标文件解密。</w:t>
      </w:r>
      <w:r>
        <w:rPr>
          <w:b/>
          <w:color w:val="auto"/>
          <w:highlight w:val="none"/>
          <w:shd w:val="clear" w:color="auto" w:fill="FFFFFF" w:themeFill="background1"/>
        </w:rPr>
        <w:t>投标人</w:t>
      </w:r>
      <w:r>
        <w:rPr>
          <w:rFonts w:hint="eastAsia"/>
          <w:b/>
          <w:color w:val="auto"/>
          <w:highlight w:val="none"/>
          <w:shd w:val="clear" w:color="auto" w:fill="FFFFFF" w:themeFill="background1"/>
        </w:rPr>
        <w:t>未在</w:t>
      </w:r>
      <w:r>
        <w:rPr>
          <w:b/>
          <w:color w:val="auto"/>
          <w:highlight w:val="none"/>
          <w:shd w:val="clear" w:color="auto" w:fill="FFFFFF" w:themeFill="background1"/>
        </w:rPr>
        <w:t>规定的时间内解密</w:t>
      </w:r>
      <w:r>
        <w:rPr>
          <w:rFonts w:hint="eastAsia"/>
          <w:b/>
          <w:color w:val="auto"/>
          <w:highlight w:val="none"/>
          <w:shd w:val="clear" w:color="auto" w:fill="FFFFFF" w:themeFill="background1"/>
        </w:rPr>
        <w:t>投标文件</w:t>
      </w:r>
      <w:r>
        <w:rPr>
          <w:b/>
          <w:color w:val="auto"/>
          <w:highlight w:val="none"/>
          <w:shd w:val="clear" w:color="auto" w:fill="FFFFFF" w:themeFill="background1"/>
        </w:rPr>
        <w:t>或</w:t>
      </w:r>
      <w:r>
        <w:rPr>
          <w:rFonts w:hint="eastAsia"/>
          <w:b/>
          <w:color w:val="auto"/>
          <w:highlight w:val="none"/>
          <w:shd w:val="clear" w:color="auto" w:fill="FFFFFF" w:themeFill="background1"/>
        </w:rPr>
        <w:t>者</w:t>
      </w:r>
      <w:r>
        <w:rPr>
          <w:b/>
          <w:color w:val="auto"/>
          <w:highlight w:val="none"/>
          <w:shd w:val="clear" w:color="auto" w:fill="FFFFFF" w:themeFill="background1"/>
        </w:rPr>
        <w:t>解密失败的</w:t>
      </w:r>
      <w:r>
        <w:rPr>
          <w:rFonts w:hint="eastAsia"/>
          <w:b/>
          <w:color w:val="auto"/>
          <w:highlight w:val="none"/>
          <w:shd w:val="clear" w:color="auto" w:fill="FFFFFF" w:themeFill="background1"/>
        </w:rPr>
        <w:t>，</w:t>
      </w:r>
      <w:r>
        <w:rPr>
          <w:rFonts w:hint="eastAsia" w:ascii="宋体" w:hAnsi="宋体"/>
          <w:b/>
          <w:color w:val="auto"/>
          <w:szCs w:val="21"/>
          <w:highlight w:val="none"/>
          <w:shd w:val="clear" w:color="auto" w:fill="FFFFFF" w:themeFill="background1"/>
        </w:rPr>
        <w:t>投标人的投标文件作无效处理</w:t>
      </w:r>
      <w:r>
        <w:rPr>
          <w:b/>
          <w:color w:val="auto"/>
          <w:highlight w:val="none"/>
          <w:shd w:val="clear" w:color="auto" w:fill="FFFFFF" w:themeFill="background1"/>
        </w:rPr>
        <w:t>。</w:t>
      </w:r>
    </w:p>
    <w:p w14:paraId="1D349E97">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（2）电子唱标。投标文件解密结束，宣布的内容均在</w:t>
      </w:r>
      <w:r>
        <w:rPr>
          <w:rFonts w:hint="eastAsia" w:ascii="宋体" w:hAnsi="宋体"/>
          <w:color w:val="auto"/>
          <w:szCs w:val="21"/>
          <w:highlight w:val="none"/>
          <w:shd w:val="clear" w:color="auto" w:fill="FFFFFF" w:themeFill="background1"/>
        </w:rPr>
        <w:t>“广西政府采购云平台”</w:t>
      </w:r>
      <w:r>
        <w:rPr>
          <w:rFonts w:hint="eastAsia"/>
          <w:color w:val="auto"/>
          <w:highlight w:val="none"/>
          <w:shd w:val="clear" w:color="auto" w:fill="FFFFFF" w:themeFill="background1"/>
        </w:rPr>
        <w:t>远程开标大厅展示，具体详见</w:t>
      </w:r>
      <w:r>
        <w:rPr>
          <w:rFonts w:hint="eastAsia" w:hAnsi="宋体"/>
          <w:bCs/>
          <w:color w:val="auto"/>
          <w:highlight w:val="none"/>
          <w:shd w:val="clear" w:color="auto" w:fill="FFFFFF" w:themeFill="background1"/>
        </w:rPr>
        <w:t>“投标人须知前附表”</w:t>
      </w:r>
      <w:r>
        <w:rPr>
          <w:rFonts w:hint="eastAsia"/>
          <w:color w:val="auto"/>
          <w:highlight w:val="none"/>
          <w:shd w:val="clear" w:color="auto" w:fill="FFFFFF" w:themeFill="background1"/>
        </w:rPr>
        <w:t>；</w:t>
      </w:r>
    </w:p>
    <w:p w14:paraId="08D92897">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2F7AD55A">
      <w:pPr>
        <w:pStyle w:val="8"/>
        <w:spacing w:line="360" w:lineRule="auto"/>
        <w:ind w:firstLine="422"/>
        <w:rPr>
          <w:color w:val="auto"/>
          <w:highlight w:val="none"/>
          <w:shd w:val="clear" w:color="auto" w:fill="FFFFFF" w:themeFill="background1"/>
        </w:rPr>
      </w:pPr>
      <w:r>
        <w:rPr>
          <w:rFonts w:hint="eastAsia"/>
          <w:color w:val="auto"/>
          <w:highlight w:val="none"/>
          <w:shd w:val="clear" w:color="auto" w:fill="FFFFFF" w:themeFill="background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E3D605A">
      <w:pPr>
        <w:pStyle w:val="8"/>
        <w:spacing w:line="360" w:lineRule="auto"/>
        <w:ind w:firstLine="422"/>
        <w:rPr>
          <w:color w:val="auto"/>
          <w:szCs w:val="21"/>
          <w:highlight w:val="none"/>
          <w:shd w:val="clear" w:color="auto" w:fill="FFFFFF" w:themeFill="background1"/>
        </w:rPr>
      </w:pPr>
      <w:r>
        <w:rPr>
          <w:rFonts w:hint="eastAsia"/>
          <w:color w:val="auto"/>
          <w:szCs w:val="21"/>
          <w:highlight w:val="none"/>
          <w:shd w:val="clear" w:color="auto" w:fill="FFFFFF" w:themeFill="background1"/>
        </w:rPr>
        <w:t>（5）开标结束。</w:t>
      </w:r>
    </w:p>
    <w:p w14:paraId="25437FA1">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color w:val="auto"/>
          <w:sz w:val="21"/>
          <w:highlight w:val="none"/>
          <w:shd w:val="clear" w:color="auto" w:fill="FFFFFF" w:themeFill="background1"/>
        </w:rPr>
        <w:t>特别说明：如遇</w:t>
      </w:r>
      <w:r>
        <w:rPr>
          <w:rFonts w:hint="eastAsia" w:ascii="Times New Roman" w:hAnsi="Times New Roman"/>
          <w:color w:val="auto"/>
          <w:kern w:val="2"/>
          <w:sz w:val="21"/>
          <w:szCs w:val="20"/>
          <w:highlight w:val="none"/>
          <w:shd w:val="clear" w:color="auto" w:fill="FFFFFF" w:themeFill="background1"/>
        </w:rPr>
        <w:t>“广西政府采购云平台”电</w:t>
      </w:r>
      <w:r>
        <w:rPr>
          <w:rFonts w:hint="eastAsia"/>
          <w:color w:val="auto"/>
          <w:sz w:val="21"/>
          <w:highlight w:val="none"/>
          <w:shd w:val="clear" w:color="auto" w:fill="FFFFFF" w:themeFill="background1"/>
        </w:rPr>
        <w:t>子化开标或评审程序调整的，按调整后执行。</w:t>
      </w:r>
    </w:p>
    <w:p w14:paraId="70922B89">
      <w:pPr>
        <w:pStyle w:val="31"/>
        <w:snapToGrid w:val="0"/>
        <w:spacing w:line="360" w:lineRule="auto"/>
        <w:ind w:left="689" w:leftChars="228" w:hanging="210" w:hangingChars="100"/>
        <w:rPr>
          <w:rFonts w:hAnsi="宋体"/>
          <w:color w:val="auto"/>
          <w:sz w:val="21"/>
          <w:highlight w:val="none"/>
          <w:shd w:val="clear" w:color="auto" w:fill="FFFFFF" w:themeFill="background1"/>
        </w:rPr>
      </w:pPr>
    </w:p>
    <w:p w14:paraId="3CEF7A0D">
      <w:pPr>
        <w:pStyle w:val="5"/>
        <w:keepNext w:val="0"/>
        <w:keepLines w:val="0"/>
        <w:ind w:firstLine="643"/>
        <w:jc w:val="center"/>
        <w:rPr>
          <w:color w:val="auto"/>
          <w:highlight w:val="none"/>
          <w:shd w:val="clear" w:color="auto" w:fill="FFFFFF" w:themeFill="background1"/>
        </w:rPr>
      </w:pPr>
      <w:r>
        <w:rPr>
          <w:rFonts w:hint="eastAsia"/>
          <w:color w:val="auto"/>
          <w:highlight w:val="none"/>
          <w:shd w:val="clear" w:color="auto" w:fill="FFFFFF" w:themeFill="background1"/>
        </w:rPr>
        <w:t>五、资格审查</w:t>
      </w:r>
    </w:p>
    <w:p w14:paraId="47396729">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25.资格审查</w:t>
      </w:r>
    </w:p>
    <w:p w14:paraId="6115128D">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25.1</w:t>
      </w:r>
      <w:r>
        <w:rPr>
          <w:rFonts w:ascii="宋体" w:hAnsi="宋体"/>
          <w:b w:val="0"/>
          <w:color w:val="auto"/>
          <w:sz w:val="21"/>
          <w:szCs w:val="21"/>
          <w:highlight w:val="none"/>
          <w:shd w:val="clear" w:color="auto" w:fill="FFFFFF" w:themeFill="background1"/>
        </w:rPr>
        <w:t>开标结束后，</w:t>
      </w:r>
      <w:r>
        <w:rPr>
          <w:rFonts w:hint="eastAsia" w:ascii="宋体" w:hAnsi="宋体"/>
          <w:b w:val="0"/>
          <w:color w:val="auto"/>
          <w:sz w:val="21"/>
          <w:szCs w:val="21"/>
          <w:highlight w:val="none"/>
          <w:shd w:val="clear" w:color="auto" w:fill="FFFFFF" w:themeFill="background1"/>
        </w:rPr>
        <w:t>采购人或者采购代理机构通过电子开评标系统依据招标文件对电子投标文件进行线上资格审查</w:t>
      </w:r>
      <w:r>
        <w:rPr>
          <w:rFonts w:ascii="宋体" w:hAnsi="宋体"/>
          <w:b w:val="0"/>
          <w:color w:val="auto"/>
          <w:sz w:val="21"/>
          <w:szCs w:val="21"/>
          <w:highlight w:val="none"/>
          <w:shd w:val="clear" w:color="auto" w:fill="FFFFFF" w:themeFill="background1"/>
        </w:rPr>
        <w:t>。</w:t>
      </w:r>
    </w:p>
    <w:p w14:paraId="1A10AEB7">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25.2资格审查标准为本招标文件中载明对投标人资格要求的条件。本项目资格审查采用合格制，凡符合招标文件规定的投标人资格要求的投标人均通过资格审查。</w:t>
      </w:r>
    </w:p>
    <w:p w14:paraId="2D6AD63A">
      <w:pPr>
        <w:pStyle w:val="7"/>
        <w:keepNext w:val="0"/>
        <w:keepLines w:val="0"/>
        <w:numPr>
          <w:ilvl w:val="0"/>
          <w:numId w:val="0"/>
        </w:numPr>
        <w:spacing w:before="0" w:after="0" w:line="360" w:lineRule="auto"/>
        <w:ind w:firstLine="422" w:firstLineChars="200"/>
        <w:rPr>
          <w:rFonts w:ascii="宋体" w:hAnsi="宋体"/>
          <w:color w:val="auto"/>
          <w:sz w:val="21"/>
          <w:szCs w:val="21"/>
          <w:highlight w:val="none"/>
          <w:shd w:val="clear" w:color="auto" w:fill="FFFFFF" w:themeFill="background1"/>
        </w:rPr>
      </w:pPr>
      <w:bookmarkStart w:id="113" w:name="_25.3_投标人有下列情形之一的，资格审查不通过而导致其投标无效："/>
      <w:bookmarkEnd w:id="113"/>
      <w:r>
        <w:rPr>
          <w:rFonts w:hint="eastAsia" w:ascii="宋体" w:hAnsi="宋体"/>
          <w:color w:val="auto"/>
          <w:sz w:val="21"/>
          <w:szCs w:val="21"/>
          <w:highlight w:val="none"/>
          <w:shd w:val="clear" w:color="auto" w:fill="FFFFFF" w:themeFill="background1"/>
        </w:rPr>
        <w:t>25.3 投标人有下列情形之一的，资格审查不通过，作无效投标处理：</w:t>
      </w:r>
    </w:p>
    <w:p w14:paraId="490B92F3">
      <w:pPr>
        <w:pStyle w:val="31"/>
        <w:snapToGrid w:val="0"/>
        <w:spacing w:line="360" w:lineRule="auto"/>
        <w:ind w:firstLine="422" w:firstLineChars="200"/>
        <w:rPr>
          <w:rFonts w:hAnsi="宋体"/>
          <w:b/>
          <w:color w:val="auto"/>
          <w:sz w:val="21"/>
          <w:highlight w:val="none"/>
          <w:shd w:val="clear" w:color="auto" w:fill="FFFFFF" w:themeFill="background1"/>
        </w:rPr>
      </w:pPr>
      <w:r>
        <w:rPr>
          <w:rFonts w:hint="eastAsia" w:hAnsi="宋体"/>
          <w:b/>
          <w:color w:val="auto"/>
          <w:sz w:val="21"/>
          <w:highlight w:val="none"/>
          <w:shd w:val="clear" w:color="auto" w:fill="FFFFFF" w:themeFill="background1"/>
        </w:rPr>
        <w:t>（1）不具备招标文件中规定的资格要求的；</w:t>
      </w:r>
    </w:p>
    <w:p w14:paraId="417A87D8">
      <w:pPr>
        <w:pStyle w:val="31"/>
        <w:snapToGrid w:val="0"/>
        <w:spacing w:line="360" w:lineRule="auto"/>
        <w:ind w:firstLine="422" w:firstLineChars="200"/>
        <w:rPr>
          <w:rFonts w:hAnsi="宋体"/>
          <w:b/>
          <w:color w:val="auto"/>
          <w:sz w:val="21"/>
          <w:highlight w:val="none"/>
          <w:shd w:val="clear" w:color="auto" w:fill="FFFFFF" w:themeFill="background1"/>
        </w:rPr>
      </w:pPr>
      <w:r>
        <w:rPr>
          <w:rFonts w:hint="eastAsia" w:hAnsi="宋体"/>
          <w:b/>
          <w:color w:val="auto"/>
          <w:sz w:val="21"/>
          <w:highlight w:val="none"/>
          <w:shd w:val="clear" w:color="auto" w:fill="FFFFFF" w:themeFill="background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int="eastAsia" w:hAnsi="宋体"/>
          <w:color w:val="auto"/>
          <w:highlight w:val="none"/>
          <w:shd w:val="clear" w:color="auto" w:fill="FFFFFF" w:themeFill="background1"/>
        </w:rPr>
        <w:t>“</w:t>
      </w:r>
      <w:r>
        <w:rPr>
          <w:rFonts w:hint="eastAsia" w:hAnsi="宋体"/>
          <w:b/>
          <w:color w:val="auto"/>
          <w:sz w:val="21"/>
          <w:highlight w:val="none"/>
          <w:shd w:val="clear" w:color="auto" w:fill="FFFFFF" w:themeFill="background1"/>
        </w:rPr>
        <w:t>广西政府采购云平台”已与“信用中国”网站、中国政府采购网实现数据对接，可直接在线查询）</w:t>
      </w:r>
    </w:p>
    <w:p w14:paraId="19E4BE27">
      <w:pPr>
        <w:pStyle w:val="31"/>
        <w:snapToGrid w:val="0"/>
        <w:spacing w:line="360" w:lineRule="auto"/>
        <w:ind w:firstLine="422" w:firstLineChars="200"/>
        <w:rPr>
          <w:rFonts w:hAnsi="宋体"/>
          <w:b/>
          <w:color w:val="auto"/>
          <w:sz w:val="21"/>
          <w:highlight w:val="none"/>
          <w:shd w:val="clear" w:color="auto" w:fill="FFFFFF" w:themeFill="background1"/>
        </w:rPr>
      </w:pPr>
      <w:r>
        <w:rPr>
          <w:rFonts w:hint="eastAsia" w:hAnsi="宋体"/>
          <w:b/>
          <w:color w:val="auto"/>
          <w:sz w:val="21"/>
          <w:highlight w:val="none"/>
          <w:shd w:val="clear" w:color="auto" w:fill="FFFFFF" w:themeFill="background1"/>
        </w:rPr>
        <w:t>（3）同一合同项下的不同投标人，单位负责人为同一人或者存在直接控股、管理关系的；为本项目提供过整体设计、规范编制或者项目管理、监理、检测等服务的供应商，再参加该采购项目的其他采购活动的；</w:t>
      </w:r>
    </w:p>
    <w:p w14:paraId="214D0403">
      <w:pPr>
        <w:pStyle w:val="31"/>
        <w:snapToGrid w:val="0"/>
        <w:spacing w:line="360" w:lineRule="auto"/>
        <w:ind w:firstLine="422" w:firstLineChars="200"/>
        <w:rPr>
          <w:rFonts w:hAnsi="宋体"/>
          <w:b/>
          <w:color w:val="auto"/>
          <w:sz w:val="21"/>
          <w:highlight w:val="none"/>
          <w:shd w:val="clear" w:color="auto" w:fill="FFFFFF" w:themeFill="background1"/>
        </w:rPr>
      </w:pPr>
      <w:r>
        <w:rPr>
          <w:rFonts w:hint="eastAsia" w:hAnsi="宋体"/>
          <w:b/>
          <w:color w:val="auto"/>
          <w:sz w:val="21"/>
          <w:highlight w:val="none"/>
          <w:shd w:val="clear" w:color="auto" w:fill="FFFFFF" w:themeFill="background1"/>
        </w:rPr>
        <w:t>（4）投标文件中的资格证明文件缺少任一项“投标人须知前附表”资格证明文件规定“必须提供”的文件资料的；</w:t>
      </w:r>
    </w:p>
    <w:p w14:paraId="5D4E853B">
      <w:pPr>
        <w:pStyle w:val="31"/>
        <w:snapToGrid w:val="0"/>
        <w:spacing w:line="360" w:lineRule="auto"/>
        <w:ind w:firstLine="422" w:firstLineChars="200"/>
        <w:rPr>
          <w:rFonts w:hAnsi="宋体"/>
          <w:b/>
          <w:color w:val="auto"/>
          <w:sz w:val="21"/>
          <w:highlight w:val="none"/>
          <w:shd w:val="clear" w:color="auto" w:fill="FFFFFF" w:themeFill="background1"/>
        </w:rPr>
      </w:pPr>
      <w:r>
        <w:rPr>
          <w:rFonts w:hint="eastAsia" w:hAnsi="宋体"/>
          <w:b/>
          <w:color w:val="auto"/>
          <w:sz w:val="21"/>
          <w:highlight w:val="none"/>
          <w:shd w:val="clear" w:color="auto" w:fill="FFFFFF" w:themeFill="background1"/>
        </w:rPr>
        <w:t>（5）投标文件中的资格证明文件出现任一项不符合“投标人须知前附表”资格证明文件规定“必须提供”的文件资料要求或者无效的。</w:t>
      </w:r>
    </w:p>
    <w:p w14:paraId="3519D8D2">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color w:val="auto"/>
          <w:sz w:val="21"/>
          <w:szCs w:val="21"/>
          <w:highlight w:val="none"/>
          <w:shd w:val="clear" w:color="auto" w:fill="FFFFFF" w:themeFill="background1"/>
        </w:rPr>
        <w:t>25.4</w:t>
      </w:r>
      <w:r>
        <w:rPr>
          <w:rFonts w:ascii="宋体" w:hAnsi="宋体"/>
          <w:color w:val="auto"/>
          <w:sz w:val="21"/>
          <w:szCs w:val="21"/>
          <w:highlight w:val="none"/>
          <w:shd w:val="clear" w:color="auto" w:fill="FFFFFF" w:themeFill="background1"/>
        </w:rPr>
        <w:t>合格投标人不足3家的，不得评标。</w:t>
      </w:r>
    </w:p>
    <w:p w14:paraId="5B4F93D4">
      <w:pPr>
        <w:pStyle w:val="31"/>
        <w:snapToGrid w:val="0"/>
        <w:spacing w:line="360" w:lineRule="auto"/>
        <w:ind w:left="689" w:leftChars="228" w:hanging="210" w:hangingChars="100"/>
        <w:rPr>
          <w:rFonts w:hAnsi="宋体"/>
          <w:color w:val="auto"/>
          <w:sz w:val="21"/>
          <w:highlight w:val="none"/>
          <w:shd w:val="clear" w:color="auto" w:fill="FFFFFF" w:themeFill="background1"/>
        </w:rPr>
      </w:pPr>
    </w:p>
    <w:p w14:paraId="044D1B2D">
      <w:pPr>
        <w:pStyle w:val="5"/>
        <w:keepNext w:val="0"/>
        <w:keepLines w:val="0"/>
        <w:ind w:firstLine="643"/>
        <w:jc w:val="center"/>
        <w:rPr>
          <w:color w:val="auto"/>
          <w:highlight w:val="none"/>
          <w:shd w:val="clear" w:color="auto" w:fill="FFFFFF" w:themeFill="background1"/>
        </w:rPr>
      </w:pPr>
      <w:r>
        <w:rPr>
          <w:rFonts w:hint="eastAsia"/>
          <w:color w:val="auto"/>
          <w:highlight w:val="none"/>
          <w:shd w:val="clear" w:color="auto" w:fill="FFFFFF" w:themeFill="background1"/>
        </w:rPr>
        <w:t>六、评标</w:t>
      </w:r>
    </w:p>
    <w:p w14:paraId="4094F2B3">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114" w:name="_26.组建评标委员会"/>
      <w:bookmarkEnd w:id="114"/>
      <w:r>
        <w:rPr>
          <w:rFonts w:hint="eastAsia" w:ascii="黑体" w:hAnsi="黑体" w:eastAsia="黑体"/>
          <w:color w:val="auto"/>
          <w:sz w:val="24"/>
          <w:highlight w:val="none"/>
          <w:shd w:val="clear" w:color="auto" w:fill="FFFFFF" w:themeFill="background1"/>
        </w:rPr>
        <w:t>26.组建评标委员会</w:t>
      </w:r>
    </w:p>
    <w:p w14:paraId="2795D4AD">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26.1评标委员会由评审专家组成，具体人数详见“投标人须知前附表”。</w:t>
      </w:r>
    </w:p>
    <w:p w14:paraId="0887EFF4">
      <w:pPr>
        <w:pStyle w:val="31"/>
        <w:snapToGrid w:val="0"/>
        <w:spacing w:line="360" w:lineRule="auto"/>
        <w:ind w:left="2" w:leftChars="1"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26.2参加过采购项目前期咨询论证的专家，不得参加该采购项目的评审活动。</w:t>
      </w:r>
    </w:p>
    <w:p w14:paraId="02DC26AA">
      <w:pPr>
        <w:pStyle w:val="31"/>
        <w:snapToGrid w:val="0"/>
        <w:spacing w:line="360" w:lineRule="auto"/>
        <w:ind w:left="2" w:leftChars="1"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26.3</w:t>
      </w:r>
      <w:r>
        <w:rPr>
          <w:rFonts w:hint="eastAsia" w:hAnsi="宋体"/>
          <w:bCs/>
          <w:color w:val="auto"/>
          <w:sz w:val="21"/>
          <w:highlight w:val="none"/>
          <w:shd w:val="clear" w:color="auto" w:fill="FFFFFF" w:themeFill="background1"/>
        </w:rPr>
        <w:t>采购代理机构应当基</w:t>
      </w:r>
      <w:r>
        <w:rPr>
          <w:rFonts w:hint="eastAsia" w:hAnsi="宋体"/>
          <w:color w:val="auto"/>
          <w:sz w:val="21"/>
          <w:highlight w:val="none"/>
          <w:shd w:val="clear" w:color="auto" w:fill="FFFFFF" w:themeFill="background1"/>
        </w:rPr>
        <w:t>于“广西政府采购云平台”抽</w:t>
      </w:r>
      <w:r>
        <w:rPr>
          <w:rFonts w:hint="eastAsia" w:hAnsi="宋体"/>
          <w:bCs/>
          <w:color w:val="auto"/>
          <w:sz w:val="21"/>
          <w:highlight w:val="none"/>
          <w:shd w:val="clear" w:color="auto" w:fill="FFFFFF" w:themeFill="background1"/>
        </w:rPr>
        <w:t>（选）取评审专家。</w:t>
      </w:r>
    </w:p>
    <w:p w14:paraId="3D8BC69E">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27.评标的依据</w:t>
      </w:r>
    </w:p>
    <w:p w14:paraId="7C57FB3D">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评标委员会以</w:t>
      </w:r>
      <w:r>
        <w:rPr>
          <w:rFonts w:hint="eastAsia" w:hAnsi="宋体" w:cs="宋体"/>
          <w:color w:val="auto"/>
          <w:sz w:val="21"/>
          <w:highlight w:val="none"/>
          <w:shd w:val="clear" w:color="auto" w:fill="FFFFFF" w:themeFill="background1"/>
        </w:rPr>
        <w:t>“第四章 评标方法和评标标准”</w:t>
      </w:r>
      <w:r>
        <w:rPr>
          <w:rFonts w:hint="eastAsia" w:hAnsi="宋体"/>
          <w:color w:val="auto"/>
          <w:sz w:val="21"/>
          <w:highlight w:val="none"/>
          <w:shd w:val="clear" w:color="auto" w:fill="FFFFFF" w:themeFill="background1"/>
        </w:rPr>
        <w:t>为依据对投标文件进行评审，</w:t>
      </w:r>
      <w:r>
        <w:rPr>
          <w:rFonts w:hAnsi="宋体"/>
          <w:color w:val="auto"/>
          <w:sz w:val="21"/>
          <w:highlight w:val="none"/>
          <w:shd w:val="clear" w:color="auto" w:fill="FFFFFF" w:themeFill="background1"/>
        </w:rPr>
        <w:t>没有规定的方法、评审因素和标准，不作为评标依据。</w:t>
      </w:r>
    </w:p>
    <w:p w14:paraId="691E0767">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28.评标原则</w:t>
      </w:r>
    </w:p>
    <w:p w14:paraId="50607AC5">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17D932F">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28.2</w:t>
      </w:r>
      <w:bookmarkStart w:id="115" w:name="_28.3评标方法。本项目将按须知前附表规定的评标办法进行评标，具体评标"/>
      <w:bookmarkEnd w:id="115"/>
      <w:r>
        <w:rPr>
          <w:rFonts w:hint="eastAsia" w:hAnsi="宋体"/>
          <w:color w:val="auto"/>
          <w:sz w:val="21"/>
          <w:highlight w:val="none"/>
          <w:shd w:val="clear" w:color="auto" w:fill="FFFFFF" w:themeFill="background1"/>
        </w:rPr>
        <w:t>评委表决。评标委员会成员对需要共同认定的事项存在争议的，应当按照少数服从多数的原则作出结论。</w:t>
      </w:r>
    </w:p>
    <w:p w14:paraId="4812C47B">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28.</w:t>
      </w:r>
      <w:r>
        <w:rPr>
          <w:rFonts w:hAnsi="宋体"/>
          <w:color w:val="auto"/>
          <w:sz w:val="21"/>
          <w:highlight w:val="none"/>
          <w:shd w:val="clear" w:color="auto" w:fill="FFFFFF" w:themeFill="background1"/>
        </w:rPr>
        <w:t>3</w:t>
      </w:r>
      <w:r>
        <w:rPr>
          <w:rFonts w:hint="eastAsia" w:hAnsi="宋体"/>
          <w:color w:val="auto"/>
          <w:sz w:val="21"/>
          <w:highlight w:val="none"/>
          <w:shd w:val="clear" w:color="auto" w:fill="FFFFFF" w:themeFill="background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847DEC2">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w:t>
      </w:r>
      <w:r>
        <w:rPr>
          <w:rFonts w:hAnsi="宋体"/>
          <w:color w:val="auto"/>
          <w:sz w:val="21"/>
          <w:highlight w:val="none"/>
          <w:shd w:val="clear" w:color="auto" w:fill="FFFFFF" w:themeFill="background1"/>
        </w:rPr>
        <w:t>8.4</w:t>
      </w:r>
      <w:r>
        <w:rPr>
          <w:rFonts w:hint="eastAsia" w:hAnsi="宋体"/>
          <w:color w:val="auto"/>
          <w:sz w:val="21"/>
          <w:highlight w:val="none"/>
          <w:shd w:val="clear" w:color="auto" w:fill="FFFFFF" w:themeFill="background1"/>
        </w:rPr>
        <w:t>评标过程的监控。本项目电子评标过程实行网上留痕、全程录音、录像监控，</w:t>
      </w:r>
      <w:r>
        <w:rPr>
          <w:rFonts w:hint="eastAsia" w:hAnsi="宋体"/>
          <w:b/>
          <w:color w:val="auto"/>
          <w:sz w:val="21"/>
          <w:highlight w:val="none"/>
          <w:shd w:val="clear" w:color="auto" w:fill="FFFFFF" w:themeFill="background1"/>
        </w:rPr>
        <w:t>投标人在评标过程中所进行的试图影响评标结果的不公正活动，可能导致其投标按无效处理。</w:t>
      </w:r>
    </w:p>
    <w:p w14:paraId="788755C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29.评标方法及中标候选人推荐</w:t>
      </w:r>
    </w:p>
    <w:p w14:paraId="413C62E7">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w:t>
      </w:r>
      <w:r>
        <w:rPr>
          <w:rFonts w:hAnsi="宋体"/>
          <w:color w:val="auto"/>
          <w:sz w:val="21"/>
          <w:highlight w:val="none"/>
          <w:shd w:val="clear" w:color="auto" w:fill="FFFFFF" w:themeFill="background1"/>
        </w:rPr>
        <w:t>9.1</w:t>
      </w:r>
      <w:r>
        <w:rPr>
          <w:rFonts w:hint="eastAsia" w:hAnsi="宋体"/>
          <w:color w:val="auto"/>
          <w:sz w:val="21"/>
          <w:highlight w:val="none"/>
          <w:shd w:val="clear" w:color="auto" w:fill="FFFFFF" w:themeFill="background1"/>
        </w:rPr>
        <w:t>本项目的评标方法详见“投标人须知前附表”。</w:t>
      </w:r>
    </w:p>
    <w:p w14:paraId="2FD6EF5A">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w:t>
      </w:r>
      <w:r>
        <w:rPr>
          <w:rFonts w:hAnsi="宋体"/>
          <w:color w:val="auto"/>
          <w:sz w:val="21"/>
          <w:highlight w:val="none"/>
          <w:shd w:val="clear" w:color="auto" w:fill="FFFFFF" w:themeFill="background1"/>
        </w:rPr>
        <w:t>9.2</w:t>
      </w:r>
      <w:r>
        <w:rPr>
          <w:rFonts w:hint="eastAsia" w:hAnsi="宋体" w:cs="宋体"/>
          <w:color w:val="auto"/>
          <w:sz w:val="21"/>
          <w:highlight w:val="none"/>
          <w:shd w:val="clear" w:color="auto" w:fill="FFFFFF" w:themeFill="background1"/>
        </w:rPr>
        <w:t>商务/技术要求</w:t>
      </w:r>
      <w:r>
        <w:rPr>
          <w:rFonts w:hint="eastAsia" w:hAnsi="宋体"/>
          <w:color w:val="auto"/>
          <w:sz w:val="21"/>
          <w:highlight w:val="none"/>
          <w:shd w:val="clear" w:color="auto" w:fill="FFFFFF" w:themeFill="background1"/>
        </w:rPr>
        <w:t>允许负偏离的条款数</w:t>
      </w:r>
      <w:r>
        <w:rPr>
          <w:rFonts w:hAnsi="宋体"/>
          <w:color w:val="auto"/>
          <w:sz w:val="21"/>
          <w:highlight w:val="none"/>
          <w:shd w:val="clear" w:color="auto" w:fill="FFFFFF" w:themeFill="background1"/>
        </w:rPr>
        <w:t>详见</w:t>
      </w:r>
      <w:r>
        <w:rPr>
          <w:rFonts w:hint="eastAsia" w:hAnsi="宋体"/>
          <w:color w:val="auto"/>
          <w:sz w:val="21"/>
          <w:highlight w:val="none"/>
          <w:shd w:val="clear" w:color="auto" w:fill="FFFFFF" w:themeFill="background1"/>
        </w:rPr>
        <w:t>“投标人须知前附表”。</w:t>
      </w:r>
    </w:p>
    <w:p w14:paraId="194056CD">
      <w:pPr>
        <w:pStyle w:val="31"/>
        <w:snapToGrid w:val="0"/>
        <w:spacing w:line="360" w:lineRule="auto"/>
        <w:ind w:firstLine="420" w:firstLineChars="200"/>
        <w:rPr>
          <w:rFonts w:hAnsi="宋体" w:cs="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w:t>
      </w:r>
      <w:r>
        <w:rPr>
          <w:rFonts w:hAnsi="宋体"/>
          <w:color w:val="auto"/>
          <w:sz w:val="21"/>
          <w:highlight w:val="none"/>
          <w:shd w:val="clear" w:color="auto" w:fill="FFFFFF" w:themeFill="background1"/>
        </w:rPr>
        <w:t>9.3中标候选人推荐数量详见</w:t>
      </w:r>
      <w:r>
        <w:rPr>
          <w:rFonts w:hint="eastAsia" w:hAnsi="宋体"/>
          <w:color w:val="auto"/>
          <w:sz w:val="21"/>
          <w:highlight w:val="none"/>
          <w:shd w:val="clear" w:color="auto" w:fill="FFFFFF" w:themeFill="background1"/>
        </w:rPr>
        <w:t>“投标人须知前附表”。</w:t>
      </w:r>
    </w:p>
    <w:p w14:paraId="5D6898E1">
      <w:pPr>
        <w:spacing w:line="360" w:lineRule="auto"/>
        <w:ind w:firstLine="420" w:firstLineChars="200"/>
        <w:rPr>
          <w:rFonts w:hAnsi="宋体"/>
          <w:color w:val="auto"/>
          <w:highlight w:val="none"/>
          <w:shd w:val="clear" w:color="auto" w:fill="FFFFFF" w:themeFill="background1"/>
        </w:rPr>
      </w:pPr>
      <w:r>
        <w:rPr>
          <w:rFonts w:ascii="宋体" w:hAnsi="宋体"/>
          <w:color w:val="auto"/>
          <w:kern w:val="0"/>
          <w:szCs w:val="21"/>
          <w:highlight w:val="none"/>
          <w:shd w:val="clear" w:color="auto" w:fill="FFFFFF" w:themeFill="background1"/>
        </w:rPr>
        <w:t>29.4</w:t>
      </w:r>
      <w:r>
        <w:rPr>
          <w:rFonts w:hint="eastAsia" w:hAnsi="宋体"/>
          <w:color w:val="auto"/>
          <w:szCs w:val="21"/>
          <w:highlight w:val="none"/>
          <w:shd w:val="clear" w:color="auto" w:fill="FFFFFF" w:themeFill="background1"/>
        </w:rPr>
        <w:t>电子交易活动的中止。采购过程中出现以下情形，导致</w:t>
      </w:r>
      <w:r>
        <w:rPr>
          <w:rFonts w:hint="eastAsia" w:hAnsi="宋体"/>
          <w:color w:val="auto"/>
          <w:highlight w:val="none"/>
          <w:shd w:val="clear" w:color="auto" w:fill="FFFFFF" w:themeFill="background1"/>
        </w:rPr>
        <w:t>电子交易平台无法正常运行，或者无法保证电子交易的公平、公正和安全时，采购代理机构可以中止电子交易活动：</w:t>
      </w:r>
    </w:p>
    <w:p w14:paraId="3A32C32B">
      <w:pPr>
        <w:spacing w:line="360" w:lineRule="auto"/>
        <w:ind w:firstLine="420" w:firstLineChars="200"/>
        <w:rPr>
          <w:rFonts w:hAnsi="宋体"/>
          <w:color w:val="auto"/>
          <w:highlight w:val="none"/>
          <w:shd w:val="clear" w:color="auto" w:fill="FFFFFF" w:themeFill="background1"/>
        </w:rPr>
      </w:pPr>
      <w:r>
        <w:rPr>
          <w:rFonts w:hint="eastAsia" w:hAnsi="宋体"/>
          <w:color w:val="auto"/>
          <w:highlight w:val="none"/>
          <w:shd w:val="clear" w:color="auto" w:fill="FFFFFF" w:themeFill="background1"/>
        </w:rPr>
        <w:t>（1）电子交易平台发生故障而无法登录访问的；</w:t>
      </w:r>
    </w:p>
    <w:p w14:paraId="6F5BDD88">
      <w:pPr>
        <w:spacing w:line="360" w:lineRule="auto"/>
        <w:ind w:firstLine="420" w:firstLineChars="200"/>
        <w:rPr>
          <w:rFonts w:hAnsi="宋体"/>
          <w:color w:val="auto"/>
          <w:highlight w:val="none"/>
          <w:shd w:val="clear" w:color="auto" w:fill="FFFFFF" w:themeFill="background1"/>
        </w:rPr>
      </w:pPr>
      <w:r>
        <w:rPr>
          <w:rFonts w:hint="eastAsia" w:hAnsi="宋体"/>
          <w:color w:val="auto"/>
          <w:highlight w:val="none"/>
          <w:shd w:val="clear" w:color="auto" w:fill="FFFFFF" w:themeFill="background1"/>
        </w:rPr>
        <w:t>（2）电子交易平台应用或数据库出现错误，不能进行正常操作的；</w:t>
      </w:r>
    </w:p>
    <w:p w14:paraId="538EFA5C">
      <w:pPr>
        <w:spacing w:line="360" w:lineRule="auto"/>
        <w:ind w:firstLine="420" w:firstLineChars="200"/>
        <w:rPr>
          <w:rFonts w:hAnsi="宋体"/>
          <w:color w:val="auto"/>
          <w:highlight w:val="none"/>
          <w:shd w:val="clear" w:color="auto" w:fill="FFFFFF" w:themeFill="background1"/>
        </w:rPr>
      </w:pPr>
      <w:r>
        <w:rPr>
          <w:rFonts w:hint="eastAsia" w:hAnsi="宋体"/>
          <w:color w:val="auto"/>
          <w:highlight w:val="none"/>
          <w:shd w:val="clear" w:color="auto" w:fill="FFFFFF" w:themeFill="background1"/>
        </w:rPr>
        <w:t>（3）电子交易平台发现严重安全漏洞，有潜在泄密危险的；</w:t>
      </w:r>
    </w:p>
    <w:p w14:paraId="4A855C57">
      <w:pPr>
        <w:spacing w:line="360" w:lineRule="auto"/>
        <w:ind w:firstLine="420" w:firstLineChars="200"/>
        <w:rPr>
          <w:rFonts w:hAnsi="宋体"/>
          <w:color w:val="auto"/>
          <w:highlight w:val="none"/>
          <w:shd w:val="clear" w:color="auto" w:fill="FFFFFF" w:themeFill="background1"/>
        </w:rPr>
      </w:pPr>
      <w:r>
        <w:rPr>
          <w:rFonts w:hint="eastAsia" w:hAnsi="宋体"/>
          <w:color w:val="auto"/>
          <w:highlight w:val="none"/>
          <w:shd w:val="clear" w:color="auto" w:fill="FFFFFF" w:themeFill="background1"/>
        </w:rPr>
        <w:t>（4）病毒发作导致不能进行正常操作的；</w:t>
      </w:r>
    </w:p>
    <w:p w14:paraId="4A0243B0">
      <w:pPr>
        <w:spacing w:line="360" w:lineRule="auto"/>
        <w:ind w:firstLine="420" w:firstLineChars="200"/>
        <w:rPr>
          <w:rFonts w:hAnsi="宋体"/>
          <w:color w:val="auto"/>
          <w:highlight w:val="none"/>
          <w:shd w:val="clear" w:color="auto" w:fill="FFFFFF" w:themeFill="background1"/>
        </w:rPr>
      </w:pPr>
      <w:r>
        <w:rPr>
          <w:rFonts w:hint="eastAsia" w:hAnsi="宋体"/>
          <w:color w:val="auto"/>
          <w:highlight w:val="none"/>
          <w:shd w:val="clear" w:color="auto" w:fill="FFFFFF" w:themeFill="background1"/>
        </w:rPr>
        <w:t>（5）其他无法保证电子交易的公平、公正和安全的情况。</w:t>
      </w:r>
    </w:p>
    <w:p w14:paraId="1D2787A4">
      <w:pPr>
        <w:spacing w:line="360" w:lineRule="auto"/>
        <w:ind w:firstLine="420" w:firstLineChars="200"/>
        <w:rPr>
          <w:rFonts w:hAnsi="宋体"/>
          <w:color w:val="auto"/>
          <w:highlight w:val="none"/>
          <w:shd w:val="clear" w:color="auto" w:fill="FFFFFF" w:themeFill="background1"/>
        </w:rPr>
      </w:pPr>
      <w:r>
        <w:rPr>
          <w:rFonts w:hint="eastAsia" w:hAnsi="宋体"/>
          <w:color w:val="auto"/>
          <w:highlight w:val="none"/>
          <w:shd w:val="clear" w:color="auto" w:fill="FFFFFF" w:themeFill="background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FD40211">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29.5出现下列情形之一的，应予废标：</w:t>
      </w:r>
    </w:p>
    <w:p w14:paraId="64F60167">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（1）符合专业条件的供应商或者对招标文件作实质响应的供应商不足三家的；</w:t>
      </w:r>
    </w:p>
    <w:p w14:paraId="61D77943">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（2）出现影响采购公正的违法、违规行为的；</w:t>
      </w:r>
    </w:p>
    <w:p w14:paraId="11231AE8">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（3）投标人的报价均超过了采购预算，采购人不能支付的；</w:t>
      </w:r>
    </w:p>
    <w:p w14:paraId="3BE70395">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（4）因重大变故，采购任务取消的。</w:t>
      </w:r>
    </w:p>
    <w:p w14:paraId="06BD8D7C">
      <w:pPr>
        <w:pStyle w:val="31"/>
        <w:snapToGrid w:val="0"/>
        <w:spacing w:line="360" w:lineRule="auto"/>
        <w:ind w:firstLine="630" w:firstLineChars="3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废标后，采购人应当将废标理由通知所有投标人。</w:t>
      </w:r>
    </w:p>
    <w:p w14:paraId="59F864A8">
      <w:pPr>
        <w:pStyle w:val="5"/>
        <w:keepNext w:val="0"/>
        <w:keepLines w:val="0"/>
        <w:ind w:firstLine="643"/>
        <w:jc w:val="center"/>
        <w:rPr>
          <w:color w:val="auto"/>
          <w:highlight w:val="none"/>
          <w:shd w:val="clear" w:color="auto" w:fill="FFFFFF" w:themeFill="background1"/>
        </w:rPr>
      </w:pPr>
      <w:bookmarkStart w:id="116" w:name="_Toc254970687"/>
      <w:bookmarkStart w:id="117" w:name="_Toc254970546"/>
      <w:r>
        <w:rPr>
          <w:rFonts w:hint="eastAsia"/>
          <w:color w:val="auto"/>
          <w:highlight w:val="none"/>
          <w:shd w:val="clear" w:color="auto" w:fill="FFFFFF" w:themeFill="background1"/>
        </w:rPr>
        <w:t>七、</w:t>
      </w:r>
      <w:bookmarkEnd w:id="116"/>
      <w:bookmarkEnd w:id="117"/>
      <w:r>
        <w:rPr>
          <w:rFonts w:hint="eastAsia"/>
          <w:color w:val="auto"/>
          <w:highlight w:val="none"/>
          <w:shd w:val="clear" w:color="auto" w:fill="FFFFFF" w:themeFill="background1"/>
        </w:rPr>
        <w:t>中标和合同</w:t>
      </w:r>
    </w:p>
    <w:p w14:paraId="0F6EA91B">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30确定中标人</w:t>
      </w:r>
    </w:p>
    <w:p w14:paraId="52C2056B">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ascii="宋体" w:hAnsi="宋体"/>
          <w:b w:val="0"/>
          <w:color w:val="auto"/>
          <w:sz w:val="21"/>
          <w:szCs w:val="21"/>
          <w:highlight w:val="none"/>
          <w:shd w:val="clear" w:color="auto" w:fill="FFFFFF" w:themeFill="background1"/>
        </w:rPr>
        <w:t>30.1</w:t>
      </w:r>
      <w:r>
        <w:rPr>
          <w:rFonts w:hint="eastAsia" w:ascii="宋体" w:hAnsi="宋体"/>
          <w:b w:val="0"/>
          <w:color w:val="auto"/>
          <w:sz w:val="21"/>
          <w:szCs w:val="21"/>
          <w:highlight w:val="none"/>
          <w:shd w:val="clear" w:color="auto" w:fill="FFFFFF" w:themeFill="background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4C33A93">
      <w:pPr>
        <w:snapToGrid w:val="0"/>
        <w:spacing w:line="360" w:lineRule="auto"/>
        <w:ind w:firstLine="420" w:firstLineChars="200"/>
        <w:rPr>
          <w:rFonts w:ascii="宋体" w:hAnsi="宋体" w:cs="Courier New"/>
          <w:color w:val="auto"/>
          <w:szCs w:val="21"/>
          <w:highlight w:val="none"/>
          <w:shd w:val="clear" w:color="auto" w:fill="FFFFFF" w:themeFill="background1"/>
        </w:rPr>
      </w:pPr>
      <w:r>
        <w:rPr>
          <w:rFonts w:ascii="宋体" w:hAnsi="宋体" w:cs="Courier New"/>
          <w:color w:val="auto"/>
          <w:szCs w:val="21"/>
          <w:highlight w:val="none"/>
          <w:shd w:val="clear" w:color="auto" w:fill="FFFFFF" w:themeFill="background1"/>
        </w:rPr>
        <w:t>30.2</w:t>
      </w:r>
      <w:r>
        <w:rPr>
          <w:rFonts w:hint="eastAsia" w:ascii="宋体" w:hAnsi="宋体" w:cs="Courier New"/>
          <w:color w:val="auto"/>
          <w:szCs w:val="21"/>
          <w:highlight w:val="none"/>
          <w:shd w:val="clear" w:color="auto" w:fill="FFFFFF" w:themeFill="background1"/>
        </w:rPr>
        <w:t>采购人在收到评标报告5个工作日内未按评标报告推荐的中标候选人顺序确定中标人，又不能说明合法理由的，视同按评标报告推荐的顺序确定排名第一的中标候选人为中标人。</w:t>
      </w:r>
    </w:p>
    <w:p w14:paraId="6B504AB4">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30.3出现下列情形之一的，应予废标：</w:t>
      </w:r>
    </w:p>
    <w:p w14:paraId="47E5AD20">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（1）符合专业条件的供应商或者对招标文件作实质响应的供应商不足三家的；</w:t>
      </w:r>
    </w:p>
    <w:p w14:paraId="4DAB623C">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（2）出现影响采购公正的违法、违规行为的；</w:t>
      </w:r>
    </w:p>
    <w:p w14:paraId="24910BC3">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（3）投标人的报价均超过了采购预算，采购人不能支付的；</w:t>
      </w:r>
    </w:p>
    <w:p w14:paraId="089862BE">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（4）因重大变故，采购任务取消的。</w:t>
      </w:r>
    </w:p>
    <w:p w14:paraId="0B686D54">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废标后，采购人应当将废标理由通知所有投标人。</w:t>
      </w:r>
    </w:p>
    <w:p w14:paraId="43792C99">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31. 结果公告</w:t>
      </w:r>
    </w:p>
    <w:p w14:paraId="6E5AD749">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3</w:t>
      </w:r>
      <w:r>
        <w:rPr>
          <w:rFonts w:ascii="宋体" w:hAnsi="宋体"/>
          <w:b w:val="0"/>
          <w:color w:val="auto"/>
          <w:sz w:val="21"/>
          <w:szCs w:val="21"/>
          <w:highlight w:val="none"/>
          <w:shd w:val="clear" w:color="auto" w:fill="FFFFFF" w:themeFill="background1"/>
        </w:rPr>
        <w:t>1.1</w:t>
      </w:r>
      <w:r>
        <w:rPr>
          <w:rFonts w:hint="eastAsia" w:ascii="宋体" w:hAnsi="宋体"/>
          <w:b w:val="0"/>
          <w:color w:val="auto"/>
          <w:sz w:val="21"/>
          <w:szCs w:val="21"/>
          <w:highlight w:val="none"/>
          <w:shd w:val="clear" w:color="auto" w:fill="FFFFFF" w:themeFill="background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2CD821D">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以上信息查询记录及相关证据与采购文件一并保存。</w:t>
      </w:r>
    </w:p>
    <w:p w14:paraId="0082BD06">
      <w:pPr>
        <w:pStyle w:val="7"/>
        <w:keepNext w:val="0"/>
        <w:keepLines w:val="0"/>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31.2中标供应商享受《政府采购促进中小企业发展管理办法》（财库〔2020〕46号）规定的中小企业扶持政策的，采购人、采购代理机构应当随中标结果公开中标供应商的《中小企业声明函》。</w:t>
      </w:r>
    </w:p>
    <w:p w14:paraId="36E9CAC8">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32.发出中标通知书</w:t>
      </w:r>
    </w:p>
    <w:p w14:paraId="283750C7">
      <w:pPr>
        <w:pStyle w:val="7"/>
        <w:keepNext w:val="0"/>
        <w:keepLines w:val="0"/>
        <w:spacing w:before="0" w:after="0" w:line="360" w:lineRule="auto"/>
        <w:ind w:firstLine="42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B51C45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33. 无义务解释未中标原因</w:t>
      </w:r>
    </w:p>
    <w:p w14:paraId="1CEC0347">
      <w:pPr>
        <w:pStyle w:val="7"/>
        <w:keepNext w:val="0"/>
        <w:keepLines w:val="0"/>
        <w:spacing w:before="0" w:after="0" w:line="360" w:lineRule="auto"/>
        <w:ind w:left="420" w:leftChars="200" w:firstLine="42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采购代理机构无义务向未中标的投标人解释未中标原因。</w:t>
      </w:r>
    </w:p>
    <w:p w14:paraId="57BC7DD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34.合同授予标准</w:t>
      </w:r>
    </w:p>
    <w:p w14:paraId="636C428D">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s="Courier New"/>
          <w:color w:val="auto"/>
          <w:szCs w:val="21"/>
          <w:highlight w:val="none"/>
          <w:shd w:val="clear" w:color="auto" w:fill="FFFFFF" w:themeFill="background1"/>
        </w:rPr>
        <w:t>合同将授予被确定实质上响应招标文件要求，具备履行合同能力的中标人。</w:t>
      </w:r>
    </w:p>
    <w:p w14:paraId="621D58AF">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35.履约保证金</w:t>
      </w:r>
    </w:p>
    <w:p w14:paraId="53AE6C7D">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bookmarkStart w:id="118" w:name="_39.1中标人须于签订合同前按本须知前附表规定的金额转账或电汇到指定账"/>
      <w:bookmarkEnd w:id="118"/>
      <w:r>
        <w:rPr>
          <w:rFonts w:hint="eastAsia" w:ascii="宋体" w:hAnsi="宋体"/>
          <w:b w:val="0"/>
          <w:color w:val="auto"/>
          <w:sz w:val="21"/>
          <w:szCs w:val="21"/>
          <w:highlight w:val="none"/>
          <w:shd w:val="clear" w:color="auto" w:fill="FFFFFF" w:themeFill="background1"/>
        </w:rPr>
        <w:t>3</w:t>
      </w:r>
      <w:r>
        <w:rPr>
          <w:rFonts w:ascii="宋体" w:hAnsi="宋体"/>
          <w:b w:val="0"/>
          <w:color w:val="auto"/>
          <w:sz w:val="21"/>
          <w:szCs w:val="21"/>
          <w:highlight w:val="none"/>
          <w:shd w:val="clear" w:color="auto" w:fill="FFFFFF" w:themeFill="background1"/>
        </w:rPr>
        <w:t>5</w:t>
      </w:r>
      <w:r>
        <w:rPr>
          <w:rFonts w:hint="eastAsia" w:ascii="宋体" w:hAnsi="宋体"/>
          <w:b w:val="0"/>
          <w:color w:val="auto"/>
          <w:sz w:val="21"/>
          <w:szCs w:val="21"/>
          <w:highlight w:val="none"/>
          <w:shd w:val="clear" w:color="auto" w:fill="FFFFFF" w:themeFill="background1"/>
        </w:rPr>
        <w:t>.1 履约保证金的金额、提交方式、退付的时间和条件详见 “投标人须知前附表”。中标人未按规定提交履约保证金的，视为拒绝与采购人签订合同。</w:t>
      </w:r>
    </w:p>
    <w:p w14:paraId="2E2B3243">
      <w:pPr>
        <w:pStyle w:val="7"/>
        <w:keepNext w:val="0"/>
        <w:keepLines w:val="0"/>
        <w:spacing w:before="0" w:after="0" w:line="360" w:lineRule="auto"/>
        <w:ind w:firstLine="315" w:firstLineChars="150"/>
        <w:rPr>
          <w:rFonts w:ascii="宋体" w:hAnsi="宋体"/>
          <w:color w:val="auto"/>
          <w:sz w:val="21"/>
          <w:szCs w:val="21"/>
          <w:highlight w:val="none"/>
          <w:shd w:val="clear" w:color="auto" w:fill="FFFFFF" w:themeFill="background1"/>
        </w:rPr>
      </w:pPr>
      <w:r>
        <w:rPr>
          <w:rFonts w:hint="eastAsia" w:ascii="宋体" w:hAnsi="宋体"/>
          <w:b w:val="0"/>
          <w:bCs/>
          <w:color w:val="auto"/>
          <w:sz w:val="21"/>
          <w:szCs w:val="21"/>
          <w:highlight w:val="none"/>
          <w:shd w:val="clear" w:color="auto" w:fill="FFFFFF" w:themeFill="background1"/>
        </w:rPr>
        <w:t>35.2在履约保证金退还日期前，若中标人的开户名称、开户银行、账号有变动的，请以书面形式通知履约保证金收取单位，否则由此产生的后果由中标人自行承担。</w:t>
      </w:r>
    </w:p>
    <w:p w14:paraId="49DB9C13">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36.签订合同</w:t>
      </w:r>
    </w:p>
    <w:p w14:paraId="4D564666">
      <w:pPr>
        <w:pStyle w:val="7"/>
        <w:keepNext w:val="0"/>
        <w:keepLines w:val="0"/>
        <w:spacing w:before="0" w:after="0" w:line="360" w:lineRule="auto"/>
        <w:ind w:firstLine="316" w:firstLineChars="150"/>
        <w:rPr>
          <w:rFonts w:ascii="宋体" w:hAnsi="宋体"/>
          <w:b w:val="0"/>
          <w:color w:val="auto"/>
          <w:sz w:val="21"/>
          <w:szCs w:val="21"/>
          <w:highlight w:val="none"/>
          <w:shd w:val="clear" w:color="auto" w:fill="FFFFFF" w:themeFill="background1"/>
        </w:rPr>
      </w:pPr>
      <w:bookmarkStart w:id="119" w:name="_40.1投标人接到中标通知书后，按须知前附表规定向采购人出示相关资格证"/>
      <w:bookmarkEnd w:id="119"/>
      <w:r>
        <w:rPr>
          <w:rFonts w:hint="eastAsia" w:ascii="宋体" w:hAnsi="宋体"/>
          <w:color w:val="auto"/>
          <w:sz w:val="21"/>
          <w:szCs w:val="21"/>
          <w:highlight w:val="none"/>
          <w:shd w:val="clear" w:color="auto" w:fill="FFFFFF" w:themeFill="background1"/>
        </w:rPr>
        <w:t xml:space="preserve"> 36.1签订电子采购合同：中标人领取电子中标通知书后，</w:t>
      </w:r>
      <w:r>
        <w:rPr>
          <w:rFonts w:hint="eastAsia" w:ascii="宋体" w:hAnsi="宋体"/>
          <w:color w:val="auto"/>
          <w:kern w:val="0"/>
          <w:sz w:val="21"/>
          <w:szCs w:val="21"/>
          <w:highlight w:val="none"/>
          <w:shd w:val="clear" w:color="auto" w:fill="FFFFFF" w:themeFill="background1"/>
        </w:rPr>
        <w:t>在</w:t>
      </w:r>
      <w:r>
        <w:rPr>
          <w:rFonts w:hint="eastAsia" w:ascii="宋体" w:hAnsi="宋体"/>
          <w:color w:val="auto"/>
          <w:kern w:val="0"/>
          <w:sz w:val="21"/>
          <w:szCs w:val="21"/>
          <w:highlight w:val="none"/>
          <w:shd w:val="clear" w:color="auto" w:fill="FFFFFF" w:themeFill="background1"/>
          <w:lang w:val="zh-CN"/>
        </w:rPr>
        <w:t>规定的日期、时间、地点，由法定代表人或其授权代表与采购人代表签订电子采购合同。</w:t>
      </w:r>
    </w:p>
    <w:p w14:paraId="6EABFB04">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 xml:space="preserve"> 线下签订纸质合同：投标人领取中标通知书后，按“投标人须知前附表”规定向采购人出示相关证明材料，经采购人核验合格后方可签订合同。</w:t>
      </w:r>
    </w:p>
    <w:p w14:paraId="50B7BE6E">
      <w:pPr>
        <w:pStyle w:val="7"/>
        <w:keepNext w:val="0"/>
        <w:keepLines w:val="0"/>
        <w:numPr>
          <w:ilvl w:val="0"/>
          <w:numId w:val="0"/>
        </w:numPr>
        <w:spacing w:before="0" w:after="0" w:line="360" w:lineRule="auto"/>
        <w:ind w:firstLine="420" w:firstLine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36.2签订合同时间：按中标通知书规定的时间与采购人签订合同。</w:t>
      </w:r>
    </w:p>
    <w:p w14:paraId="40096FCB">
      <w:pPr>
        <w:pStyle w:val="7"/>
        <w:keepNext w:val="0"/>
        <w:keepLines w:val="0"/>
        <w:spacing w:before="0" w:after="0" w:line="360" w:lineRule="auto"/>
        <w:ind w:firstLine="42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36.</w:t>
      </w:r>
      <w:r>
        <w:rPr>
          <w:rFonts w:ascii="宋体" w:hAnsi="宋体"/>
          <w:b w:val="0"/>
          <w:color w:val="auto"/>
          <w:sz w:val="21"/>
          <w:szCs w:val="21"/>
          <w:highlight w:val="none"/>
          <w:shd w:val="clear" w:color="auto" w:fill="FFFFFF" w:themeFill="background1"/>
        </w:rPr>
        <w:t>3</w:t>
      </w:r>
      <w:r>
        <w:rPr>
          <w:rFonts w:hint="eastAsia" w:ascii="宋体" w:hAnsi="宋体"/>
          <w:b w:val="0"/>
          <w:color w:val="auto"/>
          <w:sz w:val="21"/>
          <w:szCs w:val="21"/>
          <w:highlight w:val="none"/>
          <w:shd w:val="clear" w:color="auto" w:fill="FFFFFF" w:themeFill="background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B7DB1FF">
      <w:pP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294CD80">
      <w:pP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36.5采购人或中标供应商不得单方面向合同另一方提出任何招标文件没有约定的条件或不合理的要求，作为签订合同的条件；也不得协商另行订立背离招标文件和合同实质性内容的协议。</w:t>
      </w:r>
    </w:p>
    <w:p w14:paraId="4842F177">
      <w:pP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36.6</w:t>
      </w:r>
      <w:r>
        <w:rPr>
          <w:rFonts w:hint="eastAsia" w:ascii="宋体" w:hAnsi="宋体" w:cs="仿宋_GB2312"/>
          <w:color w:val="auto"/>
          <w:szCs w:val="21"/>
          <w:highlight w:val="none"/>
          <w:shd w:val="clear" w:color="auto" w:fill="FFFFFF" w:themeFill="background1"/>
        </w:rPr>
        <w:t>如签订合同并生效后，供应商无故拒绝或延期，除按照合同条款处理外，将承担相应的法律责任。</w:t>
      </w:r>
    </w:p>
    <w:p w14:paraId="33F6463F">
      <w:pPr>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36.7</w:t>
      </w:r>
      <w:r>
        <w:rPr>
          <w:rFonts w:hint="eastAsia" w:ascii="宋体" w:hAnsi="宋体" w:cs="宋体"/>
          <w:color w:val="auto"/>
          <w:szCs w:val="21"/>
          <w:highlight w:val="none"/>
          <w:shd w:val="clear" w:color="auto" w:fill="FFFFFF" w:themeFill="background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2F4E5977">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120" w:name="_41.政府采购合同公告"/>
      <w:bookmarkEnd w:id="120"/>
      <w:r>
        <w:rPr>
          <w:rFonts w:hint="eastAsia" w:ascii="黑体" w:hAnsi="黑体" w:eastAsia="黑体"/>
          <w:color w:val="auto"/>
          <w:sz w:val="24"/>
          <w:highlight w:val="none"/>
          <w:shd w:val="clear" w:color="auto" w:fill="FFFFFF" w:themeFill="background1"/>
        </w:rPr>
        <w:t>37.政府采购合同公告</w:t>
      </w:r>
    </w:p>
    <w:p w14:paraId="5EAC47AF">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采购人或者受托采购代理机构应当自政府采购合同签订之日起2个工作日内，将政府采购合同在省级以上人民政府财政部门指定的媒体上公告，</w:t>
      </w:r>
      <w:r>
        <w:rPr>
          <w:rFonts w:hAnsi="宋体"/>
          <w:color w:val="auto"/>
          <w:sz w:val="21"/>
          <w:highlight w:val="none"/>
          <w:shd w:val="clear" w:color="auto" w:fill="FFFFFF" w:themeFill="background1"/>
        </w:rPr>
        <w:t>但政府采购合同中涉及国家秘密、商业秘密的内容除外。</w:t>
      </w:r>
    </w:p>
    <w:p w14:paraId="09E63C66">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hint="eastAsia" w:ascii="黑体" w:hAnsi="黑体" w:eastAsia="黑体"/>
          <w:color w:val="auto"/>
          <w:sz w:val="24"/>
          <w:highlight w:val="none"/>
          <w:shd w:val="clear" w:color="auto" w:fill="FFFFFF" w:themeFill="background1"/>
        </w:rPr>
        <w:t>3</w:t>
      </w:r>
      <w:r>
        <w:rPr>
          <w:rFonts w:ascii="黑体" w:hAnsi="黑体" w:eastAsia="黑体"/>
          <w:color w:val="auto"/>
          <w:sz w:val="24"/>
          <w:highlight w:val="none"/>
          <w:shd w:val="clear" w:color="auto" w:fill="FFFFFF" w:themeFill="background1"/>
        </w:rPr>
        <w:t>8.</w:t>
      </w:r>
      <w:r>
        <w:rPr>
          <w:rFonts w:hint="eastAsia" w:ascii="黑体" w:hAnsi="黑体" w:eastAsia="黑体"/>
          <w:color w:val="auto"/>
          <w:sz w:val="24"/>
          <w:highlight w:val="none"/>
          <w:shd w:val="clear" w:color="auto" w:fill="FFFFFF" w:themeFill="background1"/>
        </w:rPr>
        <w:t xml:space="preserve"> 询问、质疑和投诉</w:t>
      </w:r>
    </w:p>
    <w:p w14:paraId="0A104A41">
      <w:pPr>
        <w:pStyle w:val="8"/>
        <w:spacing w:line="360" w:lineRule="auto"/>
        <w:ind w:left="0" w:leftChars="0" w:firstLine="420" w:firstLineChars="200"/>
        <w:rPr>
          <w:rFonts w:ascii="宋体" w:hAnsi="宋体"/>
          <w:color w:val="auto"/>
          <w:szCs w:val="21"/>
          <w:highlight w:val="none"/>
          <w:shd w:val="clear" w:color="auto" w:fill="FFFFFF" w:themeFill="background1"/>
        </w:rPr>
      </w:pPr>
      <w:r>
        <w:rPr>
          <w:rFonts w:ascii="宋体" w:hAnsi="宋体"/>
          <w:color w:val="auto"/>
          <w:szCs w:val="21"/>
          <w:highlight w:val="none"/>
          <w:shd w:val="clear" w:color="auto" w:fill="FFFFFF" w:themeFill="background1"/>
        </w:rPr>
        <w:t>38.1</w:t>
      </w:r>
      <w:r>
        <w:rPr>
          <w:rFonts w:hint="eastAsia" w:ascii="宋体" w:hAnsi="宋体"/>
          <w:color w:val="auto"/>
          <w:szCs w:val="21"/>
          <w:highlight w:val="none"/>
          <w:shd w:val="clear" w:color="auto" w:fill="FFFFFF" w:themeFill="background1"/>
        </w:rPr>
        <w:t>供应商对政府采购活动事项有疑问的，可以向采购人提出询问，采购人或者采购代理机构应当在3个工作日内对供应商依法提出的询问作出答复，但答复的内容不得涉及商业秘密。</w:t>
      </w:r>
    </w:p>
    <w:p w14:paraId="65AE2441">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r>
        <w:rPr>
          <w:rFonts w:ascii="宋体" w:hAnsi="宋体"/>
          <w:b w:val="0"/>
          <w:color w:val="auto"/>
          <w:sz w:val="21"/>
          <w:szCs w:val="21"/>
          <w:highlight w:val="none"/>
          <w:shd w:val="clear" w:color="auto" w:fill="FFFFFF" w:themeFill="background1"/>
        </w:rPr>
        <w:t>38</w:t>
      </w:r>
      <w:r>
        <w:rPr>
          <w:rFonts w:hint="eastAsia" w:ascii="宋体" w:hAnsi="宋体"/>
          <w:b w:val="0"/>
          <w:color w:val="auto"/>
          <w:sz w:val="21"/>
          <w:szCs w:val="21"/>
          <w:highlight w:val="none"/>
          <w:shd w:val="clear" w:color="auto" w:fill="FFFFFF" w:themeFill="background1"/>
        </w:rPr>
        <w:t>.</w:t>
      </w:r>
      <w:r>
        <w:rPr>
          <w:rFonts w:ascii="宋体" w:hAnsi="宋体"/>
          <w:b w:val="0"/>
          <w:color w:val="auto"/>
          <w:sz w:val="21"/>
          <w:szCs w:val="21"/>
          <w:highlight w:val="none"/>
          <w:shd w:val="clear" w:color="auto" w:fill="FFFFFF" w:themeFill="background1"/>
        </w:rPr>
        <w:t>2</w:t>
      </w:r>
      <w:r>
        <w:rPr>
          <w:rFonts w:hint="eastAsia" w:ascii="宋体" w:hAnsi="宋体"/>
          <w:b w:val="0"/>
          <w:color w:val="auto"/>
          <w:sz w:val="21"/>
          <w:szCs w:val="21"/>
          <w:highlight w:val="none"/>
          <w:shd w:val="clear" w:color="auto" w:fill="FFFFFF" w:themeFill="background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AC5D90B">
      <w:pPr>
        <w:pStyle w:val="31"/>
        <w:snapToGrid w:val="0"/>
        <w:spacing w:line="360" w:lineRule="auto"/>
        <w:ind w:firstLine="420" w:firstLineChars="200"/>
        <w:rPr>
          <w:rFonts w:hAnsi="宋体"/>
          <w:color w:val="auto"/>
          <w:sz w:val="21"/>
          <w:highlight w:val="none"/>
          <w:shd w:val="clear" w:color="auto" w:fill="FFFFFF" w:themeFill="background1"/>
        </w:rPr>
      </w:pPr>
      <w:r>
        <w:rPr>
          <w:rFonts w:hAnsi="宋体"/>
          <w:color w:val="auto"/>
          <w:sz w:val="21"/>
          <w:highlight w:val="none"/>
          <w:shd w:val="clear" w:color="auto" w:fill="FFFFFF" w:themeFill="background1"/>
        </w:rPr>
        <w:t>（</w:t>
      </w:r>
      <w:r>
        <w:rPr>
          <w:rFonts w:hint="eastAsia" w:hAnsi="宋体"/>
          <w:color w:val="auto"/>
          <w:sz w:val="21"/>
          <w:highlight w:val="none"/>
          <w:shd w:val="clear" w:color="auto" w:fill="FFFFFF" w:themeFill="background1"/>
        </w:rPr>
        <w:t>1</w:t>
      </w:r>
      <w:r>
        <w:rPr>
          <w:rFonts w:hAnsi="宋体"/>
          <w:color w:val="auto"/>
          <w:sz w:val="21"/>
          <w:highlight w:val="none"/>
          <w:shd w:val="clear" w:color="auto" w:fill="FFFFFF" w:themeFill="background1"/>
        </w:rPr>
        <w:t>）对可以质疑的</w:t>
      </w:r>
      <w:r>
        <w:rPr>
          <w:rFonts w:hint="eastAsia" w:hAnsi="宋体"/>
          <w:color w:val="auto"/>
          <w:sz w:val="21"/>
          <w:highlight w:val="none"/>
          <w:shd w:val="clear" w:color="auto" w:fill="FFFFFF" w:themeFill="background1"/>
        </w:rPr>
        <w:t>招标</w:t>
      </w:r>
      <w:r>
        <w:rPr>
          <w:rFonts w:hAnsi="宋体"/>
          <w:color w:val="auto"/>
          <w:sz w:val="21"/>
          <w:highlight w:val="none"/>
          <w:shd w:val="clear" w:color="auto" w:fill="FFFFFF" w:themeFill="background1"/>
        </w:rPr>
        <w:t>文件提出质疑的，为收到</w:t>
      </w:r>
      <w:r>
        <w:rPr>
          <w:rFonts w:hint="eastAsia" w:hAnsi="宋体"/>
          <w:color w:val="auto"/>
          <w:sz w:val="21"/>
          <w:highlight w:val="none"/>
          <w:shd w:val="clear" w:color="auto" w:fill="FFFFFF" w:themeFill="background1"/>
        </w:rPr>
        <w:t>招标</w:t>
      </w:r>
      <w:r>
        <w:rPr>
          <w:rFonts w:hAnsi="宋体"/>
          <w:color w:val="auto"/>
          <w:sz w:val="21"/>
          <w:highlight w:val="none"/>
          <w:shd w:val="clear" w:color="auto" w:fill="FFFFFF" w:themeFill="background1"/>
        </w:rPr>
        <w:t>文件之日</w:t>
      </w:r>
      <w:r>
        <w:rPr>
          <w:rFonts w:hint="eastAsia" w:hAnsi="宋体"/>
          <w:color w:val="auto"/>
          <w:sz w:val="21"/>
          <w:highlight w:val="none"/>
          <w:shd w:val="clear" w:color="auto" w:fill="FFFFFF" w:themeFill="background1"/>
        </w:rPr>
        <w:t>或者招标文件公告期限届满之日</w:t>
      </w:r>
      <w:r>
        <w:rPr>
          <w:rFonts w:hAnsi="宋体"/>
          <w:color w:val="auto"/>
          <w:sz w:val="21"/>
          <w:highlight w:val="none"/>
          <w:shd w:val="clear" w:color="auto" w:fill="FFFFFF" w:themeFill="background1"/>
        </w:rPr>
        <w:t>；</w:t>
      </w:r>
    </w:p>
    <w:p w14:paraId="44F57A00">
      <w:pPr>
        <w:pStyle w:val="31"/>
        <w:snapToGrid w:val="0"/>
        <w:spacing w:line="360" w:lineRule="auto"/>
        <w:ind w:firstLine="420" w:firstLineChars="200"/>
        <w:rPr>
          <w:rFonts w:hAnsi="宋体"/>
          <w:color w:val="auto"/>
          <w:sz w:val="21"/>
          <w:highlight w:val="none"/>
          <w:shd w:val="clear" w:color="auto" w:fill="FFFFFF" w:themeFill="background1"/>
        </w:rPr>
      </w:pPr>
      <w:r>
        <w:rPr>
          <w:rFonts w:hAnsi="宋体"/>
          <w:color w:val="auto"/>
          <w:sz w:val="21"/>
          <w:highlight w:val="none"/>
          <w:shd w:val="clear" w:color="auto" w:fill="FFFFFF" w:themeFill="background1"/>
        </w:rPr>
        <w:t>（</w:t>
      </w:r>
      <w:r>
        <w:rPr>
          <w:rFonts w:hint="eastAsia" w:hAnsi="宋体"/>
          <w:color w:val="auto"/>
          <w:sz w:val="21"/>
          <w:highlight w:val="none"/>
          <w:shd w:val="clear" w:color="auto" w:fill="FFFFFF" w:themeFill="background1"/>
        </w:rPr>
        <w:t>2</w:t>
      </w:r>
      <w:r>
        <w:rPr>
          <w:rFonts w:hAnsi="宋体"/>
          <w:color w:val="auto"/>
          <w:sz w:val="21"/>
          <w:highlight w:val="none"/>
          <w:shd w:val="clear" w:color="auto" w:fill="FFFFFF" w:themeFill="background1"/>
        </w:rPr>
        <w:t>）对</w:t>
      </w:r>
      <w:r>
        <w:rPr>
          <w:rFonts w:hint="eastAsia" w:hAnsi="宋体"/>
          <w:color w:val="auto"/>
          <w:sz w:val="21"/>
          <w:highlight w:val="none"/>
          <w:shd w:val="clear" w:color="auto" w:fill="FFFFFF" w:themeFill="background1"/>
        </w:rPr>
        <w:t>采购</w:t>
      </w:r>
      <w:r>
        <w:rPr>
          <w:rFonts w:hAnsi="宋体"/>
          <w:color w:val="auto"/>
          <w:sz w:val="21"/>
          <w:highlight w:val="none"/>
          <w:shd w:val="clear" w:color="auto" w:fill="FFFFFF" w:themeFill="background1"/>
        </w:rPr>
        <w:t>过程提出质疑的，为各采购程序环节结束之日；</w:t>
      </w:r>
    </w:p>
    <w:p w14:paraId="04BEBCCE">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color w:val="auto"/>
          <w:sz w:val="21"/>
          <w:highlight w:val="none"/>
          <w:shd w:val="clear" w:color="auto" w:fill="FFFFFF" w:themeFill="background1"/>
        </w:rPr>
        <w:t>（</w:t>
      </w:r>
      <w:r>
        <w:rPr>
          <w:rFonts w:hint="eastAsia" w:hAnsi="宋体"/>
          <w:color w:val="auto"/>
          <w:sz w:val="21"/>
          <w:highlight w:val="none"/>
          <w:shd w:val="clear" w:color="auto" w:fill="FFFFFF" w:themeFill="background1"/>
        </w:rPr>
        <w:t>3</w:t>
      </w:r>
      <w:r>
        <w:rPr>
          <w:rFonts w:hAnsi="宋体"/>
          <w:color w:val="auto"/>
          <w:sz w:val="21"/>
          <w:highlight w:val="none"/>
          <w:shd w:val="clear" w:color="auto" w:fill="FFFFFF" w:themeFill="background1"/>
        </w:rPr>
        <w:t>）对中标结果提出质疑的，为中标结果公告期限届满之日。</w:t>
      </w:r>
    </w:p>
    <w:p w14:paraId="44DA7172">
      <w:pPr>
        <w:pStyle w:val="7"/>
        <w:keepNext w:val="0"/>
        <w:keepLines w:val="0"/>
        <w:spacing w:before="0" w:after="0" w:line="360" w:lineRule="auto"/>
        <w:ind w:firstLine="315" w:firstLineChars="150"/>
        <w:rPr>
          <w:rFonts w:ascii="宋体" w:hAnsi="宋体"/>
          <w:b w:val="0"/>
          <w:color w:val="auto"/>
          <w:sz w:val="21"/>
          <w:szCs w:val="21"/>
          <w:highlight w:val="none"/>
          <w:shd w:val="clear" w:color="auto" w:fill="FFFFFF" w:themeFill="background1"/>
        </w:rPr>
      </w:pPr>
      <w:bookmarkStart w:id="121" w:name="_9.2质疑、投诉应当采用书面形式，质疑函、投诉书均应明确阐述招标文件、"/>
      <w:bookmarkEnd w:id="121"/>
      <w:r>
        <w:rPr>
          <w:rFonts w:ascii="宋体" w:hAnsi="宋体"/>
          <w:b w:val="0"/>
          <w:color w:val="auto"/>
          <w:sz w:val="21"/>
          <w:szCs w:val="21"/>
          <w:highlight w:val="none"/>
          <w:shd w:val="clear" w:color="auto" w:fill="FFFFFF" w:themeFill="background1"/>
        </w:rPr>
        <w:t>38</w:t>
      </w:r>
      <w:r>
        <w:rPr>
          <w:rFonts w:hint="eastAsia" w:ascii="宋体" w:hAnsi="宋体"/>
          <w:b w:val="0"/>
          <w:color w:val="auto"/>
          <w:sz w:val="21"/>
          <w:szCs w:val="21"/>
          <w:highlight w:val="none"/>
          <w:shd w:val="clear" w:color="auto" w:fill="FFFFFF" w:themeFill="background1"/>
        </w:rPr>
        <w:t>.</w:t>
      </w:r>
      <w:r>
        <w:rPr>
          <w:rFonts w:ascii="宋体" w:hAnsi="宋体"/>
          <w:b w:val="0"/>
          <w:color w:val="auto"/>
          <w:sz w:val="21"/>
          <w:szCs w:val="21"/>
          <w:highlight w:val="none"/>
          <w:shd w:val="clear" w:color="auto" w:fill="FFFFFF" w:themeFill="background1"/>
        </w:rPr>
        <w:t>3</w:t>
      </w:r>
      <w:r>
        <w:rPr>
          <w:rFonts w:hAnsi="宋体"/>
          <w:b w:val="0"/>
          <w:bCs/>
          <w:color w:val="auto"/>
          <w:sz w:val="21"/>
          <w:highlight w:val="none"/>
          <w:shd w:val="clear" w:color="auto" w:fill="FFFFFF" w:themeFill="background1"/>
        </w:rPr>
        <w:t>供应商提出质疑应当提交质疑函和必要的证明材料</w:t>
      </w:r>
      <w:r>
        <w:rPr>
          <w:rFonts w:hint="eastAsia" w:hAnsi="宋体"/>
          <w:b w:val="0"/>
          <w:bCs/>
          <w:color w:val="auto"/>
          <w:sz w:val="21"/>
          <w:highlight w:val="none"/>
          <w:shd w:val="clear" w:color="auto" w:fill="FFFFFF" w:themeFill="background1"/>
        </w:rPr>
        <w:t>，</w:t>
      </w:r>
      <w:r>
        <w:rPr>
          <w:rFonts w:hAnsi="宋体"/>
          <w:b w:val="0"/>
          <w:bCs/>
          <w:color w:val="auto"/>
          <w:sz w:val="21"/>
          <w:highlight w:val="none"/>
          <w:shd w:val="clear" w:color="auto" w:fill="FFFFFF" w:themeFill="background1"/>
        </w:rPr>
        <w:t>针对同一采购程序环节的质疑</w:t>
      </w:r>
      <w:r>
        <w:rPr>
          <w:rFonts w:hint="eastAsia" w:hAnsi="宋体"/>
          <w:b w:val="0"/>
          <w:bCs/>
          <w:color w:val="auto"/>
          <w:sz w:val="21"/>
          <w:highlight w:val="none"/>
          <w:shd w:val="clear" w:color="auto" w:fill="FFFFFF" w:themeFill="background1"/>
        </w:rPr>
        <w:t>必须</w:t>
      </w:r>
      <w:r>
        <w:rPr>
          <w:rFonts w:hAnsi="宋体"/>
          <w:b w:val="0"/>
          <w:bCs/>
          <w:color w:val="auto"/>
          <w:sz w:val="21"/>
          <w:highlight w:val="none"/>
          <w:shd w:val="clear" w:color="auto" w:fill="FFFFFF" w:themeFill="background1"/>
        </w:rPr>
        <w:t>在法定质疑期内一次性提出。质疑函应当包括下列内容</w:t>
      </w:r>
      <w:r>
        <w:rPr>
          <w:rFonts w:hint="eastAsia" w:hAnsi="宋体"/>
          <w:b w:val="0"/>
          <w:bCs/>
          <w:color w:val="auto"/>
          <w:sz w:val="21"/>
          <w:highlight w:val="none"/>
          <w:shd w:val="clear" w:color="auto" w:fill="FFFFFF" w:themeFill="background1"/>
        </w:rPr>
        <w:t>（质疑函格式后附）</w:t>
      </w:r>
      <w:r>
        <w:rPr>
          <w:rFonts w:hAnsi="宋体"/>
          <w:b w:val="0"/>
          <w:bCs/>
          <w:color w:val="auto"/>
          <w:sz w:val="21"/>
          <w:highlight w:val="none"/>
          <w:shd w:val="clear" w:color="auto" w:fill="FFFFFF" w:themeFill="background1"/>
        </w:rPr>
        <w:t>：</w:t>
      </w:r>
    </w:p>
    <w:p w14:paraId="0C8CD159">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w:t>
      </w:r>
      <w:r>
        <w:rPr>
          <w:rFonts w:hint="eastAsia" w:hAnsi="宋体"/>
          <w:bCs/>
          <w:color w:val="auto"/>
          <w:sz w:val="21"/>
          <w:highlight w:val="none"/>
          <w:shd w:val="clear" w:color="auto" w:fill="FFFFFF" w:themeFill="background1"/>
        </w:rPr>
        <w:t>1</w:t>
      </w:r>
      <w:r>
        <w:rPr>
          <w:rFonts w:hAnsi="宋体"/>
          <w:bCs/>
          <w:color w:val="auto"/>
          <w:sz w:val="21"/>
          <w:highlight w:val="none"/>
          <w:shd w:val="clear" w:color="auto" w:fill="FFFFFF" w:themeFill="background1"/>
        </w:rPr>
        <w:t>）供应商的姓名或者名称、地址、邮编、联系人及联系电话；</w:t>
      </w:r>
    </w:p>
    <w:p w14:paraId="78D856DA">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w:t>
      </w:r>
      <w:r>
        <w:rPr>
          <w:rFonts w:hint="eastAsia" w:hAnsi="宋体"/>
          <w:bCs/>
          <w:color w:val="auto"/>
          <w:sz w:val="21"/>
          <w:highlight w:val="none"/>
          <w:shd w:val="clear" w:color="auto" w:fill="FFFFFF" w:themeFill="background1"/>
        </w:rPr>
        <w:t>2</w:t>
      </w:r>
      <w:r>
        <w:rPr>
          <w:rFonts w:hAnsi="宋体"/>
          <w:bCs/>
          <w:color w:val="auto"/>
          <w:sz w:val="21"/>
          <w:highlight w:val="none"/>
          <w:shd w:val="clear" w:color="auto" w:fill="FFFFFF" w:themeFill="background1"/>
        </w:rPr>
        <w:t>）质疑项目的名称、编号；</w:t>
      </w:r>
    </w:p>
    <w:p w14:paraId="0617F952">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w:t>
      </w:r>
      <w:r>
        <w:rPr>
          <w:rFonts w:hint="eastAsia" w:hAnsi="宋体"/>
          <w:bCs/>
          <w:color w:val="auto"/>
          <w:sz w:val="21"/>
          <w:highlight w:val="none"/>
          <w:shd w:val="clear" w:color="auto" w:fill="FFFFFF" w:themeFill="background1"/>
        </w:rPr>
        <w:t>3</w:t>
      </w:r>
      <w:r>
        <w:rPr>
          <w:rFonts w:hAnsi="宋体"/>
          <w:bCs/>
          <w:color w:val="auto"/>
          <w:sz w:val="21"/>
          <w:highlight w:val="none"/>
          <w:shd w:val="clear" w:color="auto" w:fill="FFFFFF" w:themeFill="background1"/>
        </w:rPr>
        <w:t>）具体、明确的质疑事项和与质疑事项相关的请求；</w:t>
      </w:r>
    </w:p>
    <w:p w14:paraId="5CFB59EA">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w:t>
      </w:r>
      <w:r>
        <w:rPr>
          <w:rFonts w:hint="eastAsia" w:hAnsi="宋体"/>
          <w:bCs/>
          <w:color w:val="auto"/>
          <w:sz w:val="21"/>
          <w:highlight w:val="none"/>
          <w:shd w:val="clear" w:color="auto" w:fill="FFFFFF" w:themeFill="background1"/>
        </w:rPr>
        <w:t>4</w:t>
      </w:r>
      <w:r>
        <w:rPr>
          <w:rFonts w:hAnsi="宋体"/>
          <w:bCs/>
          <w:color w:val="auto"/>
          <w:sz w:val="21"/>
          <w:highlight w:val="none"/>
          <w:shd w:val="clear" w:color="auto" w:fill="FFFFFF" w:themeFill="background1"/>
        </w:rPr>
        <w:t>）事实依据；</w:t>
      </w:r>
    </w:p>
    <w:p w14:paraId="1A9B75DF">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w:t>
      </w:r>
      <w:r>
        <w:rPr>
          <w:rFonts w:hint="eastAsia" w:hAnsi="宋体"/>
          <w:bCs/>
          <w:color w:val="auto"/>
          <w:sz w:val="21"/>
          <w:highlight w:val="none"/>
          <w:shd w:val="clear" w:color="auto" w:fill="FFFFFF" w:themeFill="background1"/>
        </w:rPr>
        <w:t>5</w:t>
      </w:r>
      <w:r>
        <w:rPr>
          <w:rFonts w:hAnsi="宋体"/>
          <w:bCs/>
          <w:color w:val="auto"/>
          <w:sz w:val="21"/>
          <w:highlight w:val="none"/>
          <w:shd w:val="clear" w:color="auto" w:fill="FFFFFF" w:themeFill="background1"/>
        </w:rPr>
        <w:t>）必要的法律依据；</w:t>
      </w:r>
    </w:p>
    <w:p w14:paraId="4E130F3C">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w:t>
      </w:r>
      <w:r>
        <w:rPr>
          <w:rFonts w:hint="eastAsia" w:hAnsi="宋体"/>
          <w:bCs/>
          <w:color w:val="auto"/>
          <w:sz w:val="21"/>
          <w:highlight w:val="none"/>
          <w:shd w:val="clear" w:color="auto" w:fill="FFFFFF" w:themeFill="background1"/>
        </w:rPr>
        <w:t>6</w:t>
      </w:r>
      <w:r>
        <w:rPr>
          <w:rFonts w:hAnsi="宋体"/>
          <w:bCs/>
          <w:color w:val="auto"/>
          <w:sz w:val="21"/>
          <w:highlight w:val="none"/>
          <w:shd w:val="clear" w:color="auto" w:fill="FFFFFF" w:themeFill="background1"/>
        </w:rPr>
        <w:t>）提出质疑的日期。</w:t>
      </w:r>
    </w:p>
    <w:p w14:paraId="6766C7DF">
      <w:pPr>
        <w:pStyle w:val="31"/>
        <w:snapToGrid w:val="0"/>
        <w:spacing w:line="360" w:lineRule="auto"/>
        <w:ind w:firstLine="420" w:firstLineChars="200"/>
        <w:rPr>
          <w:rFonts w:hAnsi="宋体"/>
          <w:bCs/>
          <w:color w:val="auto"/>
          <w:sz w:val="21"/>
          <w:highlight w:val="none"/>
          <w:shd w:val="clear" w:color="auto" w:fill="FFFFFF" w:themeFill="background1"/>
        </w:rPr>
      </w:pPr>
      <w:r>
        <w:rPr>
          <w:rFonts w:hAnsi="宋体"/>
          <w:bCs/>
          <w:color w:val="auto"/>
          <w:sz w:val="21"/>
          <w:highlight w:val="none"/>
          <w:shd w:val="clear" w:color="auto" w:fill="FFFFFF" w:themeFill="background1"/>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shd w:val="clear" w:color="auto" w:fill="FFFFFF" w:themeFill="background1"/>
        </w:rPr>
        <w:t>。</w:t>
      </w:r>
    </w:p>
    <w:p w14:paraId="61C83BC1">
      <w:pPr>
        <w:pStyle w:val="7"/>
        <w:keepNext w:val="0"/>
        <w:keepLines w:val="0"/>
        <w:snapToGrid w:val="0"/>
        <w:spacing w:before="0" w:after="0" w:line="360" w:lineRule="auto"/>
        <w:ind w:firstLine="420" w:firstLineChars="200"/>
        <w:rPr>
          <w:rFonts w:ascii="宋体" w:hAnsi="宋体"/>
          <w:b w:val="0"/>
          <w:bCs/>
          <w:color w:val="auto"/>
          <w:sz w:val="21"/>
          <w:szCs w:val="21"/>
          <w:highlight w:val="none"/>
          <w:shd w:val="clear" w:color="auto" w:fill="FFFFFF" w:themeFill="background1"/>
        </w:rPr>
      </w:pPr>
      <w:r>
        <w:rPr>
          <w:rFonts w:ascii="宋体" w:hAnsi="宋体"/>
          <w:b w:val="0"/>
          <w:color w:val="auto"/>
          <w:sz w:val="21"/>
          <w:szCs w:val="21"/>
          <w:highlight w:val="none"/>
          <w:shd w:val="clear" w:color="auto" w:fill="FFFFFF" w:themeFill="background1"/>
        </w:rPr>
        <w:t>3</w:t>
      </w:r>
      <w:r>
        <w:rPr>
          <w:rFonts w:ascii="宋体" w:hAnsi="宋体"/>
          <w:b w:val="0"/>
          <w:bCs/>
          <w:color w:val="auto"/>
          <w:sz w:val="21"/>
          <w:szCs w:val="21"/>
          <w:highlight w:val="none"/>
          <w:shd w:val="clear" w:color="auto" w:fill="FFFFFF" w:themeFill="background1"/>
        </w:rPr>
        <w:t>8.4</w:t>
      </w:r>
      <w:r>
        <w:rPr>
          <w:rFonts w:hint="eastAsia" w:ascii="宋体" w:hAnsi="宋体"/>
          <w:b w:val="0"/>
          <w:bCs/>
          <w:color w:val="auto"/>
          <w:sz w:val="21"/>
          <w:szCs w:val="21"/>
          <w:highlight w:val="none"/>
          <w:shd w:val="clear" w:color="auto" w:fill="FFFFFF" w:themeFill="background1"/>
        </w:rPr>
        <w:t>采购人、采购代理机构认为供应商质疑不成立，或者成立但未对中标结果构成影响的，继续开展采购活动；认为供应商质疑成立且影响或者可能影响中标结果的，按照下列情况处理：</w:t>
      </w:r>
    </w:p>
    <w:p w14:paraId="44F6EC54">
      <w:pPr>
        <w:pStyle w:val="31"/>
        <w:snapToGrid w:val="0"/>
        <w:spacing w:line="360" w:lineRule="auto"/>
        <w:rPr>
          <w:rFonts w:hAnsi="宋体"/>
          <w:bCs/>
          <w:color w:val="auto"/>
          <w:sz w:val="21"/>
          <w:highlight w:val="none"/>
          <w:shd w:val="clear" w:color="auto" w:fill="FFFFFF" w:themeFill="background1"/>
        </w:rPr>
      </w:pPr>
      <w:r>
        <w:rPr>
          <w:rFonts w:hint="eastAsia" w:hAnsi="宋体"/>
          <w:bCs/>
          <w:color w:val="auto"/>
          <w:sz w:val="21"/>
          <w:highlight w:val="none"/>
          <w:shd w:val="clear" w:color="auto" w:fill="FFFFFF" w:themeFill="background1"/>
        </w:rPr>
        <w:t>　　（一）对招标文件提出的质疑，依法通过澄清或者修改可以继续开展采购活动的，澄清或者修改招标文件后继续开展采购活动；否则应当修改招标文件后重新开展采购活动。</w:t>
      </w:r>
    </w:p>
    <w:p w14:paraId="2D7214A5">
      <w:pPr>
        <w:pStyle w:val="31"/>
        <w:snapToGrid w:val="0"/>
        <w:spacing w:line="360" w:lineRule="auto"/>
        <w:rPr>
          <w:rFonts w:hAnsi="宋体"/>
          <w:bCs/>
          <w:color w:val="auto"/>
          <w:sz w:val="21"/>
          <w:highlight w:val="none"/>
          <w:shd w:val="clear" w:color="auto" w:fill="FFFFFF" w:themeFill="background1"/>
        </w:rPr>
      </w:pPr>
      <w:r>
        <w:rPr>
          <w:rFonts w:hint="eastAsia" w:hAnsi="宋体"/>
          <w:bCs/>
          <w:color w:val="auto"/>
          <w:sz w:val="21"/>
          <w:highlight w:val="none"/>
          <w:shd w:val="clear" w:color="auto" w:fill="FFFFFF" w:themeFill="background1"/>
        </w:rPr>
        <w:t>　　（二）对采购过程、中标结果提出的质疑，合格供应商符合法定数量时，可以从合格的中标候选人中另行确定中标供应商的，应当依法另行确定中标供应商；否则应当重新开展采购活动。</w:t>
      </w:r>
    </w:p>
    <w:p w14:paraId="76FB8DA8">
      <w:pPr>
        <w:pStyle w:val="31"/>
        <w:snapToGrid w:val="0"/>
        <w:spacing w:line="360" w:lineRule="auto"/>
        <w:ind w:firstLine="422"/>
        <w:rPr>
          <w:rFonts w:hAnsi="宋体"/>
          <w:bCs/>
          <w:color w:val="auto"/>
          <w:sz w:val="21"/>
          <w:highlight w:val="none"/>
          <w:shd w:val="clear" w:color="auto" w:fill="FFFFFF" w:themeFill="background1"/>
        </w:rPr>
      </w:pPr>
      <w:r>
        <w:rPr>
          <w:rFonts w:hint="eastAsia" w:hAnsi="宋体"/>
          <w:bCs/>
          <w:color w:val="auto"/>
          <w:sz w:val="21"/>
          <w:highlight w:val="none"/>
          <w:shd w:val="clear" w:color="auto" w:fill="FFFFFF" w:themeFill="background1"/>
        </w:rPr>
        <w:t>质疑答复导致中标结果改变的，采购人或者采购代理机构应当将有关情况书面报告本级财政部门。</w:t>
      </w:r>
    </w:p>
    <w:p w14:paraId="65EE41E4">
      <w:pPr>
        <w:pStyle w:val="31"/>
        <w:snapToGrid w:val="0"/>
        <w:spacing w:line="360" w:lineRule="auto"/>
        <w:ind w:firstLine="420" w:firstLineChars="200"/>
        <w:rPr>
          <w:rFonts w:hAnsi="宋体"/>
          <w:color w:val="auto"/>
          <w:sz w:val="21"/>
          <w:highlight w:val="none"/>
          <w:shd w:val="clear" w:color="auto" w:fill="FFFFFF" w:themeFill="background1"/>
        </w:rPr>
      </w:pPr>
      <w:r>
        <w:rPr>
          <w:rFonts w:hAnsi="宋体"/>
          <w:color w:val="auto"/>
          <w:sz w:val="21"/>
          <w:highlight w:val="none"/>
          <w:shd w:val="clear" w:color="auto" w:fill="FFFFFF" w:themeFill="background1"/>
        </w:rPr>
        <w:t>38</w:t>
      </w:r>
      <w:r>
        <w:rPr>
          <w:rFonts w:hint="eastAsia" w:hAnsi="宋体"/>
          <w:color w:val="auto"/>
          <w:sz w:val="21"/>
          <w:highlight w:val="none"/>
          <w:shd w:val="clear" w:color="auto" w:fill="FFFFFF" w:themeFill="background1"/>
        </w:rPr>
        <w:t>.</w:t>
      </w:r>
      <w:r>
        <w:rPr>
          <w:rFonts w:hAnsi="宋体"/>
          <w:color w:val="auto"/>
          <w:sz w:val="21"/>
          <w:highlight w:val="none"/>
          <w:shd w:val="clear" w:color="auto" w:fill="FFFFFF" w:themeFill="background1"/>
        </w:rPr>
        <w:t>5</w:t>
      </w:r>
      <w:r>
        <w:rPr>
          <w:rFonts w:hint="eastAsia" w:hAnsi="宋体"/>
          <w:color w:val="auto"/>
          <w:sz w:val="21"/>
          <w:highlight w:val="none"/>
          <w:shd w:val="clear" w:color="auto" w:fill="FFFFFF" w:themeFill="background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C48530F">
      <w:pPr>
        <w:pStyle w:val="5"/>
        <w:keepNext w:val="0"/>
        <w:keepLines w:val="0"/>
        <w:spacing w:before="240" w:after="240" w:line="415" w:lineRule="auto"/>
        <w:ind w:firstLine="643"/>
        <w:jc w:val="center"/>
        <w:rPr>
          <w:color w:val="auto"/>
          <w:highlight w:val="none"/>
          <w:shd w:val="clear" w:color="auto" w:fill="FFFFFF" w:themeFill="background1"/>
        </w:rPr>
      </w:pPr>
      <w:bookmarkStart w:id="122" w:name="_八、其他事项"/>
      <w:bookmarkEnd w:id="122"/>
      <w:r>
        <w:rPr>
          <w:rFonts w:hint="eastAsia"/>
          <w:color w:val="auto"/>
          <w:highlight w:val="none"/>
          <w:shd w:val="clear" w:color="auto" w:fill="FFFFFF" w:themeFill="background1"/>
        </w:rPr>
        <w:t>八、其他事项</w:t>
      </w:r>
    </w:p>
    <w:p w14:paraId="370567E5">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bookmarkStart w:id="123" w:name="_42.代理服务费"/>
      <w:bookmarkEnd w:id="123"/>
      <w:r>
        <w:rPr>
          <w:rFonts w:hint="eastAsia" w:ascii="黑体" w:hAnsi="黑体" w:eastAsia="黑体"/>
          <w:color w:val="auto"/>
          <w:sz w:val="24"/>
          <w:highlight w:val="none"/>
          <w:shd w:val="clear" w:color="auto" w:fill="FFFFFF" w:themeFill="background1"/>
        </w:rPr>
        <w:t>3</w:t>
      </w:r>
      <w:r>
        <w:rPr>
          <w:rFonts w:ascii="黑体" w:hAnsi="黑体" w:eastAsia="黑体"/>
          <w:color w:val="auto"/>
          <w:sz w:val="24"/>
          <w:highlight w:val="none"/>
          <w:shd w:val="clear" w:color="auto" w:fill="FFFFFF" w:themeFill="background1"/>
        </w:rPr>
        <w:t>9</w:t>
      </w:r>
      <w:r>
        <w:rPr>
          <w:rFonts w:hint="eastAsia" w:ascii="黑体" w:hAnsi="黑体" w:eastAsia="黑体"/>
          <w:color w:val="auto"/>
          <w:sz w:val="24"/>
          <w:highlight w:val="none"/>
          <w:shd w:val="clear" w:color="auto" w:fill="FFFFFF" w:themeFill="background1"/>
        </w:rPr>
        <w:t>.代理服务费</w:t>
      </w:r>
    </w:p>
    <w:p w14:paraId="74D7B319">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3</w:t>
      </w:r>
      <w:r>
        <w:rPr>
          <w:rFonts w:ascii="宋体" w:hAnsi="宋体"/>
          <w:b w:val="0"/>
          <w:color w:val="auto"/>
          <w:sz w:val="21"/>
          <w:szCs w:val="21"/>
          <w:highlight w:val="none"/>
          <w:shd w:val="clear" w:color="auto" w:fill="FFFFFF" w:themeFill="background1"/>
        </w:rPr>
        <w:t>9</w:t>
      </w:r>
      <w:r>
        <w:rPr>
          <w:rFonts w:hint="eastAsia" w:ascii="宋体" w:hAnsi="宋体"/>
          <w:b w:val="0"/>
          <w:color w:val="auto"/>
          <w:sz w:val="21"/>
          <w:szCs w:val="21"/>
          <w:highlight w:val="none"/>
          <w:shd w:val="clear" w:color="auto" w:fill="FFFFFF" w:themeFill="background1"/>
        </w:rPr>
        <w:t>.1代理服务收取标准及缴费账户详见“投标人须知前附表”。</w:t>
      </w:r>
    </w:p>
    <w:p w14:paraId="6875D6FF">
      <w:pPr>
        <w:pStyle w:val="7"/>
        <w:keepNext w:val="0"/>
        <w:keepLines w:val="0"/>
        <w:numPr>
          <w:ilvl w:val="4"/>
          <w:numId w:val="0"/>
        </w:numPr>
        <w:spacing w:before="0" w:after="0" w:line="360" w:lineRule="auto"/>
        <w:ind w:leftChars="200"/>
        <w:rPr>
          <w:rFonts w:ascii="宋体" w:hAnsi="宋体"/>
          <w:b w:val="0"/>
          <w:color w:val="auto"/>
          <w:sz w:val="21"/>
          <w:szCs w:val="21"/>
          <w:highlight w:val="none"/>
          <w:shd w:val="clear" w:color="auto" w:fill="FFFFFF" w:themeFill="background1"/>
        </w:rPr>
      </w:pPr>
      <w:r>
        <w:rPr>
          <w:rFonts w:hint="eastAsia" w:ascii="宋体" w:hAnsi="宋体"/>
          <w:b w:val="0"/>
          <w:color w:val="auto"/>
          <w:sz w:val="21"/>
          <w:szCs w:val="21"/>
          <w:highlight w:val="none"/>
          <w:shd w:val="clear" w:color="auto" w:fill="FFFFFF" w:themeFill="background1"/>
        </w:rPr>
        <w:t>3</w:t>
      </w:r>
      <w:r>
        <w:rPr>
          <w:rFonts w:ascii="宋体" w:hAnsi="宋体"/>
          <w:b w:val="0"/>
          <w:color w:val="auto"/>
          <w:sz w:val="21"/>
          <w:szCs w:val="21"/>
          <w:highlight w:val="none"/>
          <w:shd w:val="clear" w:color="auto" w:fill="FFFFFF" w:themeFill="background1"/>
        </w:rPr>
        <w:t>9</w:t>
      </w:r>
      <w:r>
        <w:rPr>
          <w:rFonts w:hint="eastAsia" w:ascii="宋体" w:hAnsi="宋体"/>
          <w:b w:val="0"/>
          <w:color w:val="auto"/>
          <w:sz w:val="21"/>
          <w:szCs w:val="21"/>
          <w:highlight w:val="none"/>
          <w:shd w:val="clear" w:color="auto" w:fill="FFFFFF" w:themeFill="background1"/>
        </w:rPr>
        <w:t>.2代理服务收费标准：详见“投标人须知前附表”。</w:t>
      </w:r>
    </w:p>
    <w:p w14:paraId="5C83D437">
      <w:pPr>
        <w:pStyle w:val="7"/>
        <w:keepNext w:val="0"/>
        <w:keepLines w:val="0"/>
        <w:spacing w:before="0" w:after="0" w:line="360" w:lineRule="auto"/>
        <w:ind w:left="420" w:leftChars="200" w:firstLine="482"/>
        <w:rPr>
          <w:rFonts w:ascii="黑体" w:hAnsi="黑体" w:eastAsia="黑体"/>
          <w:color w:val="auto"/>
          <w:sz w:val="24"/>
          <w:highlight w:val="none"/>
          <w:shd w:val="clear" w:color="auto" w:fill="FFFFFF" w:themeFill="background1"/>
        </w:rPr>
      </w:pPr>
      <w:r>
        <w:rPr>
          <w:rFonts w:ascii="黑体" w:hAnsi="黑体" w:eastAsia="黑体"/>
          <w:color w:val="auto"/>
          <w:sz w:val="24"/>
          <w:highlight w:val="none"/>
          <w:shd w:val="clear" w:color="auto" w:fill="FFFFFF" w:themeFill="background1"/>
        </w:rPr>
        <w:t>40. 需要补充的其他内容</w:t>
      </w:r>
    </w:p>
    <w:p w14:paraId="324BF056">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40.1本招标文件解释规则详见“投标人须知前附表”。</w:t>
      </w:r>
    </w:p>
    <w:p w14:paraId="5BBFF8DA">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40.2 其他事项详见“投标人须知前附表”。</w:t>
      </w:r>
    </w:p>
    <w:p w14:paraId="221A80B1">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E10BCE4">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（1）在货物采购项目中，货物由中小企业制造，即货物由中小企业生产且使用该中小企业商号或者注册商标，不对其中涉及的工程承建商和服务的承接商作出要求；</w:t>
      </w:r>
    </w:p>
    <w:p w14:paraId="1D9F4411">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（2）在工程采购项目中，工程由中小企业承建，即工程施工单位为中小企业，不对其中涉及的货物的制造商和服务的承接商作出要求；</w:t>
      </w:r>
    </w:p>
    <w:p w14:paraId="20290826">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（3）在服务采购项目中，服务由中小企业承接，即提供服务的人员为中小企业依照《中华人民共和国劳动合同法》订立劳动合同的从业人员，不对其中涉及的货物的制造商和工程承建商作出要求。</w:t>
      </w:r>
    </w:p>
    <w:p w14:paraId="7D09AA8C">
      <w:pPr>
        <w:pStyle w:val="31"/>
        <w:spacing w:line="360" w:lineRule="auto"/>
        <w:ind w:firstLine="420" w:firstLineChars="200"/>
        <w:rPr>
          <w:rFonts w:hAnsi="宋体" w:cs="宋体"/>
          <w:color w:val="auto"/>
          <w:sz w:val="21"/>
          <w:highlight w:val="none"/>
          <w:shd w:val="clear" w:color="auto" w:fill="FFFFFF" w:themeFill="background1"/>
        </w:rPr>
      </w:pPr>
      <w:r>
        <w:rPr>
          <w:rFonts w:hint="eastAsia" w:hAnsi="宋体" w:cs="宋体"/>
          <w:color w:val="auto"/>
          <w:sz w:val="21"/>
          <w:highlight w:val="none"/>
          <w:shd w:val="clear" w:color="auto" w:fill="FFFFFF" w:themeFill="background1"/>
        </w:rPr>
        <w:t>在货物采购项目中，供应商提供的货物既有中小企业制造货物，也有大型企业制造货物的，不享受本招标文件规定的中小企业扶持政策。</w:t>
      </w:r>
    </w:p>
    <w:p w14:paraId="42062372">
      <w:pPr>
        <w:pStyle w:val="31"/>
        <w:spacing w:line="360" w:lineRule="auto"/>
        <w:ind w:firstLine="420" w:firstLineChars="200"/>
        <w:rPr>
          <w:rFonts w:hAnsi="宋体"/>
          <w:color w:val="auto"/>
          <w:highlight w:val="none"/>
          <w:shd w:val="clear" w:color="auto" w:fill="FFFFFF" w:themeFill="background1"/>
        </w:rPr>
      </w:pPr>
      <w:r>
        <w:rPr>
          <w:rFonts w:hint="eastAsia" w:hAnsi="宋体"/>
          <w:color w:val="auto"/>
          <w:sz w:val="21"/>
          <w:highlight w:val="none"/>
          <w:shd w:val="clear" w:color="auto" w:fill="FFFFFF" w:themeFill="background1"/>
        </w:rPr>
        <w:t>依据</w:t>
      </w:r>
      <w:r>
        <w:rPr>
          <w:rFonts w:hint="eastAsia" w:hAnsi="宋体" w:cs="宋体"/>
          <w:color w:val="auto"/>
          <w:sz w:val="21"/>
          <w:highlight w:val="none"/>
          <w:shd w:val="clear" w:color="auto" w:fill="FFFFFF" w:themeFill="background1"/>
        </w:rPr>
        <w:t>本招标文件</w:t>
      </w:r>
      <w:r>
        <w:rPr>
          <w:rFonts w:hint="eastAsia" w:hAnsi="宋体"/>
          <w:color w:val="auto"/>
          <w:sz w:val="21"/>
          <w:highlight w:val="none"/>
          <w:shd w:val="clear" w:color="auto" w:fill="FFFFFF" w:themeFill="background1"/>
        </w:rPr>
        <w:t>规定享受扶持政策获得政府采购合同的，小微企业不得将合同分包给大中型企业，中型企业不得将合同分包给大型企业。</w:t>
      </w:r>
      <w:r>
        <w:rPr>
          <w:rFonts w:hAnsi="宋体"/>
          <w:color w:val="auto"/>
          <w:highlight w:val="none"/>
          <w:shd w:val="clear" w:color="auto" w:fill="FFFFFF" w:themeFill="background1"/>
        </w:rPr>
        <w:br w:type="page"/>
      </w:r>
    </w:p>
    <w:p w14:paraId="710624EC">
      <w:pPr>
        <w:widowControl/>
        <w:shd w:val="clear" w:color="auto" w:fill="FFFFFF"/>
        <w:spacing w:line="560" w:lineRule="exact"/>
        <w:ind w:firstLine="883"/>
        <w:jc w:val="center"/>
        <w:rPr>
          <w:rFonts w:ascii="方正小标宋简体" w:eastAsia="方正小标宋简体"/>
          <w:color w:val="auto"/>
          <w:kern w:val="0"/>
          <w:sz w:val="44"/>
          <w:szCs w:val="44"/>
          <w:highlight w:val="none"/>
          <w:shd w:val="clear" w:color="auto" w:fill="FFFFFF" w:themeFill="background1"/>
        </w:rPr>
      </w:pPr>
      <w:r>
        <w:rPr>
          <w:rFonts w:hint="eastAsia" w:ascii="方正小标宋简体" w:eastAsia="方正小标宋简体"/>
          <w:color w:val="auto"/>
          <w:kern w:val="0"/>
          <w:sz w:val="44"/>
          <w:szCs w:val="44"/>
          <w:highlight w:val="none"/>
          <w:shd w:val="clear" w:color="auto" w:fill="FFFFFF" w:themeFill="background1"/>
        </w:rPr>
        <w:t>广西壮族自治区政府采购项目合同验收书</w:t>
      </w:r>
    </w:p>
    <w:p w14:paraId="487D35BE">
      <w:pPr>
        <w:widowControl/>
        <w:shd w:val="clear" w:color="auto" w:fill="FFFFFF"/>
        <w:spacing w:line="560" w:lineRule="exact"/>
        <w:ind w:firstLine="643"/>
        <w:jc w:val="center"/>
        <w:rPr>
          <w:rFonts w:ascii="楷体" w:hAnsi="楷体" w:eastAsia="楷体"/>
          <w:color w:val="auto"/>
          <w:kern w:val="0"/>
          <w:sz w:val="32"/>
          <w:szCs w:val="32"/>
          <w:highlight w:val="none"/>
          <w:shd w:val="clear" w:color="auto" w:fill="FFFFFF" w:themeFill="background1"/>
        </w:rPr>
      </w:pPr>
      <w:r>
        <w:rPr>
          <w:rFonts w:hint="eastAsia" w:ascii="楷体" w:hAnsi="楷体" w:eastAsia="楷体"/>
          <w:color w:val="auto"/>
          <w:kern w:val="0"/>
          <w:sz w:val="32"/>
          <w:szCs w:val="32"/>
          <w:highlight w:val="none"/>
          <w:shd w:val="clear" w:color="auto" w:fill="FFFFFF" w:themeFill="background1"/>
        </w:rPr>
        <w:t>（格式）</w:t>
      </w:r>
    </w:p>
    <w:p w14:paraId="6F1D3A08">
      <w:pPr>
        <w:widowControl/>
        <w:shd w:val="clear" w:color="auto" w:fill="FFFFFF"/>
        <w:snapToGrid w:val="0"/>
        <w:spacing w:line="320" w:lineRule="atLeast"/>
        <w:ind w:firstLine="422"/>
        <w:jc w:val="left"/>
        <w:rPr>
          <w:rFonts w:ascii="宋体" w:hAnsi="宋体"/>
          <w:color w:val="auto"/>
          <w:kern w:val="0"/>
          <w:szCs w:val="21"/>
          <w:highlight w:val="none"/>
          <w:shd w:val="clear" w:color="auto" w:fill="FFFFFF" w:themeFill="background1"/>
        </w:rPr>
      </w:pPr>
      <w:r>
        <w:rPr>
          <w:rFonts w:hint="eastAsia" w:ascii="宋体" w:hAnsi="宋体"/>
          <w:color w:val="auto"/>
          <w:kern w:val="0"/>
          <w:highlight w:val="none"/>
          <w:shd w:val="clear" w:color="auto" w:fill="FFFFFF" w:themeFill="background1"/>
        </w:rPr>
        <w:t>根据政府采购项目（</w:t>
      </w:r>
      <w:r>
        <w:rPr>
          <w:rFonts w:hint="eastAsia" w:ascii="宋体" w:hAnsi="宋体"/>
          <w:color w:val="auto"/>
          <w:kern w:val="0"/>
          <w:highlight w:val="none"/>
          <w:u w:val="single"/>
          <w:shd w:val="clear" w:color="auto" w:fill="FFFFFF" w:themeFill="background1"/>
        </w:rPr>
        <w:t xml:space="preserve">采购合同编号： </w:t>
      </w:r>
      <w:r>
        <w:rPr>
          <w:rFonts w:hint="eastAsia" w:ascii="宋体" w:hAnsi="宋体"/>
          <w:color w:val="auto"/>
          <w:kern w:val="0"/>
          <w:highlight w:val="none"/>
          <w:shd w:val="clear" w:color="auto" w:fill="FFFFFF" w:themeFill="background1"/>
        </w:rPr>
        <w:t>）的约定，我单位对（</w:t>
      </w:r>
      <w:r>
        <w:rPr>
          <w:rFonts w:hint="eastAsia" w:ascii="宋体" w:hAnsi="宋体"/>
          <w:color w:val="auto"/>
          <w:kern w:val="0"/>
          <w:highlight w:val="none"/>
          <w:u w:val="single"/>
          <w:shd w:val="clear" w:color="auto" w:fill="FFFFFF" w:themeFill="background1"/>
        </w:rPr>
        <w:t xml:space="preserve"> 项目名称 </w:t>
      </w:r>
      <w:r>
        <w:rPr>
          <w:rFonts w:hint="eastAsia" w:ascii="宋体" w:hAnsi="宋体"/>
          <w:color w:val="auto"/>
          <w:kern w:val="0"/>
          <w:highlight w:val="none"/>
          <w:shd w:val="clear" w:color="auto" w:fill="FFFFFF" w:themeFill="background1"/>
        </w:rPr>
        <w:t>） 政府采购项目中标（或成交）供应商（</w:t>
      </w:r>
      <w:r>
        <w:rPr>
          <w:rFonts w:hint="eastAsia" w:ascii="宋体" w:hAnsi="宋体"/>
          <w:color w:val="auto"/>
          <w:kern w:val="0"/>
          <w:highlight w:val="none"/>
          <w:u w:val="single"/>
          <w:shd w:val="clear" w:color="auto" w:fill="FFFFFF" w:themeFill="background1"/>
        </w:rPr>
        <w:t xml:space="preserve"> 公司名称 </w:t>
      </w:r>
      <w:r>
        <w:rPr>
          <w:rFonts w:hint="eastAsia" w:ascii="宋体" w:hAnsi="宋体"/>
          <w:color w:val="auto"/>
          <w:kern w:val="0"/>
          <w:highlight w:val="none"/>
          <w:shd w:val="clear" w:color="auto" w:fill="FFFFFF" w:themeFill="background1"/>
        </w:rPr>
        <w:t>） 提供的货物（或工程、服务）进行了验收，验收情况如下：</w:t>
      </w:r>
    </w:p>
    <w:tbl>
      <w:tblPr>
        <w:tblStyle w:val="62"/>
        <w:tblW w:w="9371" w:type="dxa"/>
        <w:jc w:val="center"/>
        <w:tblLayout w:type="fixed"/>
        <w:tblCellMar>
          <w:top w:w="0" w:type="dxa"/>
          <w:left w:w="0" w:type="dxa"/>
          <w:bottom w:w="0" w:type="dxa"/>
          <w:right w:w="0" w:type="dxa"/>
        </w:tblCellMar>
      </w:tblPr>
      <w:tblGrid>
        <w:gridCol w:w="1486"/>
        <w:gridCol w:w="1766"/>
        <w:gridCol w:w="798"/>
        <w:gridCol w:w="102"/>
        <w:gridCol w:w="2002"/>
        <w:gridCol w:w="178"/>
        <w:gridCol w:w="685"/>
        <w:gridCol w:w="2354"/>
      </w:tblGrid>
      <w:tr w14:paraId="6584E996">
        <w:tblPrEx>
          <w:tblCellMar>
            <w:top w:w="0" w:type="dxa"/>
            <w:left w:w="0" w:type="dxa"/>
            <w:bottom w:w="0" w:type="dxa"/>
            <w:right w:w="0" w:type="dxa"/>
          </w:tblCellMar>
        </w:tblPrEx>
        <w:trPr>
          <w:trHeight w:val="382"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0E11AFB1">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验收方式：</w:t>
            </w:r>
          </w:p>
        </w:tc>
        <w:tc>
          <w:tcPr>
            <w:tcW w:w="6119" w:type="dxa"/>
            <w:gridSpan w:val="6"/>
            <w:tcBorders>
              <w:top w:val="single" w:color="auto" w:sz="8" w:space="0"/>
              <w:left w:val="nil"/>
              <w:bottom w:val="single" w:color="auto" w:sz="8" w:space="0"/>
              <w:right w:val="single" w:color="auto" w:sz="8" w:space="0"/>
            </w:tcBorders>
            <w:vAlign w:val="center"/>
          </w:tcPr>
          <w:p w14:paraId="49B658DB">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Verdana" w:hAnsi="Verdana" w:cs="宋体"/>
                <w:color w:val="auto"/>
                <w:kern w:val="0"/>
                <w:highlight w:val="none"/>
                <w:shd w:val="clear" w:color="auto" w:fill="FFFFFF" w:themeFill="background1"/>
              </w:rPr>
              <w:t>□</w:t>
            </w:r>
            <w:r>
              <w:rPr>
                <w:rFonts w:ascii="宋体" w:hAnsi="宋体" w:cs="宋体"/>
                <w:color w:val="auto"/>
                <w:kern w:val="0"/>
                <w:highlight w:val="none"/>
                <w:shd w:val="clear" w:color="auto" w:fill="FFFFFF" w:themeFill="background1"/>
              </w:rPr>
              <w:t xml:space="preserve">自行验收 </w:t>
            </w:r>
            <w:r>
              <w:rPr>
                <w:rFonts w:ascii="Verdana" w:hAnsi="Verdana" w:cs="宋体"/>
                <w:color w:val="auto"/>
                <w:kern w:val="0"/>
                <w:highlight w:val="none"/>
                <w:shd w:val="clear" w:color="auto" w:fill="FFFFFF" w:themeFill="background1"/>
              </w:rPr>
              <w:t>□</w:t>
            </w:r>
            <w:r>
              <w:rPr>
                <w:rFonts w:ascii="宋体" w:hAnsi="宋体" w:cs="宋体"/>
                <w:color w:val="auto"/>
                <w:kern w:val="0"/>
                <w:highlight w:val="none"/>
                <w:shd w:val="clear" w:color="auto" w:fill="FFFFFF" w:themeFill="background1"/>
              </w:rPr>
              <w:t>委托验收</w:t>
            </w:r>
          </w:p>
        </w:tc>
      </w:tr>
      <w:tr w14:paraId="4CAFF27C">
        <w:tblPrEx>
          <w:tblCellMar>
            <w:top w:w="0" w:type="dxa"/>
            <w:left w:w="0" w:type="dxa"/>
            <w:bottom w:w="0" w:type="dxa"/>
            <w:right w:w="0" w:type="dxa"/>
          </w:tblCellMar>
        </w:tblPrEx>
        <w:trPr>
          <w:trHeight w:val="622" w:hRule="atLeast"/>
          <w:jc w:val="center"/>
        </w:trPr>
        <w:tc>
          <w:tcPr>
            <w:tcW w:w="1486" w:type="dxa"/>
            <w:tcBorders>
              <w:top w:val="nil"/>
              <w:left w:val="single" w:color="auto" w:sz="8" w:space="0"/>
              <w:bottom w:val="single" w:color="auto" w:sz="8" w:space="0"/>
              <w:right w:val="single" w:color="auto" w:sz="8" w:space="0"/>
            </w:tcBorders>
            <w:vAlign w:val="center"/>
          </w:tcPr>
          <w:p w14:paraId="3DE8576E">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序号</w:t>
            </w:r>
          </w:p>
        </w:tc>
        <w:tc>
          <w:tcPr>
            <w:tcW w:w="1766" w:type="dxa"/>
            <w:tcBorders>
              <w:top w:val="nil"/>
              <w:left w:val="nil"/>
              <w:bottom w:val="single" w:color="auto" w:sz="8" w:space="0"/>
              <w:right w:val="single" w:color="auto" w:sz="8" w:space="0"/>
            </w:tcBorders>
            <w:vAlign w:val="center"/>
          </w:tcPr>
          <w:p w14:paraId="3BEE26B8">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名称</w:t>
            </w:r>
          </w:p>
        </w:tc>
        <w:tc>
          <w:tcPr>
            <w:tcW w:w="2902" w:type="dxa"/>
            <w:gridSpan w:val="3"/>
            <w:tcBorders>
              <w:top w:val="nil"/>
              <w:left w:val="nil"/>
              <w:bottom w:val="single" w:color="auto" w:sz="8" w:space="0"/>
              <w:right w:val="single" w:color="auto" w:sz="8" w:space="0"/>
            </w:tcBorders>
            <w:vAlign w:val="center"/>
          </w:tcPr>
          <w:p w14:paraId="3988C67C">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72A484DA">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数量</w:t>
            </w:r>
          </w:p>
        </w:tc>
        <w:tc>
          <w:tcPr>
            <w:tcW w:w="2354" w:type="dxa"/>
            <w:tcBorders>
              <w:top w:val="nil"/>
              <w:left w:val="nil"/>
              <w:bottom w:val="single" w:color="auto" w:sz="8" w:space="0"/>
              <w:right w:val="single" w:color="auto" w:sz="8" w:space="0"/>
            </w:tcBorders>
            <w:vAlign w:val="center"/>
          </w:tcPr>
          <w:p w14:paraId="2E6FFF3F">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金额</w:t>
            </w:r>
          </w:p>
        </w:tc>
      </w:tr>
      <w:tr w14:paraId="2FDA7EF4">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vAlign w:val="center"/>
          </w:tcPr>
          <w:p w14:paraId="42B4A13A">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1766" w:type="dxa"/>
            <w:tcBorders>
              <w:top w:val="nil"/>
              <w:left w:val="nil"/>
              <w:bottom w:val="single" w:color="auto" w:sz="8" w:space="0"/>
              <w:right w:val="single" w:color="auto" w:sz="8" w:space="0"/>
            </w:tcBorders>
            <w:vAlign w:val="center"/>
          </w:tcPr>
          <w:p w14:paraId="33D82770">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902" w:type="dxa"/>
            <w:gridSpan w:val="3"/>
            <w:tcBorders>
              <w:top w:val="nil"/>
              <w:left w:val="nil"/>
              <w:bottom w:val="single" w:color="auto" w:sz="8" w:space="0"/>
              <w:right w:val="single" w:color="auto" w:sz="8" w:space="0"/>
            </w:tcBorders>
            <w:vAlign w:val="center"/>
          </w:tcPr>
          <w:p w14:paraId="0D3F3353">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863" w:type="dxa"/>
            <w:gridSpan w:val="2"/>
            <w:tcBorders>
              <w:top w:val="nil"/>
              <w:left w:val="nil"/>
              <w:bottom w:val="single" w:color="auto" w:sz="8" w:space="0"/>
              <w:right w:val="single" w:color="auto" w:sz="8" w:space="0"/>
            </w:tcBorders>
            <w:vAlign w:val="center"/>
          </w:tcPr>
          <w:p w14:paraId="748D716D">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354" w:type="dxa"/>
            <w:tcBorders>
              <w:top w:val="nil"/>
              <w:left w:val="nil"/>
              <w:bottom w:val="single" w:color="auto" w:sz="8" w:space="0"/>
              <w:right w:val="single" w:color="auto" w:sz="8" w:space="0"/>
            </w:tcBorders>
            <w:vAlign w:val="center"/>
          </w:tcPr>
          <w:p w14:paraId="58F18DD8">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r>
      <w:tr w14:paraId="67C18534">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vAlign w:val="center"/>
          </w:tcPr>
          <w:p w14:paraId="3105DF4C">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1766" w:type="dxa"/>
            <w:tcBorders>
              <w:top w:val="nil"/>
              <w:left w:val="nil"/>
              <w:bottom w:val="single" w:color="auto" w:sz="8" w:space="0"/>
              <w:right w:val="single" w:color="auto" w:sz="8" w:space="0"/>
            </w:tcBorders>
            <w:vAlign w:val="center"/>
          </w:tcPr>
          <w:p w14:paraId="6E70D5C2">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902" w:type="dxa"/>
            <w:gridSpan w:val="3"/>
            <w:tcBorders>
              <w:top w:val="nil"/>
              <w:left w:val="nil"/>
              <w:bottom w:val="single" w:color="auto" w:sz="8" w:space="0"/>
              <w:right w:val="single" w:color="auto" w:sz="8" w:space="0"/>
            </w:tcBorders>
            <w:vAlign w:val="center"/>
          </w:tcPr>
          <w:p w14:paraId="24E5104A">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863" w:type="dxa"/>
            <w:gridSpan w:val="2"/>
            <w:tcBorders>
              <w:top w:val="nil"/>
              <w:left w:val="nil"/>
              <w:bottom w:val="single" w:color="auto" w:sz="8" w:space="0"/>
              <w:right w:val="single" w:color="auto" w:sz="8" w:space="0"/>
            </w:tcBorders>
            <w:vAlign w:val="center"/>
          </w:tcPr>
          <w:p w14:paraId="19092BD5">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354" w:type="dxa"/>
            <w:tcBorders>
              <w:top w:val="nil"/>
              <w:left w:val="nil"/>
              <w:bottom w:val="single" w:color="auto" w:sz="8" w:space="0"/>
              <w:right w:val="single" w:color="auto" w:sz="8" w:space="0"/>
            </w:tcBorders>
            <w:vAlign w:val="center"/>
          </w:tcPr>
          <w:p w14:paraId="192AF7C9">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r>
      <w:tr w14:paraId="5E18EC9F">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vAlign w:val="center"/>
          </w:tcPr>
          <w:p w14:paraId="6DD7FC6A">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1766" w:type="dxa"/>
            <w:tcBorders>
              <w:top w:val="nil"/>
              <w:left w:val="nil"/>
              <w:bottom w:val="single" w:color="auto" w:sz="8" w:space="0"/>
              <w:right w:val="single" w:color="auto" w:sz="8" w:space="0"/>
            </w:tcBorders>
            <w:vAlign w:val="center"/>
          </w:tcPr>
          <w:p w14:paraId="693BA14D">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902" w:type="dxa"/>
            <w:gridSpan w:val="3"/>
            <w:tcBorders>
              <w:top w:val="nil"/>
              <w:left w:val="nil"/>
              <w:bottom w:val="single" w:color="auto" w:sz="8" w:space="0"/>
              <w:right w:val="single" w:color="auto" w:sz="8" w:space="0"/>
            </w:tcBorders>
            <w:vAlign w:val="center"/>
          </w:tcPr>
          <w:p w14:paraId="4A49DA6C">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863" w:type="dxa"/>
            <w:gridSpan w:val="2"/>
            <w:tcBorders>
              <w:top w:val="nil"/>
              <w:left w:val="nil"/>
              <w:bottom w:val="single" w:color="auto" w:sz="8" w:space="0"/>
              <w:right w:val="single" w:color="auto" w:sz="8" w:space="0"/>
            </w:tcBorders>
            <w:vAlign w:val="center"/>
          </w:tcPr>
          <w:p w14:paraId="7348CC4D">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354" w:type="dxa"/>
            <w:tcBorders>
              <w:top w:val="nil"/>
              <w:left w:val="nil"/>
              <w:bottom w:val="single" w:color="auto" w:sz="8" w:space="0"/>
              <w:right w:val="single" w:color="auto" w:sz="8" w:space="0"/>
            </w:tcBorders>
            <w:vAlign w:val="center"/>
          </w:tcPr>
          <w:p w14:paraId="3EF804CB">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r>
      <w:tr w14:paraId="2C72226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2B27D73F">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合计</w:t>
            </w:r>
          </w:p>
        </w:tc>
        <w:tc>
          <w:tcPr>
            <w:tcW w:w="863" w:type="dxa"/>
            <w:gridSpan w:val="2"/>
            <w:tcBorders>
              <w:top w:val="nil"/>
              <w:left w:val="nil"/>
              <w:bottom w:val="single" w:color="auto" w:sz="8" w:space="0"/>
              <w:right w:val="single" w:color="auto" w:sz="8" w:space="0"/>
            </w:tcBorders>
            <w:vAlign w:val="center"/>
          </w:tcPr>
          <w:p w14:paraId="692F16AE">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354" w:type="dxa"/>
            <w:tcBorders>
              <w:top w:val="nil"/>
              <w:left w:val="nil"/>
              <w:bottom w:val="single" w:color="auto" w:sz="8" w:space="0"/>
              <w:right w:val="single" w:color="auto" w:sz="8" w:space="0"/>
            </w:tcBorders>
            <w:vAlign w:val="center"/>
          </w:tcPr>
          <w:p w14:paraId="7913CE58">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r>
      <w:tr w14:paraId="395C1411">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74D018AF">
            <w:pPr>
              <w:widowControl/>
              <w:snapToGrid w:val="0"/>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合计大写金额：仟佰拾万仟佰拾元</w:t>
            </w:r>
          </w:p>
        </w:tc>
      </w:tr>
      <w:tr w14:paraId="6AEEE9B0">
        <w:tblPrEx>
          <w:tblCellMar>
            <w:top w:w="0" w:type="dxa"/>
            <w:left w:w="0" w:type="dxa"/>
            <w:bottom w:w="0" w:type="dxa"/>
            <w:right w:w="0" w:type="dxa"/>
          </w:tblCellMar>
        </w:tblPrEx>
        <w:trPr>
          <w:trHeight w:val="491" w:hRule="atLeast"/>
          <w:jc w:val="center"/>
        </w:trPr>
        <w:tc>
          <w:tcPr>
            <w:tcW w:w="1486" w:type="dxa"/>
            <w:tcBorders>
              <w:top w:val="nil"/>
              <w:left w:val="single" w:color="auto" w:sz="8" w:space="0"/>
              <w:bottom w:val="single" w:color="auto" w:sz="8" w:space="0"/>
              <w:right w:val="single" w:color="auto" w:sz="8" w:space="0"/>
            </w:tcBorders>
            <w:vAlign w:val="center"/>
          </w:tcPr>
          <w:p w14:paraId="50DFEB13">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实际供货日期</w:t>
            </w:r>
          </w:p>
        </w:tc>
        <w:tc>
          <w:tcPr>
            <w:tcW w:w="2564" w:type="dxa"/>
            <w:gridSpan w:val="2"/>
            <w:tcBorders>
              <w:top w:val="nil"/>
              <w:left w:val="nil"/>
              <w:bottom w:val="single" w:color="auto" w:sz="8" w:space="0"/>
              <w:right w:val="single" w:color="auto" w:sz="8" w:space="0"/>
            </w:tcBorders>
            <w:vAlign w:val="center"/>
          </w:tcPr>
          <w:p w14:paraId="6C286629">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282" w:type="dxa"/>
            <w:gridSpan w:val="3"/>
            <w:tcBorders>
              <w:top w:val="nil"/>
              <w:left w:val="nil"/>
              <w:bottom w:val="single" w:color="auto" w:sz="8" w:space="0"/>
              <w:right w:val="single" w:color="auto" w:sz="8" w:space="0"/>
            </w:tcBorders>
            <w:vAlign w:val="center"/>
          </w:tcPr>
          <w:p w14:paraId="02A4481B">
            <w:pPr>
              <w:widowControl/>
              <w:snapToGrid w:val="0"/>
              <w:spacing w:before="100" w:beforeAutospacing="1" w:after="100" w:afterAutospacing="1" w:line="320" w:lineRule="atLeast"/>
              <w:ind w:firstLine="422"/>
              <w:jc w:val="center"/>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合同交货验收日期</w:t>
            </w:r>
          </w:p>
        </w:tc>
        <w:tc>
          <w:tcPr>
            <w:tcW w:w="3039" w:type="dxa"/>
            <w:gridSpan w:val="2"/>
            <w:tcBorders>
              <w:top w:val="nil"/>
              <w:left w:val="nil"/>
              <w:bottom w:val="single" w:color="auto" w:sz="8" w:space="0"/>
              <w:right w:val="single" w:color="auto" w:sz="8" w:space="0"/>
            </w:tcBorders>
            <w:vAlign w:val="center"/>
          </w:tcPr>
          <w:p w14:paraId="357DF904">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r>
      <w:tr w14:paraId="19BB2B75">
        <w:tblPrEx>
          <w:tblCellMar>
            <w:top w:w="0" w:type="dxa"/>
            <w:left w:w="0" w:type="dxa"/>
            <w:bottom w:w="0" w:type="dxa"/>
            <w:right w:w="0" w:type="dxa"/>
          </w:tblCellMar>
        </w:tblPrEx>
        <w:trPr>
          <w:trHeight w:val="394" w:hRule="atLeast"/>
          <w:jc w:val="center"/>
        </w:trPr>
        <w:tc>
          <w:tcPr>
            <w:tcW w:w="1486" w:type="dxa"/>
            <w:tcBorders>
              <w:top w:val="nil"/>
              <w:left w:val="single" w:color="auto" w:sz="8" w:space="0"/>
              <w:bottom w:val="single" w:color="auto" w:sz="8" w:space="0"/>
              <w:right w:val="single" w:color="auto" w:sz="8" w:space="0"/>
            </w:tcBorders>
            <w:vAlign w:val="center"/>
          </w:tcPr>
          <w:p w14:paraId="717015B6">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564" w:type="dxa"/>
            <w:gridSpan w:val="2"/>
            <w:tcBorders>
              <w:top w:val="nil"/>
              <w:left w:val="nil"/>
              <w:bottom w:val="single" w:color="auto" w:sz="8" w:space="0"/>
              <w:right w:val="single" w:color="auto" w:sz="8" w:space="0"/>
            </w:tcBorders>
            <w:vAlign w:val="center"/>
          </w:tcPr>
          <w:p w14:paraId="61637645">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2282" w:type="dxa"/>
            <w:gridSpan w:val="3"/>
            <w:tcBorders>
              <w:top w:val="nil"/>
              <w:left w:val="nil"/>
              <w:bottom w:val="single" w:color="auto" w:sz="8" w:space="0"/>
              <w:right w:val="single" w:color="auto" w:sz="8" w:space="0"/>
            </w:tcBorders>
            <w:vAlign w:val="center"/>
          </w:tcPr>
          <w:p w14:paraId="7076CCC1">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c>
          <w:tcPr>
            <w:tcW w:w="3039" w:type="dxa"/>
            <w:gridSpan w:val="2"/>
            <w:tcBorders>
              <w:top w:val="nil"/>
              <w:left w:val="nil"/>
              <w:bottom w:val="single" w:color="auto" w:sz="8" w:space="0"/>
              <w:right w:val="single" w:color="auto" w:sz="8" w:space="0"/>
            </w:tcBorders>
            <w:vAlign w:val="center"/>
          </w:tcPr>
          <w:p w14:paraId="0B0E87F9">
            <w:pPr>
              <w:widowControl/>
              <w:spacing w:before="100" w:beforeAutospacing="1" w:after="100" w:afterAutospacing="1" w:line="240" w:lineRule="atLeast"/>
              <w:ind w:firstLine="422"/>
              <w:jc w:val="center"/>
              <w:rPr>
                <w:rFonts w:ascii="Verdana" w:hAnsi="Verdana" w:cs="宋体"/>
                <w:color w:val="auto"/>
                <w:kern w:val="0"/>
                <w:highlight w:val="none"/>
                <w:shd w:val="clear" w:color="auto" w:fill="FFFFFF" w:themeFill="background1"/>
              </w:rPr>
            </w:pPr>
          </w:p>
        </w:tc>
      </w:tr>
      <w:tr w14:paraId="6D1FA9D5">
        <w:tblPrEx>
          <w:tblCellMar>
            <w:top w:w="0" w:type="dxa"/>
            <w:left w:w="0" w:type="dxa"/>
            <w:bottom w:w="0" w:type="dxa"/>
            <w:right w:w="0" w:type="dxa"/>
          </w:tblCellMar>
        </w:tblPrEx>
        <w:trPr>
          <w:trHeight w:val="693" w:hRule="atLeast"/>
          <w:jc w:val="center"/>
        </w:trPr>
        <w:tc>
          <w:tcPr>
            <w:tcW w:w="14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328B5F">
            <w:pPr>
              <w:widowControl/>
              <w:snapToGrid w:val="0"/>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验收具体内容</w:t>
            </w:r>
          </w:p>
        </w:tc>
        <w:tc>
          <w:tcPr>
            <w:tcW w:w="7885"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2860D4E">
            <w:pPr>
              <w:widowControl/>
              <w:snapToGrid w:val="0"/>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color w:val="auto"/>
                <w:kern w:val="0"/>
                <w:highlight w:val="none"/>
                <w:shd w:val="clear" w:color="auto" w:fill="FFFFFF" w:themeFill="background1"/>
              </w:rPr>
              <w:t>)</w:t>
            </w:r>
          </w:p>
        </w:tc>
      </w:tr>
      <w:tr w14:paraId="2F76DB14">
        <w:tblPrEx>
          <w:tblCellMar>
            <w:top w:w="0" w:type="dxa"/>
            <w:left w:w="0" w:type="dxa"/>
            <w:bottom w:w="0" w:type="dxa"/>
            <w:right w:w="0" w:type="dxa"/>
          </w:tblCellMar>
        </w:tblPrEx>
        <w:trPr>
          <w:trHeight w:val="927" w:hRule="atLeast"/>
          <w:jc w:val="center"/>
        </w:trPr>
        <w:tc>
          <w:tcPr>
            <w:tcW w:w="148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585234">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验收小组意见</w:t>
            </w:r>
          </w:p>
        </w:tc>
        <w:tc>
          <w:tcPr>
            <w:tcW w:w="7885" w:type="dxa"/>
            <w:gridSpan w:val="7"/>
            <w:tcBorders>
              <w:top w:val="nil"/>
              <w:left w:val="nil"/>
              <w:bottom w:val="single" w:color="auto" w:sz="8" w:space="0"/>
              <w:right w:val="single" w:color="auto" w:sz="8" w:space="0"/>
            </w:tcBorders>
            <w:vAlign w:val="center"/>
          </w:tcPr>
          <w:p w14:paraId="380F49ED">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验收结论性意见：</w:t>
            </w:r>
          </w:p>
        </w:tc>
      </w:tr>
      <w:tr w14:paraId="4292185B">
        <w:tblPrEx>
          <w:tblCellMar>
            <w:top w:w="0" w:type="dxa"/>
            <w:left w:w="0" w:type="dxa"/>
            <w:bottom w:w="0" w:type="dxa"/>
            <w:right w:w="0" w:type="dxa"/>
          </w:tblCellMar>
        </w:tblPrEx>
        <w:trPr>
          <w:trHeight w:val="607" w:hRule="atLeast"/>
          <w:jc w:val="center"/>
        </w:trPr>
        <w:tc>
          <w:tcPr>
            <w:tcW w:w="1486" w:type="dxa"/>
            <w:vMerge w:val="continue"/>
            <w:tcBorders>
              <w:top w:val="nil"/>
              <w:left w:val="single" w:color="auto" w:sz="8" w:space="0"/>
              <w:bottom w:val="single" w:color="auto" w:sz="8" w:space="0"/>
              <w:right w:val="single" w:color="auto" w:sz="8" w:space="0"/>
            </w:tcBorders>
            <w:vAlign w:val="center"/>
          </w:tcPr>
          <w:p w14:paraId="4A9684A3">
            <w:pPr>
              <w:widowControl/>
              <w:ind w:firstLine="422"/>
              <w:jc w:val="left"/>
              <w:rPr>
                <w:rFonts w:ascii="Verdana" w:hAnsi="Verdana" w:cs="宋体"/>
                <w:color w:val="auto"/>
                <w:kern w:val="0"/>
                <w:szCs w:val="21"/>
                <w:highlight w:val="none"/>
                <w:shd w:val="clear" w:color="auto" w:fill="FFFFFF" w:themeFill="background1"/>
              </w:rPr>
            </w:pPr>
          </w:p>
        </w:tc>
        <w:tc>
          <w:tcPr>
            <w:tcW w:w="7885" w:type="dxa"/>
            <w:gridSpan w:val="7"/>
            <w:tcBorders>
              <w:top w:val="nil"/>
              <w:left w:val="nil"/>
              <w:bottom w:val="single" w:color="auto" w:sz="8" w:space="0"/>
              <w:right w:val="single" w:color="auto" w:sz="8" w:space="0"/>
            </w:tcBorders>
            <w:vAlign w:val="center"/>
          </w:tcPr>
          <w:p w14:paraId="40AC2E2F">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有异议的意见和说明理由：</w:t>
            </w:r>
          </w:p>
          <w:p w14:paraId="453DA779">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签字：</w:t>
            </w:r>
          </w:p>
        </w:tc>
      </w:tr>
      <w:tr w14:paraId="176952FD">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81FFAA">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验收小组成员签字：</w:t>
            </w:r>
          </w:p>
        </w:tc>
      </w:tr>
      <w:tr w14:paraId="1AA234B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A52D46">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监督人员或其他相关人员签字：</w:t>
            </w:r>
          </w:p>
          <w:p w14:paraId="28DB70ED">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或受邀机构的意见（盖章）：</w:t>
            </w:r>
          </w:p>
        </w:tc>
      </w:tr>
      <w:tr w14:paraId="21E8260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5AB16791">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中标或者成交供应商负责人签字或盖章：</w:t>
            </w:r>
          </w:p>
          <w:p w14:paraId="77B94A49">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联系电话：年月日</w:t>
            </w:r>
          </w:p>
        </w:tc>
        <w:tc>
          <w:tcPr>
            <w:tcW w:w="5219" w:type="dxa"/>
            <w:gridSpan w:val="4"/>
            <w:tcBorders>
              <w:top w:val="nil"/>
              <w:left w:val="nil"/>
              <w:bottom w:val="single" w:color="auto" w:sz="8" w:space="0"/>
              <w:right w:val="single" w:color="auto" w:sz="8" w:space="0"/>
            </w:tcBorders>
            <w:vAlign w:val="center"/>
          </w:tcPr>
          <w:p w14:paraId="73DF6AA2">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采购人或受托机构的意见（盖章）：</w:t>
            </w:r>
          </w:p>
          <w:p w14:paraId="33DA3C9F">
            <w:pPr>
              <w:widowControl/>
              <w:spacing w:before="100" w:beforeAutospacing="1" w:after="100" w:afterAutospacing="1" w:line="320" w:lineRule="atLeast"/>
              <w:ind w:firstLine="422"/>
              <w:jc w:val="left"/>
              <w:rPr>
                <w:rFonts w:ascii="Verdana" w:hAnsi="Verdana" w:cs="宋体"/>
                <w:color w:val="auto"/>
                <w:kern w:val="0"/>
                <w:highlight w:val="none"/>
                <w:shd w:val="clear" w:color="auto" w:fill="FFFFFF" w:themeFill="background1"/>
              </w:rPr>
            </w:pPr>
            <w:r>
              <w:rPr>
                <w:rFonts w:ascii="宋体" w:hAnsi="宋体" w:cs="宋体"/>
                <w:color w:val="auto"/>
                <w:kern w:val="0"/>
                <w:highlight w:val="none"/>
                <w:shd w:val="clear" w:color="auto" w:fill="FFFFFF" w:themeFill="background1"/>
              </w:rPr>
              <w:t>联系电话：年月日</w:t>
            </w:r>
          </w:p>
        </w:tc>
      </w:tr>
    </w:tbl>
    <w:p w14:paraId="24060C1F">
      <w:pPr>
        <w:pStyle w:val="31"/>
        <w:snapToGrid w:val="0"/>
        <w:spacing w:before="120" w:after="120"/>
        <w:ind w:firstLine="402"/>
        <w:rPr>
          <w:rFonts w:hAnsi="宋体"/>
          <w:color w:val="auto"/>
          <w:highlight w:val="none"/>
          <w:shd w:val="clear" w:color="auto" w:fill="FFFFFF" w:themeFill="background1"/>
        </w:rPr>
      </w:pPr>
    </w:p>
    <w:p w14:paraId="292300C5">
      <w:pPr>
        <w:pStyle w:val="31"/>
        <w:snapToGrid w:val="0"/>
        <w:spacing w:before="120" w:after="120"/>
        <w:ind w:firstLine="402"/>
        <w:rPr>
          <w:rFonts w:hAnsi="宋体"/>
          <w:color w:val="auto"/>
          <w:highlight w:val="none"/>
          <w:shd w:val="clear" w:color="auto" w:fill="FFFFFF" w:themeFill="background1"/>
        </w:rPr>
      </w:pPr>
    </w:p>
    <w:p w14:paraId="2E82F353">
      <w:pPr>
        <w:pStyle w:val="31"/>
        <w:snapToGrid w:val="0"/>
        <w:spacing w:before="120" w:after="120"/>
        <w:ind w:firstLine="402"/>
        <w:rPr>
          <w:rFonts w:hAnsi="宋体"/>
          <w:color w:val="auto"/>
          <w:highlight w:val="none"/>
          <w:shd w:val="clear" w:color="auto" w:fill="FFFFFF" w:themeFill="background1"/>
        </w:rPr>
      </w:pPr>
    </w:p>
    <w:p w14:paraId="614EF95C">
      <w:pPr>
        <w:pStyle w:val="31"/>
        <w:snapToGrid w:val="0"/>
        <w:spacing w:before="120" w:after="120"/>
        <w:ind w:firstLine="402"/>
        <w:rPr>
          <w:rFonts w:hAnsi="宋体"/>
          <w:color w:val="auto"/>
          <w:highlight w:val="none"/>
          <w:shd w:val="clear" w:color="auto" w:fill="FFFFFF" w:themeFill="background1"/>
        </w:rPr>
      </w:pPr>
    </w:p>
    <w:p w14:paraId="078D1C5B">
      <w:pPr>
        <w:pStyle w:val="31"/>
        <w:snapToGrid w:val="0"/>
        <w:spacing w:before="120" w:after="120"/>
        <w:ind w:firstLine="402"/>
        <w:rPr>
          <w:rFonts w:hAnsi="宋体"/>
          <w:color w:val="auto"/>
          <w:highlight w:val="none"/>
          <w:shd w:val="clear" w:color="auto" w:fill="FFFFFF" w:themeFill="background1"/>
        </w:rPr>
      </w:pPr>
    </w:p>
    <w:p w14:paraId="79420B83">
      <w:pPr>
        <w:pStyle w:val="31"/>
        <w:snapToGrid w:val="0"/>
        <w:spacing w:before="120" w:after="120"/>
        <w:ind w:firstLine="402"/>
        <w:rPr>
          <w:rFonts w:hAnsi="宋体"/>
          <w:color w:val="auto"/>
          <w:highlight w:val="none"/>
          <w:shd w:val="clear" w:color="auto" w:fill="FFFFFF" w:themeFill="background1"/>
        </w:rPr>
      </w:pPr>
    </w:p>
    <w:p w14:paraId="7E92A20F">
      <w:pPr>
        <w:pStyle w:val="31"/>
        <w:snapToGrid w:val="0"/>
        <w:spacing w:before="120" w:after="120"/>
        <w:ind w:firstLine="402"/>
        <w:rPr>
          <w:rFonts w:hAnsi="宋体"/>
          <w:color w:val="auto"/>
          <w:highlight w:val="none"/>
          <w:shd w:val="clear" w:color="auto" w:fill="FFFFFF" w:themeFill="background1"/>
        </w:rPr>
      </w:pPr>
    </w:p>
    <w:p w14:paraId="5A8A4528">
      <w:pPr>
        <w:pStyle w:val="31"/>
        <w:snapToGrid w:val="0"/>
        <w:spacing w:before="120" w:after="120"/>
        <w:ind w:firstLine="402"/>
        <w:rPr>
          <w:rFonts w:hAnsi="宋体"/>
          <w:color w:val="auto"/>
          <w:highlight w:val="none"/>
          <w:shd w:val="clear" w:color="auto" w:fill="FFFFFF" w:themeFill="background1"/>
        </w:rPr>
      </w:pPr>
    </w:p>
    <w:p w14:paraId="464F19DD">
      <w:pPr>
        <w:pStyle w:val="31"/>
        <w:snapToGrid w:val="0"/>
        <w:spacing w:before="120" w:after="120"/>
        <w:ind w:firstLine="402"/>
        <w:rPr>
          <w:rFonts w:hAnsi="宋体"/>
          <w:color w:val="auto"/>
          <w:highlight w:val="none"/>
          <w:shd w:val="clear" w:color="auto" w:fill="FFFFFF" w:themeFill="background1"/>
        </w:rPr>
      </w:pPr>
    </w:p>
    <w:p w14:paraId="1306A329">
      <w:pPr>
        <w:pStyle w:val="31"/>
        <w:snapToGrid w:val="0"/>
        <w:spacing w:before="120" w:after="120"/>
        <w:ind w:firstLine="402"/>
        <w:rPr>
          <w:rFonts w:hAnsi="宋体"/>
          <w:color w:val="auto"/>
          <w:highlight w:val="none"/>
          <w:shd w:val="clear" w:color="auto" w:fill="FFFFFF" w:themeFill="background1"/>
        </w:rPr>
      </w:pPr>
    </w:p>
    <w:p w14:paraId="1066E144">
      <w:pPr>
        <w:pStyle w:val="31"/>
        <w:snapToGrid w:val="0"/>
        <w:spacing w:before="120" w:after="120"/>
        <w:ind w:firstLine="402"/>
        <w:rPr>
          <w:rFonts w:hAnsi="宋体"/>
          <w:color w:val="auto"/>
          <w:highlight w:val="none"/>
          <w:shd w:val="clear" w:color="auto" w:fill="FFFFFF" w:themeFill="background1"/>
        </w:rPr>
      </w:pPr>
    </w:p>
    <w:p w14:paraId="75F8AE2C">
      <w:pPr>
        <w:pStyle w:val="31"/>
        <w:snapToGrid w:val="0"/>
        <w:spacing w:before="120" w:after="120"/>
        <w:ind w:firstLine="402"/>
        <w:rPr>
          <w:rFonts w:hAnsi="宋体"/>
          <w:color w:val="auto"/>
          <w:highlight w:val="none"/>
          <w:shd w:val="clear" w:color="auto" w:fill="FFFFFF" w:themeFill="background1"/>
        </w:rPr>
      </w:pPr>
    </w:p>
    <w:p w14:paraId="4BA4F4E6">
      <w:pPr>
        <w:pStyle w:val="31"/>
        <w:snapToGrid w:val="0"/>
        <w:spacing w:before="120" w:after="120"/>
        <w:ind w:firstLine="402"/>
        <w:rPr>
          <w:rFonts w:hAnsi="宋体"/>
          <w:color w:val="auto"/>
          <w:highlight w:val="none"/>
          <w:shd w:val="clear" w:color="auto" w:fill="FFFFFF" w:themeFill="background1"/>
        </w:rPr>
      </w:pPr>
    </w:p>
    <w:p w14:paraId="7123C8AD">
      <w:pPr>
        <w:pStyle w:val="31"/>
        <w:snapToGrid w:val="0"/>
        <w:spacing w:before="120" w:after="120"/>
        <w:ind w:firstLine="402"/>
        <w:rPr>
          <w:rFonts w:hAnsi="宋体"/>
          <w:color w:val="auto"/>
          <w:highlight w:val="none"/>
          <w:shd w:val="clear" w:color="auto" w:fill="FFFFFF" w:themeFill="background1"/>
        </w:rPr>
      </w:pPr>
    </w:p>
    <w:p w14:paraId="43345D24">
      <w:pPr>
        <w:pStyle w:val="31"/>
        <w:snapToGrid w:val="0"/>
        <w:spacing w:before="120" w:after="120"/>
        <w:ind w:firstLine="402"/>
        <w:rPr>
          <w:rFonts w:hAnsi="宋体"/>
          <w:color w:val="auto"/>
          <w:highlight w:val="none"/>
          <w:shd w:val="clear" w:color="auto" w:fill="FFFFFF" w:themeFill="background1"/>
        </w:rPr>
      </w:pPr>
    </w:p>
    <w:p w14:paraId="47B0BC22">
      <w:pPr>
        <w:pStyle w:val="31"/>
        <w:snapToGrid w:val="0"/>
        <w:spacing w:before="120" w:after="120"/>
        <w:ind w:firstLine="402"/>
        <w:rPr>
          <w:rFonts w:hAnsi="宋体"/>
          <w:color w:val="auto"/>
          <w:highlight w:val="none"/>
          <w:shd w:val="clear" w:color="auto" w:fill="FFFFFF" w:themeFill="background1"/>
        </w:rPr>
      </w:pPr>
    </w:p>
    <w:p w14:paraId="519B0C6C">
      <w:pPr>
        <w:pStyle w:val="31"/>
        <w:snapToGrid w:val="0"/>
        <w:spacing w:before="120" w:after="120"/>
        <w:ind w:firstLine="402"/>
        <w:rPr>
          <w:rFonts w:hAnsi="宋体"/>
          <w:color w:val="auto"/>
          <w:highlight w:val="none"/>
          <w:shd w:val="clear" w:color="auto" w:fill="FFFFFF" w:themeFill="background1"/>
        </w:rPr>
      </w:pPr>
    </w:p>
    <w:p w14:paraId="4B8F6F57">
      <w:pPr>
        <w:pStyle w:val="31"/>
        <w:snapToGrid w:val="0"/>
        <w:spacing w:before="120" w:after="120"/>
        <w:ind w:firstLine="402"/>
        <w:rPr>
          <w:rFonts w:hAnsi="宋体"/>
          <w:color w:val="auto"/>
          <w:highlight w:val="none"/>
          <w:shd w:val="clear" w:color="auto" w:fill="FFFFFF" w:themeFill="background1"/>
        </w:rPr>
      </w:pPr>
    </w:p>
    <w:p w14:paraId="55F5CC41">
      <w:pPr>
        <w:pStyle w:val="31"/>
        <w:snapToGrid w:val="0"/>
        <w:spacing w:before="120" w:after="120"/>
        <w:ind w:firstLine="402"/>
        <w:rPr>
          <w:rFonts w:hAnsi="宋体"/>
          <w:color w:val="auto"/>
          <w:highlight w:val="none"/>
          <w:shd w:val="clear" w:color="auto" w:fill="FFFFFF" w:themeFill="background1"/>
        </w:rPr>
      </w:pPr>
    </w:p>
    <w:p w14:paraId="329A961C">
      <w:pPr>
        <w:pStyle w:val="3"/>
        <w:ind w:firstLine="883"/>
        <w:jc w:val="center"/>
        <w:rPr>
          <w:color w:val="auto"/>
          <w:highlight w:val="none"/>
          <w:shd w:val="clear" w:color="auto" w:fill="FFFFFF" w:themeFill="background1"/>
        </w:rPr>
      </w:pPr>
      <w:bookmarkStart w:id="124" w:name="_Toc254970548"/>
      <w:bookmarkStart w:id="125" w:name="_Toc330456896"/>
      <w:bookmarkStart w:id="126" w:name="_Toc254970689"/>
      <w:bookmarkStart w:id="127" w:name="_Toc158033873"/>
      <w:r>
        <w:rPr>
          <w:rFonts w:hint="eastAsia"/>
          <w:color w:val="auto"/>
          <w:highlight w:val="none"/>
          <w:shd w:val="clear" w:color="auto" w:fill="FFFFFF" w:themeFill="background1"/>
        </w:rPr>
        <w:t>第四章评标方法及评标标准</w:t>
      </w:r>
      <w:bookmarkEnd w:id="124"/>
      <w:bookmarkEnd w:id="125"/>
      <w:bookmarkEnd w:id="126"/>
      <w:bookmarkEnd w:id="127"/>
    </w:p>
    <w:p w14:paraId="2024A8CB">
      <w:pPr>
        <w:ind w:firstLine="422"/>
        <w:rPr>
          <w:color w:val="auto"/>
          <w:highlight w:val="none"/>
          <w:shd w:val="clear" w:color="auto" w:fill="FFFFFF" w:themeFill="background1"/>
        </w:rPr>
      </w:pPr>
      <w:bookmarkStart w:id="128" w:name="_Toc254970549"/>
      <w:bookmarkStart w:id="129" w:name="_Toc254970690"/>
    </w:p>
    <w:bookmarkEnd w:id="128"/>
    <w:bookmarkEnd w:id="129"/>
    <w:p w14:paraId="07113F97">
      <w:pPr>
        <w:ind w:firstLine="422"/>
        <w:rPr>
          <w:color w:val="auto"/>
          <w:highlight w:val="none"/>
          <w:shd w:val="clear" w:color="auto" w:fill="FFFFFF" w:themeFill="background1"/>
        </w:rPr>
      </w:pPr>
    </w:p>
    <w:p w14:paraId="2C3CF9AA">
      <w:pPr>
        <w:ind w:firstLine="422"/>
        <w:rPr>
          <w:color w:val="auto"/>
          <w:highlight w:val="none"/>
          <w:shd w:val="clear" w:color="auto" w:fill="FFFFFF" w:themeFill="background1"/>
        </w:rPr>
      </w:pPr>
    </w:p>
    <w:p w14:paraId="00F1DF1E">
      <w:pPr>
        <w:ind w:firstLine="422"/>
        <w:rPr>
          <w:color w:val="auto"/>
          <w:highlight w:val="none"/>
          <w:shd w:val="clear" w:color="auto" w:fill="FFFFFF" w:themeFill="background1"/>
        </w:rPr>
      </w:pPr>
    </w:p>
    <w:p w14:paraId="74983A34">
      <w:pPr>
        <w:ind w:firstLine="422"/>
        <w:rPr>
          <w:color w:val="auto"/>
          <w:highlight w:val="none"/>
          <w:shd w:val="clear" w:color="auto" w:fill="FFFFFF" w:themeFill="background1"/>
        </w:rPr>
      </w:pPr>
    </w:p>
    <w:p w14:paraId="43172FD3">
      <w:pPr>
        <w:ind w:firstLine="422"/>
        <w:rPr>
          <w:color w:val="auto"/>
          <w:highlight w:val="none"/>
          <w:shd w:val="clear" w:color="auto" w:fill="FFFFFF" w:themeFill="background1"/>
        </w:rPr>
      </w:pPr>
    </w:p>
    <w:p w14:paraId="5ADFEF09">
      <w:pPr>
        <w:ind w:firstLine="422"/>
        <w:rPr>
          <w:color w:val="auto"/>
          <w:highlight w:val="none"/>
          <w:shd w:val="clear" w:color="auto" w:fill="FFFFFF" w:themeFill="background1"/>
        </w:rPr>
      </w:pPr>
    </w:p>
    <w:p w14:paraId="5023C3AE">
      <w:pPr>
        <w:ind w:firstLine="422"/>
        <w:rPr>
          <w:color w:val="auto"/>
          <w:highlight w:val="none"/>
          <w:shd w:val="clear" w:color="auto" w:fill="FFFFFF" w:themeFill="background1"/>
        </w:rPr>
      </w:pPr>
    </w:p>
    <w:p w14:paraId="18EEC72A">
      <w:pPr>
        <w:ind w:firstLine="422"/>
        <w:rPr>
          <w:color w:val="auto"/>
          <w:highlight w:val="none"/>
          <w:shd w:val="clear" w:color="auto" w:fill="FFFFFF" w:themeFill="background1"/>
        </w:rPr>
      </w:pPr>
    </w:p>
    <w:p w14:paraId="237C823D">
      <w:pPr>
        <w:spacing w:beforeLines="50" w:afterLines="50" w:line="400" w:lineRule="exact"/>
        <w:ind w:firstLine="480"/>
        <w:rPr>
          <w:rFonts w:ascii="宋体" w:hAnsi="宋体"/>
          <w:b/>
          <w:color w:val="auto"/>
          <w:sz w:val="24"/>
          <w:highlight w:val="none"/>
          <w:shd w:val="clear" w:color="auto" w:fill="FFFFFF" w:themeFill="background1"/>
        </w:rPr>
      </w:pPr>
    </w:p>
    <w:p w14:paraId="4D5A4364">
      <w:pPr>
        <w:spacing w:beforeLines="50" w:afterLines="50" w:line="400" w:lineRule="exact"/>
        <w:ind w:firstLine="480"/>
        <w:rPr>
          <w:rFonts w:ascii="宋体" w:hAnsi="宋体"/>
          <w:b/>
          <w:color w:val="auto"/>
          <w:sz w:val="24"/>
          <w:highlight w:val="none"/>
          <w:shd w:val="clear" w:color="auto" w:fill="FFFFFF" w:themeFill="background1"/>
        </w:rPr>
      </w:pPr>
    </w:p>
    <w:p w14:paraId="50E392FF">
      <w:pPr>
        <w:pStyle w:val="31"/>
        <w:spacing w:line="360" w:lineRule="exact"/>
        <w:ind w:firstLine="480"/>
        <w:rPr>
          <w:rFonts w:hAnsi="宋体"/>
          <w:b/>
          <w:color w:val="auto"/>
          <w:sz w:val="24"/>
          <w:highlight w:val="none"/>
          <w:shd w:val="clear" w:color="auto" w:fill="FFFFFF" w:themeFill="background1"/>
        </w:rPr>
      </w:pPr>
    </w:p>
    <w:p w14:paraId="3CC30BEA">
      <w:pPr>
        <w:pStyle w:val="31"/>
        <w:spacing w:line="360" w:lineRule="exact"/>
        <w:ind w:firstLine="480"/>
        <w:rPr>
          <w:rFonts w:hAnsi="宋体"/>
          <w:b/>
          <w:color w:val="auto"/>
          <w:sz w:val="24"/>
          <w:highlight w:val="none"/>
          <w:shd w:val="clear" w:color="auto" w:fill="FFFFFF" w:themeFill="background1"/>
        </w:rPr>
      </w:pPr>
    </w:p>
    <w:p w14:paraId="0A8CEE71">
      <w:pPr>
        <w:pStyle w:val="31"/>
        <w:spacing w:line="360" w:lineRule="exact"/>
        <w:ind w:firstLine="480"/>
        <w:rPr>
          <w:rFonts w:hAnsi="宋体"/>
          <w:b/>
          <w:color w:val="auto"/>
          <w:sz w:val="24"/>
          <w:highlight w:val="none"/>
          <w:shd w:val="clear" w:color="auto" w:fill="FFFFFF" w:themeFill="background1"/>
        </w:rPr>
      </w:pPr>
    </w:p>
    <w:p w14:paraId="59047338">
      <w:pPr>
        <w:pStyle w:val="31"/>
        <w:spacing w:line="360" w:lineRule="exact"/>
        <w:ind w:firstLine="480"/>
        <w:rPr>
          <w:rFonts w:hAnsi="宋体"/>
          <w:b/>
          <w:color w:val="auto"/>
          <w:sz w:val="24"/>
          <w:highlight w:val="none"/>
          <w:shd w:val="clear" w:color="auto" w:fill="FFFFFF" w:themeFill="background1"/>
        </w:rPr>
      </w:pPr>
    </w:p>
    <w:p w14:paraId="4CEF4200">
      <w:pPr>
        <w:pStyle w:val="31"/>
        <w:spacing w:line="360" w:lineRule="exact"/>
        <w:ind w:firstLine="480"/>
        <w:rPr>
          <w:rFonts w:hAnsi="宋体"/>
          <w:b/>
          <w:color w:val="auto"/>
          <w:sz w:val="24"/>
          <w:highlight w:val="none"/>
          <w:shd w:val="clear" w:color="auto" w:fill="FFFFFF" w:themeFill="background1"/>
        </w:rPr>
      </w:pPr>
    </w:p>
    <w:p w14:paraId="28B88A09">
      <w:pPr>
        <w:pStyle w:val="31"/>
        <w:spacing w:line="360" w:lineRule="exact"/>
        <w:ind w:firstLine="480"/>
        <w:rPr>
          <w:rFonts w:hAnsi="宋体"/>
          <w:b/>
          <w:color w:val="auto"/>
          <w:sz w:val="24"/>
          <w:highlight w:val="none"/>
          <w:shd w:val="clear" w:color="auto" w:fill="FFFFFF" w:themeFill="background1"/>
        </w:rPr>
      </w:pPr>
    </w:p>
    <w:p w14:paraId="3EF5DF42">
      <w:pPr>
        <w:pStyle w:val="31"/>
        <w:spacing w:line="360" w:lineRule="exact"/>
        <w:ind w:firstLine="480"/>
        <w:rPr>
          <w:rFonts w:hAnsi="宋体"/>
          <w:b/>
          <w:color w:val="auto"/>
          <w:sz w:val="24"/>
          <w:highlight w:val="none"/>
          <w:shd w:val="clear" w:color="auto" w:fill="FFFFFF" w:themeFill="background1"/>
        </w:rPr>
      </w:pPr>
    </w:p>
    <w:p w14:paraId="602DAD45">
      <w:pPr>
        <w:pStyle w:val="31"/>
        <w:spacing w:line="360" w:lineRule="exact"/>
        <w:ind w:firstLine="402"/>
        <w:rPr>
          <w:rFonts w:hAnsi="宋体"/>
          <w:bCs/>
          <w:color w:val="auto"/>
          <w:highlight w:val="none"/>
          <w:shd w:val="clear" w:color="auto" w:fill="FFFFFF" w:themeFill="background1"/>
        </w:rPr>
      </w:pPr>
    </w:p>
    <w:p w14:paraId="7750EC6D">
      <w:pPr>
        <w:pStyle w:val="5"/>
        <w:keepNext w:val="0"/>
        <w:keepLines w:val="0"/>
        <w:ind w:firstLine="643"/>
        <w:jc w:val="center"/>
        <w:rPr>
          <w:color w:val="auto"/>
          <w:highlight w:val="none"/>
          <w:shd w:val="clear" w:color="auto" w:fill="FFFFFF" w:themeFill="background1"/>
        </w:rPr>
      </w:pPr>
      <w:r>
        <w:rPr>
          <w:rFonts w:hint="eastAsia"/>
          <w:color w:val="auto"/>
          <w:highlight w:val="none"/>
          <w:shd w:val="clear" w:color="auto" w:fill="FFFFFF" w:themeFill="background1"/>
        </w:rPr>
        <w:t>一、评标方法</w:t>
      </w:r>
    </w:p>
    <w:p w14:paraId="0FCE8A64">
      <w:pPr>
        <w:pStyle w:val="31"/>
        <w:spacing w:line="360" w:lineRule="auto"/>
        <w:ind w:firstLine="422"/>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综合评分法，是指投标文件满足招标文件全部实质性要求，且按照评审因素的量化指标评审得分最高的投标人为中标候选人的评标方法。</w:t>
      </w:r>
    </w:p>
    <w:p w14:paraId="244DE609">
      <w:pPr>
        <w:pStyle w:val="5"/>
        <w:keepNext w:val="0"/>
        <w:keepLines w:val="0"/>
        <w:ind w:firstLine="643"/>
        <w:jc w:val="center"/>
        <w:rPr>
          <w:color w:val="auto"/>
          <w:highlight w:val="none"/>
          <w:shd w:val="clear" w:color="auto" w:fill="FFFFFF" w:themeFill="background1"/>
        </w:rPr>
      </w:pPr>
      <w:r>
        <w:rPr>
          <w:rFonts w:hint="eastAsia"/>
          <w:color w:val="auto"/>
          <w:highlight w:val="none"/>
          <w:shd w:val="clear" w:color="auto" w:fill="FFFFFF" w:themeFill="background1"/>
        </w:rPr>
        <w:t>二、评标程序</w:t>
      </w:r>
    </w:p>
    <w:p w14:paraId="5772A5F0">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hint="eastAsia" w:ascii="宋体" w:hAnsi="宋体"/>
          <w:color w:val="auto"/>
          <w:sz w:val="21"/>
          <w:szCs w:val="21"/>
          <w:highlight w:val="none"/>
          <w:shd w:val="clear" w:color="auto" w:fill="FFFFFF" w:themeFill="background1"/>
        </w:rPr>
        <w:t>1.符合性审查</w:t>
      </w:r>
    </w:p>
    <w:p w14:paraId="0FBFDACD">
      <w:pPr>
        <w:pStyle w:val="31"/>
        <w:snapToGrid w:val="0"/>
        <w:spacing w:line="360" w:lineRule="auto"/>
        <w:ind w:left="1" w:firstLine="422"/>
        <w:rPr>
          <w:rFonts w:hAnsi="宋体"/>
          <w:b/>
          <w:color w:val="auto"/>
          <w:kern w:val="2"/>
          <w:sz w:val="21"/>
          <w:highlight w:val="none"/>
          <w:shd w:val="clear" w:color="auto" w:fill="FFFFFF" w:themeFill="background1"/>
        </w:rPr>
      </w:pPr>
      <w:r>
        <w:rPr>
          <w:rFonts w:hint="eastAsia" w:hAnsi="宋体"/>
          <w:b/>
          <w:color w:val="auto"/>
          <w:kern w:val="2"/>
          <w:sz w:val="21"/>
          <w:highlight w:val="none"/>
          <w:shd w:val="clear" w:color="auto" w:fill="FFFFFF" w:themeFill="background1"/>
        </w:rPr>
        <w:t>评标委员会应当对符合资格的投标人的投标文件进行投标报价、商务、技术等实质性内容符合性审查，以确定其是否满足招标文件的实质性要求。</w:t>
      </w:r>
    </w:p>
    <w:p w14:paraId="1CBF831A">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hint="eastAsia" w:ascii="宋体" w:hAnsi="宋体"/>
          <w:color w:val="auto"/>
          <w:sz w:val="21"/>
          <w:szCs w:val="21"/>
          <w:highlight w:val="none"/>
          <w:shd w:val="clear" w:color="auto" w:fill="FFFFFF" w:themeFill="background1"/>
        </w:rPr>
        <w:t>2</w:t>
      </w:r>
      <w:r>
        <w:rPr>
          <w:rFonts w:ascii="宋体" w:hAnsi="宋体"/>
          <w:color w:val="auto"/>
          <w:sz w:val="21"/>
          <w:szCs w:val="21"/>
          <w:highlight w:val="none"/>
          <w:shd w:val="clear" w:color="auto" w:fill="FFFFFF" w:themeFill="background1"/>
        </w:rPr>
        <w:t>.</w:t>
      </w:r>
      <w:r>
        <w:rPr>
          <w:rFonts w:hint="eastAsia" w:ascii="宋体" w:hAnsi="宋体"/>
          <w:color w:val="auto"/>
          <w:sz w:val="21"/>
          <w:szCs w:val="21"/>
          <w:highlight w:val="none"/>
          <w:shd w:val="clear" w:color="auto" w:fill="FFFFFF" w:themeFill="background1"/>
        </w:rPr>
        <w:t>符合性审查不通过而导致投标无效的情形</w:t>
      </w:r>
    </w:p>
    <w:p w14:paraId="4967CB9C">
      <w:p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投标人的投标文件中存在对招标文件的任何实质性要求和条件的负偏离，将被视为投标无效。</w:t>
      </w:r>
    </w:p>
    <w:p w14:paraId="4AA06B82">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hint="eastAsia" w:ascii="宋体" w:hAnsi="宋体"/>
          <w:color w:val="auto"/>
          <w:sz w:val="21"/>
          <w:szCs w:val="21"/>
          <w:highlight w:val="none"/>
          <w:shd w:val="clear" w:color="auto" w:fill="FFFFFF" w:themeFill="background1"/>
        </w:rPr>
        <w:t>2.1在报价评审时，如发现下列情形之一的，将被视为投标无效：</w:t>
      </w:r>
    </w:p>
    <w:p w14:paraId="772B6B77">
      <w:pPr>
        <w:pStyle w:val="8"/>
        <w:numPr>
          <w:ilvl w:val="0"/>
          <w:numId w:val="24"/>
        </w:numPr>
        <w:spacing w:line="360" w:lineRule="auto"/>
        <w:ind w:firstLine="398" w:firstLineChars="200"/>
        <w:rPr>
          <w:rFonts w:ascii="宋体" w:hAnsi="宋体"/>
          <w:b/>
          <w:color w:val="auto"/>
          <w:spacing w:val="-6"/>
          <w:szCs w:val="21"/>
          <w:highlight w:val="none"/>
          <w:shd w:val="clear" w:color="auto" w:fill="FFFFFF" w:themeFill="background1"/>
        </w:rPr>
      </w:pPr>
      <w:r>
        <w:rPr>
          <w:rFonts w:hint="eastAsia" w:ascii="宋体" w:hAnsi="宋体"/>
          <w:b/>
          <w:color w:val="auto"/>
          <w:spacing w:val="-6"/>
          <w:szCs w:val="21"/>
          <w:highlight w:val="none"/>
          <w:shd w:val="clear" w:color="auto" w:fill="FFFFFF" w:themeFill="background1"/>
        </w:rPr>
        <w:t>报价文件未提供“投标人须知前附表”第13.1条规定中“必须提供”的文件资料的；</w:t>
      </w:r>
    </w:p>
    <w:p w14:paraId="6F24B89D">
      <w:pPr>
        <w:pStyle w:val="8"/>
        <w:numPr>
          <w:ilvl w:val="0"/>
          <w:numId w:val="24"/>
        </w:numPr>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未采用人民币报价或者未按照招标文件标明的币种报价的；</w:t>
      </w:r>
    </w:p>
    <w:p w14:paraId="6675E203">
      <w:pPr>
        <w:pStyle w:val="8"/>
        <w:numPr>
          <w:ilvl w:val="0"/>
          <w:numId w:val="24"/>
        </w:numPr>
        <w:spacing w:line="360" w:lineRule="auto"/>
        <w:ind w:left="-2" w:firstLine="398"/>
        <w:rPr>
          <w:rFonts w:ascii="宋体" w:hAnsi="宋体"/>
          <w:b/>
          <w:color w:val="auto"/>
          <w:spacing w:val="-6"/>
          <w:szCs w:val="21"/>
          <w:highlight w:val="none"/>
          <w:shd w:val="clear" w:color="auto" w:fill="FFFFFF" w:themeFill="background1"/>
        </w:rPr>
      </w:pPr>
      <w:r>
        <w:rPr>
          <w:rFonts w:hint="eastAsia" w:ascii="宋体" w:hAnsi="宋体"/>
          <w:b/>
          <w:color w:val="auto"/>
          <w:spacing w:val="-6"/>
          <w:szCs w:val="21"/>
          <w:highlight w:val="none"/>
          <w:shd w:val="clear" w:color="auto" w:fill="FFFFFF" w:themeFill="background1"/>
        </w:rPr>
        <w:t>各分标报价超出招标文件相应分标规定最高限价，或者超出相应分标采购预算金额的；</w:t>
      </w:r>
    </w:p>
    <w:p w14:paraId="075B1213">
      <w:pPr>
        <w:pStyle w:val="8"/>
        <w:numPr>
          <w:ilvl w:val="0"/>
          <w:numId w:val="24"/>
        </w:numPr>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E5A25DA">
      <w:pPr>
        <w:pStyle w:val="8"/>
        <w:numPr>
          <w:ilvl w:val="0"/>
          <w:numId w:val="24"/>
        </w:numPr>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修正后的报价，投标人不确认的；</w:t>
      </w:r>
    </w:p>
    <w:p w14:paraId="60927334">
      <w:pPr>
        <w:pStyle w:val="8"/>
        <w:numPr>
          <w:ilvl w:val="0"/>
          <w:numId w:val="24"/>
        </w:numPr>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投标人属于本章第</w:t>
      </w:r>
      <w:r>
        <w:rPr>
          <w:rFonts w:ascii="宋体" w:hAnsi="宋体"/>
          <w:b/>
          <w:color w:val="auto"/>
          <w:szCs w:val="21"/>
          <w:highlight w:val="none"/>
          <w:shd w:val="clear" w:color="auto" w:fill="FFFFFF" w:themeFill="background1"/>
        </w:rPr>
        <w:t>5.1</w:t>
      </w:r>
      <w:r>
        <w:rPr>
          <w:rFonts w:hint="eastAsia" w:ascii="宋体" w:hAnsi="宋体"/>
          <w:b/>
          <w:color w:val="auto"/>
          <w:szCs w:val="21"/>
          <w:highlight w:val="none"/>
          <w:shd w:val="clear" w:color="auto" w:fill="FFFFFF" w:themeFill="background1"/>
        </w:rPr>
        <w:t>条（2）或者第5</w:t>
      </w:r>
      <w:r>
        <w:rPr>
          <w:rFonts w:ascii="宋体" w:hAnsi="宋体"/>
          <w:b/>
          <w:color w:val="auto"/>
          <w:szCs w:val="21"/>
          <w:highlight w:val="none"/>
          <w:shd w:val="clear" w:color="auto" w:fill="FFFFFF" w:themeFill="background1"/>
        </w:rPr>
        <w:t>.2条</w:t>
      </w:r>
      <w:r>
        <w:rPr>
          <w:rFonts w:hint="eastAsia" w:ascii="宋体" w:hAnsi="宋体"/>
          <w:b/>
          <w:color w:val="auto"/>
          <w:szCs w:val="21"/>
          <w:highlight w:val="none"/>
          <w:shd w:val="clear" w:color="auto" w:fill="FFFFFF" w:themeFill="background1"/>
        </w:rPr>
        <w:t>（2）项情形的。</w:t>
      </w:r>
    </w:p>
    <w:p w14:paraId="3679AC18">
      <w:pPr>
        <w:pStyle w:val="8"/>
        <w:numPr>
          <w:ilvl w:val="0"/>
          <w:numId w:val="24"/>
        </w:numPr>
        <w:spacing w:line="360" w:lineRule="auto"/>
        <w:ind w:firstLine="398" w:firstLineChars="200"/>
        <w:rPr>
          <w:rFonts w:ascii="宋体" w:hAnsi="宋体"/>
          <w:b/>
          <w:color w:val="auto"/>
          <w:szCs w:val="21"/>
          <w:highlight w:val="none"/>
          <w:shd w:val="clear" w:color="auto" w:fill="FFFFFF" w:themeFill="background1"/>
        </w:rPr>
      </w:pPr>
      <w:r>
        <w:rPr>
          <w:rFonts w:hint="eastAsia" w:ascii="宋体" w:hAnsi="宋体"/>
          <w:b/>
          <w:color w:val="auto"/>
          <w:spacing w:val="-6"/>
          <w:szCs w:val="21"/>
          <w:highlight w:val="none"/>
          <w:shd w:val="clear" w:color="auto" w:fill="FFFFFF" w:themeFill="background1"/>
        </w:rPr>
        <w:t>报价文件</w:t>
      </w:r>
      <w:r>
        <w:rPr>
          <w:rFonts w:hint="eastAsia" w:ascii="宋体" w:hAnsi="宋体"/>
          <w:b/>
          <w:color w:val="auto"/>
          <w:szCs w:val="21"/>
          <w:highlight w:val="none"/>
          <w:shd w:val="clear" w:color="auto" w:fill="FFFFFF" w:themeFill="background1"/>
        </w:rPr>
        <w:t>响应的标的数量及单位与招标文件要求实质性不一致的。</w:t>
      </w:r>
    </w:p>
    <w:p w14:paraId="40FBAD56">
      <w:pPr>
        <w:pStyle w:val="7"/>
        <w:keepNext w:val="0"/>
        <w:keepLines w:val="0"/>
        <w:numPr>
          <w:ilvl w:val="4"/>
          <w:numId w:val="25"/>
        </w:numPr>
        <w:spacing w:before="0" w:after="0" w:line="360" w:lineRule="auto"/>
        <w:ind w:left="420" w:leftChars="200" w:firstLine="422"/>
        <w:rPr>
          <w:rFonts w:ascii="宋体" w:hAnsi="宋体"/>
          <w:color w:val="auto"/>
          <w:sz w:val="21"/>
          <w:szCs w:val="21"/>
          <w:highlight w:val="none"/>
          <w:shd w:val="clear" w:color="auto" w:fill="FFFFFF" w:themeFill="background1"/>
        </w:rPr>
      </w:pPr>
      <w:r>
        <w:rPr>
          <w:rFonts w:hint="eastAsia" w:ascii="宋体" w:hAnsi="宋体"/>
          <w:color w:val="auto"/>
          <w:sz w:val="21"/>
          <w:szCs w:val="21"/>
          <w:highlight w:val="none"/>
          <w:shd w:val="clear" w:color="auto" w:fill="FFFFFF" w:themeFill="background1"/>
        </w:rPr>
        <w:t>2.2在商务及技术评审时，如发现下列情形之一的，将被视为投标无效：</w:t>
      </w:r>
    </w:p>
    <w:p w14:paraId="61D521C3">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投标文件未按招标文件要求签署、盖章的；</w:t>
      </w:r>
    </w:p>
    <w:p w14:paraId="3DB6E867">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 xml:space="preserve">委托代理人未能出具有效身份证或者出具的身份证与授权委托书中的信息不符的； </w:t>
      </w:r>
    </w:p>
    <w:p w14:paraId="3D3954AD">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为无效投标保证金的或者未按照招标文件的规定提交投标保证金的；</w:t>
      </w:r>
    </w:p>
    <w:p w14:paraId="7614F4DF">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投标文件未提供“投标人须知前附表”第13条“商务及技术文件”规定中“必须提供”或者“委托时必须提供”的文件资料的；</w:t>
      </w:r>
    </w:p>
    <w:p w14:paraId="31AE2028">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商务要求评审允许负偏离的条款数超过“投标人须知前附表”规定项数的；</w:t>
      </w:r>
    </w:p>
    <w:p w14:paraId="2D494BE8">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投标文件的实质性内容未使用中文表述、使用计量单位不符合招标文件要求的；</w:t>
      </w:r>
    </w:p>
    <w:p w14:paraId="57F704B2">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投标文件中的文件资料因填写不齐全或者内容虚假或者出现其他情形而导致被评标委员会认定无效的；</w:t>
      </w:r>
    </w:p>
    <w:p w14:paraId="179D332B">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投标文件含有采购人不能接受的附加条件的；</w:t>
      </w:r>
    </w:p>
    <w:p w14:paraId="49E14FD1">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属于投标人须知正文第9.2条情形的；</w:t>
      </w:r>
    </w:p>
    <w:p w14:paraId="7046B5D6">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投标文件标注的项目名称或者项目编号与招标文件标注的项目名称或者项目编号不一致的；</w:t>
      </w:r>
    </w:p>
    <w:p w14:paraId="090ABA45">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投标文件中承诺的投标有效期低于招标文件要求的期限的；</w:t>
      </w:r>
    </w:p>
    <w:p w14:paraId="611D98E3">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虚假投标，或者出现其他情形而导致被评标委员会认定无效的；</w:t>
      </w:r>
    </w:p>
    <w:p w14:paraId="2D135574">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招标文件未载明允许提供备选（替代）投标方案或明确不允许提供备选（替代）投标方案时，投标人提供了备选（替代）投标方案的；</w:t>
      </w:r>
    </w:p>
    <w:p w14:paraId="5E96DAC9">
      <w:pPr>
        <w:numPr>
          <w:ilvl w:val="0"/>
          <w:numId w:val="26"/>
        </w:numPr>
        <w:snapToGrid w:val="0"/>
        <w:spacing w:line="360" w:lineRule="auto"/>
        <w:ind w:firstLine="422" w:firstLineChars="200"/>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未响应招标文件实质性要求的。</w:t>
      </w:r>
    </w:p>
    <w:p w14:paraId="62024E77">
      <w:pPr>
        <w:pStyle w:val="24"/>
        <w:snapToGrid w:val="0"/>
        <w:spacing w:line="360" w:lineRule="auto"/>
        <w:ind w:firstLine="413" w:firstLineChars="196"/>
        <w:rPr>
          <w:rFonts w:ascii="宋体" w:hAnsi="宋体" w:eastAsia="宋体"/>
          <w:b/>
          <w:color w:val="auto"/>
          <w:kern w:val="2"/>
          <w:sz w:val="21"/>
          <w:szCs w:val="21"/>
          <w:highlight w:val="none"/>
          <w:shd w:val="clear" w:color="auto" w:fill="FFFFFF" w:themeFill="background1"/>
        </w:rPr>
      </w:pPr>
      <w:r>
        <w:rPr>
          <w:rFonts w:hint="eastAsia" w:ascii="宋体" w:hAnsi="宋体" w:eastAsia="宋体"/>
          <w:b/>
          <w:color w:val="auto"/>
          <w:kern w:val="2"/>
          <w:sz w:val="21"/>
          <w:szCs w:val="21"/>
          <w:highlight w:val="none"/>
          <w:shd w:val="clear" w:color="auto" w:fill="FFFFFF" w:themeFill="background1"/>
        </w:rPr>
        <w:t>（1</w:t>
      </w:r>
      <w:r>
        <w:rPr>
          <w:rFonts w:ascii="宋体" w:hAnsi="宋体" w:eastAsia="宋体"/>
          <w:b/>
          <w:color w:val="auto"/>
          <w:kern w:val="2"/>
          <w:sz w:val="21"/>
          <w:szCs w:val="21"/>
          <w:highlight w:val="none"/>
          <w:shd w:val="clear" w:color="auto" w:fill="FFFFFF" w:themeFill="background1"/>
        </w:rPr>
        <w:t>5</w:t>
      </w:r>
      <w:r>
        <w:rPr>
          <w:rFonts w:hint="eastAsia" w:ascii="宋体" w:hAnsi="宋体" w:eastAsia="宋体"/>
          <w:b/>
          <w:color w:val="auto"/>
          <w:kern w:val="2"/>
          <w:sz w:val="21"/>
          <w:szCs w:val="21"/>
          <w:highlight w:val="none"/>
          <w:shd w:val="clear" w:color="auto" w:fill="FFFFFF" w:themeFill="background1"/>
        </w:rPr>
        <w:t>）法律、法规和招标文件规定的其他无效情形。</w:t>
      </w:r>
    </w:p>
    <w:p w14:paraId="7CA52F70">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hint="eastAsia" w:ascii="宋体" w:hAnsi="宋体"/>
          <w:color w:val="auto"/>
          <w:sz w:val="21"/>
          <w:szCs w:val="21"/>
          <w:highlight w:val="none"/>
          <w:shd w:val="clear" w:color="auto" w:fill="FFFFFF" w:themeFill="background1"/>
        </w:rPr>
        <w:t>3</w:t>
      </w:r>
      <w:r>
        <w:rPr>
          <w:rFonts w:ascii="宋体" w:hAnsi="宋体"/>
          <w:color w:val="auto"/>
          <w:sz w:val="21"/>
          <w:szCs w:val="21"/>
          <w:highlight w:val="none"/>
          <w:shd w:val="clear" w:color="auto" w:fill="FFFFFF" w:themeFill="background1"/>
        </w:rPr>
        <w:t>.</w:t>
      </w:r>
      <w:r>
        <w:rPr>
          <w:rFonts w:hint="eastAsia" w:ascii="宋体" w:hAnsi="宋体"/>
          <w:color w:val="auto"/>
          <w:sz w:val="21"/>
          <w:szCs w:val="21"/>
          <w:highlight w:val="none"/>
          <w:shd w:val="clear" w:color="auto" w:fill="FFFFFF" w:themeFill="background1"/>
        </w:rPr>
        <w:t>澄清补正</w:t>
      </w:r>
    </w:p>
    <w:p w14:paraId="06E9E458">
      <w:pPr>
        <w:spacing w:line="360" w:lineRule="auto"/>
        <w:ind w:firstLine="420" w:firstLineChars="200"/>
        <w:rPr>
          <w:rFonts w:ascii="宋体" w:hAnsi="宋体" w:cs="Courier New"/>
          <w:b/>
          <w:color w:val="auto"/>
          <w:szCs w:val="21"/>
          <w:highlight w:val="none"/>
          <w:shd w:val="clear" w:color="auto" w:fill="FFFFFF" w:themeFill="background1"/>
        </w:rPr>
      </w:pPr>
      <w:r>
        <w:rPr>
          <w:rFonts w:hint="eastAsia" w:ascii="宋体" w:hAnsi="宋体" w:cs="Courier New"/>
          <w:color w:val="auto"/>
          <w:szCs w:val="21"/>
          <w:highlight w:val="none"/>
          <w:shd w:val="clear" w:color="auto" w:fill="FFFFFF" w:themeFill="background1"/>
        </w:rPr>
        <w:t>对投标文件中含义不明确、同类问题表述不一致或者有明显文字和计算错误的内容，评标委员会应在</w:t>
      </w:r>
      <w:r>
        <w:rPr>
          <w:rFonts w:hint="eastAsia" w:ascii="宋体" w:hAnsi="宋体"/>
          <w:color w:val="auto"/>
          <w:szCs w:val="21"/>
          <w:highlight w:val="none"/>
          <w:shd w:val="clear" w:color="auto" w:fill="FFFFFF" w:themeFill="background1"/>
        </w:rPr>
        <w:t>“广西政府采购云平台”</w:t>
      </w:r>
      <w:r>
        <w:rPr>
          <w:rFonts w:hint="eastAsia" w:ascii="宋体" w:hAnsi="宋体" w:cs="Courier New"/>
          <w:color w:val="auto"/>
          <w:szCs w:val="21"/>
          <w:highlight w:val="none"/>
          <w:shd w:val="clear" w:color="auto" w:fill="FFFFFF" w:themeFill="background1"/>
        </w:rPr>
        <w:t>发布电子澄清函，要求投标人在规定时间内作出必要的澄清、说明或者补正。投标人在</w:t>
      </w:r>
      <w:r>
        <w:rPr>
          <w:rFonts w:hint="eastAsia" w:ascii="宋体" w:hAnsi="宋体"/>
          <w:color w:val="auto"/>
          <w:szCs w:val="21"/>
          <w:highlight w:val="none"/>
          <w:shd w:val="clear" w:color="auto" w:fill="FFFFFF" w:themeFill="background1"/>
        </w:rPr>
        <w:t>“广西政府采购云平台”</w:t>
      </w:r>
      <w:r>
        <w:rPr>
          <w:rFonts w:hint="eastAsia" w:ascii="宋体" w:hAnsi="宋体" w:cs="Courier New"/>
          <w:color w:val="auto"/>
          <w:szCs w:val="21"/>
          <w:highlight w:val="none"/>
          <w:shd w:val="clear" w:color="auto" w:fill="FFFFFF" w:themeFill="background1"/>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07E13B9">
      <w:pPr>
        <w:spacing w:line="360" w:lineRule="auto"/>
        <w:ind w:firstLine="420" w:firstLineChars="200"/>
        <w:rPr>
          <w:rFonts w:ascii="宋体" w:hAnsi="宋体" w:cs="Courier New"/>
          <w:color w:val="auto"/>
          <w:szCs w:val="21"/>
          <w:highlight w:val="none"/>
          <w:shd w:val="clear" w:color="auto" w:fill="FFFFFF" w:themeFill="background1"/>
        </w:rPr>
      </w:pPr>
      <w:r>
        <w:rPr>
          <w:rFonts w:hint="eastAsia" w:ascii="宋体" w:hAnsi="宋体" w:cs="Courier New"/>
          <w:color w:val="auto"/>
          <w:szCs w:val="21"/>
          <w:highlight w:val="none"/>
          <w:shd w:val="clear" w:color="auto" w:fill="FFFFFF" w:themeFill="background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1D6431B">
      <w:pPr>
        <w:spacing w:line="360" w:lineRule="auto"/>
        <w:ind w:firstLine="420" w:firstLineChars="200"/>
        <w:rPr>
          <w:rFonts w:ascii="宋体" w:hAnsi="宋体" w:cs="Courier New"/>
          <w:color w:val="auto"/>
          <w:szCs w:val="21"/>
          <w:highlight w:val="none"/>
          <w:shd w:val="clear" w:color="auto" w:fill="FFFFFF" w:themeFill="background1"/>
        </w:rPr>
      </w:pPr>
      <w:r>
        <w:rPr>
          <w:rFonts w:hint="eastAsia" w:ascii="宋体" w:hAnsi="宋体" w:cs="Courier New"/>
          <w:color w:val="auto"/>
          <w:szCs w:val="21"/>
          <w:highlight w:val="none"/>
          <w:shd w:val="clear" w:color="auto" w:fill="FFFFFF" w:themeFill="background1"/>
        </w:rPr>
        <w:t>未按评标委员会的要求作出明确澄清、说明或者更正的投标人的投标文件将按照有利于采购人的原则由评标委员会进行判定。</w:t>
      </w:r>
    </w:p>
    <w:p w14:paraId="64A7B492">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ascii="宋体" w:hAnsi="宋体"/>
          <w:color w:val="auto"/>
          <w:sz w:val="21"/>
          <w:szCs w:val="21"/>
          <w:highlight w:val="none"/>
          <w:shd w:val="clear" w:color="auto" w:fill="FFFFFF" w:themeFill="background1"/>
        </w:rPr>
        <w:t>4.</w:t>
      </w:r>
      <w:r>
        <w:rPr>
          <w:rFonts w:hint="eastAsia" w:ascii="宋体" w:hAnsi="宋体"/>
          <w:color w:val="auto"/>
          <w:sz w:val="21"/>
          <w:szCs w:val="21"/>
          <w:highlight w:val="none"/>
          <w:shd w:val="clear" w:color="auto" w:fill="FFFFFF" w:themeFill="background1"/>
        </w:rPr>
        <w:t>投标文件修正</w:t>
      </w:r>
    </w:p>
    <w:p w14:paraId="649697D5">
      <w:pPr>
        <w:pStyle w:val="7"/>
        <w:keepNext w:val="0"/>
        <w:keepLines w:val="0"/>
        <w:spacing w:before="0" w:after="0" w:line="360" w:lineRule="auto"/>
        <w:ind w:left="420" w:leftChars="200" w:firstLine="420"/>
        <w:rPr>
          <w:rFonts w:ascii="宋体" w:hAnsi="宋体"/>
          <w:b w:val="0"/>
          <w:color w:val="auto"/>
          <w:sz w:val="21"/>
          <w:szCs w:val="21"/>
          <w:highlight w:val="none"/>
          <w:shd w:val="clear" w:color="auto" w:fill="FFFFFF" w:themeFill="background1"/>
        </w:rPr>
      </w:pPr>
      <w:r>
        <w:rPr>
          <w:rFonts w:ascii="宋体" w:hAnsi="宋体"/>
          <w:b w:val="0"/>
          <w:color w:val="auto"/>
          <w:sz w:val="21"/>
          <w:szCs w:val="21"/>
          <w:highlight w:val="none"/>
          <w:shd w:val="clear" w:color="auto" w:fill="FFFFFF" w:themeFill="background1"/>
        </w:rPr>
        <w:t>4</w:t>
      </w:r>
      <w:r>
        <w:rPr>
          <w:rFonts w:hint="eastAsia" w:ascii="宋体" w:hAnsi="宋体"/>
          <w:b w:val="0"/>
          <w:color w:val="auto"/>
          <w:sz w:val="21"/>
          <w:szCs w:val="21"/>
          <w:highlight w:val="none"/>
          <w:shd w:val="clear" w:color="auto" w:fill="FFFFFF" w:themeFill="background1"/>
        </w:rPr>
        <w:t xml:space="preserve">.1投标文件报价出现前后不一致的，按照下列规定修正： </w:t>
      </w:r>
    </w:p>
    <w:p w14:paraId="64121655">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（1）投标文件中开标一览表（报价表）内容与投标文件中相应内容不一致的，以开标一览表（报价表）为准；</w:t>
      </w:r>
    </w:p>
    <w:p w14:paraId="76303AED">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（2）大写金额和小写金额不一致的，以大写金额为准；</w:t>
      </w:r>
    </w:p>
    <w:p w14:paraId="51E84845">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（3）单价金额小数点或者百分比有明显错位的，以开标一览表的总价为准，并修改单价；</w:t>
      </w:r>
    </w:p>
    <w:p w14:paraId="57C67DDA">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（4）总价金额与按单价汇总金额不一致的，以单价金额计算结果为准。</w:t>
      </w:r>
    </w:p>
    <w:p w14:paraId="68B5593D">
      <w:pPr>
        <w:pStyle w:val="31"/>
        <w:snapToGrid w:val="0"/>
        <w:spacing w:line="360" w:lineRule="auto"/>
        <w:ind w:firstLine="420" w:firstLineChars="200"/>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同时出现两种以上不一致的，按照以上（1）-（4）规定的顺序修正。修正后的报价经投标人确认后产生约束力，投标人不确认的，</w:t>
      </w:r>
      <w:r>
        <w:rPr>
          <w:rFonts w:hint="eastAsia" w:hAnsi="宋体"/>
          <w:b/>
          <w:color w:val="auto"/>
          <w:kern w:val="2"/>
          <w:sz w:val="21"/>
          <w:highlight w:val="none"/>
          <w:shd w:val="clear" w:color="auto" w:fill="FFFFFF" w:themeFill="background1"/>
        </w:rPr>
        <w:t>其投标无效</w:t>
      </w:r>
      <w:r>
        <w:rPr>
          <w:rFonts w:hint="eastAsia" w:hAnsi="宋体"/>
          <w:color w:val="auto"/>
          <w:sz w:val="21"/>
          <w:highlight w:val="none"/>
          <w:shd w:val="clear" w:color="auto" w:fill="FFFFFF" w:themeFill="background1"/>
        </w:rPr>
        <w:t>。</w:t>
      </w:r>
    </w:p>
    <w:p w14:paraId="6755FEF4">
      <w:pPr>
        <w:pStyle w:val="7"/>
        <w:keepNext w:val="0"/>
        <w:keepLines w:val="0"/>
        <w:spacing w:before="0" w:after="0" w:line="360" w:lineRule="auto"/>
        <w:ind w:firstLine="420"/>
        <w:rPr>
          <w:rFonts w:ascii="宋体" w:hAnsi="宋体"/>
          <w:b w:val="0"/>
          <w:color w:val="auto"/>
          <w:sz w:val="21"/>
          <w:szCs w:val="21"/>
          <w:highlight w:val="none"/>
          <w:shd w:val="clear" w:color="auto" w:fill="FFFFFF" w:themeFill="background1"/>
        </w:rPr>
      </w:pPr>
      <w:r>
        <w:rPr>
          <w:rFonts w:ascii="宋体" w:hAnsi="宋体"/>
          <w:b w:val="0"/>
          <w:color w:val="auto"/>
          <w:sz w:val="21"/>
          <w:szCs w:val="21"/>
          <w:highlight w:val="none"/>
          <w:shd w:val="clear" w:color="auto" w:fill="FFFFFF" w:themeFill="background1"/>
        </w:rPr>
        <w:t xml:space="preserve">    4</w:t>
      </w:r>
      <w:r>
        <w:rPr>
          <w:rFonts w:hint="eastAsia" w:ascii="宋体" w:hAnsi="宋体"/>
          <w:b w:val="0"/>
          <w:color w:val="auto"/>
          <w:sz w:val="21"/>
          <w:szCs w:val="21"/>
          <w:highlight w:val="none"/>
          <w:shd w:val="clear" w:color="auto" w:fill="FFFFFF" w:themeFill="background1"/>
        </w:rPr>
        <w:t>.2经投标人确认修正后的报价若超过采购预算金额或者最高限价，</w:t>
      </w:r>
      <w:r>
        <w:rPr>
          <w:rFonts w:hint="eastAsia" w:ascii="宋体" w:hAnsi="宋体"/>
          <w:color w:val="auto"/>
          <w:sz w:val="21"/>
          <w:szCs w:val="21"/>
          <w:highlight w:val="none"/>
          <w:shd w:val="clear" w:color="auto" w:fill="FFFFFF" w:themeFill="background1"/>
        </w:rPr>
        <w:t>投标人的投标文件作无效投标处理</w:t>
      </w:r>
      <w:r>
        <w:rPr>
          <w:rFonts w:hint="eastAsia" w:ascii="宋体" w:hAnsi="宋体"/>
          <w:b w:val="0"/>
          <w:color w:val="auto"/>
          <w:sz w:val="21"/>
          <w:szCs w:val="21"/>
          <w:highlight w:val="none"/>
          <w:shd w:val="clear" w:color="auto" w:fill="FFFFFF" w:themeFill="background1"/>
        </w:rPr>
        <w:t>。</w:t>
      </w:r>
    </w:p>
    <w:p w14:paraId="7AD23B14">
      <w:pPr>
        <w:snapToGrid w:val="0"/>
        <w:spacing w:line="360" w:lineRule="auto"/>
        <w:ind w:firstLine="420" w:firstLineChars="200"/>
        <w:rPr>
          <w:rFonts w:ascii="宋体" w:hAnsi="宋体"/>
          <w:color w:val="auto"/>
          <w:szCs w:val="21"/>
          <w:highlight w:val="none"/>
          <w:shd w:val="clear" w:color="auto" w:fill="FFFFFF" w:themeFill="background1"/>
        </w:rPr>
      </w:pPr>
      <w:r>
        <w:rPr>
          <w:rFonts w:ascii="宋体" w:hAnsi="宋体"/>
          <w:color w:val="auto"/>
          <w:szCs w:val="21"/>
          <w:highlight w:val="none"/>
          <w:shd w:val="clear" w:color="auto" w:fill="FFFFFF" w:themeFill="background1"/>
        </w:rPr>
        <w:t>4</w:t>
      </w:r>
      <w:r>
        <w:rPr>
          <w:rFonts w:hint="eastAsia" w:ascii="宋体" w:hAnsi="宋体"/>
          <w:color w:val="auto"/>
          <w:szCs w:val="21"/>
          <w:highlight w:val="none"/>
          <w:shd w:val="clear" w:color="auto" w:fill="FFFFFF" w:themeFill="background1"/>
        </w:rPr>
        <w:t>.3经投标人确认修正后的报价作为签订合同的依据，并以此报价计算价格分。</w:t>
      </w:r>
    </w:p>
    <w:p w14:paraId="36F8B11E">
      <w:pPr>
        <w:pStyle w:val="7"/>
        <w:keepNext w:val="0"/>
        <w:keepLines w:val="0"/>
        <w:spacing w:before="0" w:after="0" w:line="360" w:lineRule="auto"/>
        <w:ind w:left="420" w:leftChars="200" w:firstLine="422"/>
        <w:rPr>
          <w:rFonts w:ascii="宋体" w:hAnsi="宋体"/>
          <w:color w:val="auto"/>
          <w:sz w:val="21"/>
          <w:szCs w:val="21"/>
          <w:highlight w:val="none"/>
          <w:shd w:val="clear" w:color="auto" w:fill="FFFFFF" w:themeFill="background1"/>
        </w:rPr>
      </w:pPr>
      <w:r>
        <w:rPr>
          <w:rFonts w:ascii="宋体" w:hAnsi="宋体"/>
          <w:color w:val="auto"/>
          <w:sz w:val="21"/>
          <w:szCs w:val="21"/>
          <w:highlight w:val="none"/>
          <w:shd w:val="clear" w:color="auto" w:fill="FFFFFF" w:themeFill="background1"/>
        </w:rPr>
        <w:t>5.</w:t>
      </w:r>
      <w:r>
        <w:rPr>
          <w:rFonts w:hint="eastAsia" w:ascii="宋体" w:hAnsi="宋体"/>
          <w:color w:val="auto"/>
          <w:sz w:val="21"/>
          <w:szCs w:val="21"/>
          <w:highlight w:val="none"/>
          <w:shd w:val="clear" w:color="auto" w:fill="FFFFFF" w:themeFill="background1"/>
        </w:rPr>
        <w:t>比较与评价</w:t>
      </w:r>
    </w:p>
    <w:p w14:paraId="3EAECFBA">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5.1采用综合评分法的</w:t>
      </w:r>
    </w:p>
    <w:p w14:paraId="13951253">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（1）评标委员会按照招标文件中规定的评标方法及评标标准，对符合性审查合格的投标文件进行商务和技术评估，综合比较与评价。</w:t>
      </w:r>
    </w:p>
    <w:p w14:paraId="1D2024E2">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（2）评标委员会独立对每个投标人的投标文件进行评价，并汇总每个投标人的得分。</w:t>
      </w:r>
    </w:p>
    <w:p w14:paraId="6767C797">
      <w:pPr>
        <w:snapToGrid w:val="0"/>
        <w:spacing w:line="360" w:lineRule="auto"/>
        <w:ind w:firstLine="420" w:firstLineChars="200"/>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shd w:val="clear" w:color="auto" w:fill="FFFFFF" w:themeFill="background1"/>
        </w:rPr>
        <w:t>投标人不能证明其报价合理性的，评标委员会将其作为无效投标处理。</w:t>
      </w:r>
    </w:p>
    <w:p w14:paraId="3A2AD337">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（3）评标委员会按照招标文件中规定的评标方法和标准计算各投标人的报价得分。在计算过程中，不得去掉最高报价或者最低报价。</w:t>
      </w:r>
    </w:p>
    <w:p w14:paraId="477B8F11">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（4）各投标人的得分为所有评委的有效评分的算术平均数。</w:t>
      </w:r>
    </w:p>
    <w:p w14:paraId="3E6F15CE">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（5）评标委员会按照招标文件中的规定推荐中标候选人。</w:t>
      </w:r>
    </w:p>
    <w:p w14:paraId="58525BF0">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1711B17">
      <w:pPr>
        <w:snapToGrid w:val="0"/>
        <w:spacing w:line="360" w:lineRule="auto"/>
        <w:ind w:firstLine="420" w:firstLineChars="200"/>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5.2采用</w:t>
      </w:r>
      <w:r>
        <w:rPr>
          <w:rFonts w:hint="eastAsia" w:hAnsi="宋体"/>
          <w:color w:val="auto"/>
          <w:highlight w:val="none"/>
          <w:shd w:val="clear" w:color="auto" w:fill="FFFFFF" w:themeFill="background1"/>
        </w:rPr>
        <w:t>最低评标价法</w:t>
      </w:r>
      <w:r>
        <w:rPr>
          <w:rFonts w:hint="eastAsia" w:ascii="宋体" w:hAnsi="宋体"/>
          <w:color w:val="auto"/>
          <w:szCs w:val="21"/>
          <w:highlight w:val="none"/>
          <w:shd w:val="clear" w:color="auto" w:fill="FFFFFF" w:themeFill="background1"/>
        </w:rPr>
        <w:t>的</w:t>
      </w:r>
    </w:p>
    <w:p w14:paraId="42BC6EFB">
      <w:pPr>
        <w:snapToGrid w:val="0"/>
        <w:spacing w:line="360" w:lineRule="auto"/>
        <w:ind w:firstLine="424" w:firstLineChars="20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（1）评标委员会按照招标文件中规定的评标方法及评标标准，对符合性审查合格的投标文件报价进行比较。</w:t>
      </w:r>
    </w:p>
    <w:p w14:paraId="41149F62">
      <w:pPr>
        <w:snapToGrid w:val="0"/>
        <w:spacing w:line="360" w:lineRule="auto"/>
        <w:ind w:firstLine="424" w:firstLineChars="202"/>
        <w:jc w:val="left"/>
        <w:rPr>
          <w:rFonts w:ascii="宋体" w:hAnsi="宋体"/>
          <w:b/>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shd w:val="clear" w:color="auto" w:fill="FFFFFF" w:themeFill="background1"/>
        </w:rPr>
        <w:t>投标人不能证明其报价合理性的，评标委员会将其作为无效投标处理。</w:t>
      </w:r>
    </w:p>
    <w:p w14:paraId="2CA0C478">
      <w:pPr>
        <w:snapToGrid w:val="0"/>
        <w:spacing w:line="360" w:lineRule="auto"/>
        <w:ind w:firstLine="424" w:firstLineChars="20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（3）评标委员会按照招标文件中的规定推荐中标候选人。</w:t>
      </w:r>
    </w:p>
    <w:p w14:paraId="3A3F4FB2">
      <w:pPr>
        <w:snapToGrid w:val="0"/>
        <w:spacing w:line="360" w:lineRule="auto"/>
        <w:ind w:firstLine="424" w:firstLineChars="202"/>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7279D4A">
      <w:pPr>
        <w:snapToGrid w:val="0"/>
        <w:spacing w:line="360" w:lineRule="auto"/>
        <w:ind w:firstLine="424" w:firstLineChars="202"/>
        <w:jc w:val="center"/>
        <w:rPr>
          <w:rFonts w:ascii="宋体" w:hAnsi="宋体"/>
          <w:color w:val="auto"/>
          <w:szCs w:val="21"/>
          <w:highlight w:val="none"/>
          <w:shd w:val="clear" w:color="auto" w:fill="FFFFFF" w:themeFill="background1"/>
        </w:rPr>
      </w:pPr>
    </w:p>
    <w:p w14:paraId="47C710BB">
      <w:pPr>
        <w:snapToGrid w:val="0"/>
        <w:spacing w:line="360" w:lineRule="auto"/>
        <w:ind w:firstLine="424" w:firstLineChars="202"/>
        <w:jc w:val="center"/>
        <w:rPr>
          <w:color w:val="auto"/>
          <w:highlight w:val="none"/>
          <w:shd w:val="clear" w:color="auto" w:fill="FFFFFF" w:themeFill="background1"/>
        </w:rPr>
      </w:pPr>
      <w:r>
        <w:rPr>
          <w:rFonts w:hAnsi="宋体"/>
          <w:color w:val="auto"/>
          <w:highlight w:val="none"/>
          <w:shd w:val="clear" w:color="auto" w:fill="FFFFFF" w:themeFill="background1"/>
        </w:rPr>
        <w:br w:type="page"/>
      </w:r>
      <w:bookmarkStart w:id="130" w:name="_Hlk71707917"/>
      <w:r>
        <w:rPr>
          <w:rFonts w:ascii="宋体" w:hAnsi="宋体" w:cs="宋体"/>
          <w:b/>
          <w:bCs/>
          <w:color w:val="auto"/>
          <w:sz w:val="32"/>
          <w:szCs w:val="32"/>
          <w:highlight w:val="none"/>
          <w:shd w:val="clear" w:color="auto" w:fill="FFFFFF" w:themeFill="background1"/>
        </w:rPr>
        <w:t>三</w:t>
      </w:r>
      <w:r>
        <w:rPr>
          <w:rFonts w:hint="eastAsia" w:ascii="宋体" w:hAnsi="宋体" w:cs="宋体"/>
          <w:b/>
          <w:bCs/>
          <w:color w:val="auto"/>
          <w:sz w:val="32"/>
          <w:szCs w:val="32"/>
          <w:highlight w:val="none"/>
          <w:shd w:val="clear" w:color="auto" w:fill="FFFFFF" w:themeFill="background1"/>
        </w:rPr>
        <w:t>、评标标准</w:t>
      </w:r>
    </w:p>
    <w:p w14:paraId="3AAD4670">
      <w:pPr>
        <w:pStyle w:val="5"/>
        <w:keepNext w:val="0"/>
        <w:keepLines w:val="0"/>
        <w:ind w:firstLine="643"/>
        <w:jc w:val="center"/>
        <w:rPr>
          <w:color w:val="auto"/>
          <w:highlight w:val="none"/>
          <w:shd w:val="clear" w:color="auto" w:fill="FFFFFF" w:themeFill="background1"/>
        </w:rPr>
      </w:pPr>
      <w:r>
        <w:rPr>
          <w:rFonts w:hint="eastAsia"/>
          <w:color w:val="auto"/>
          <w:highlight w:val="none"/>
          <w:shd w:val="clear" w:color="auto" w:fill="FFFFFF" w:themeFill="background1"/>
        </w:rPr>
        <w:t>综合评分法</w:t>
      </w:r>
    </w:p>
    <w:bookmarkEnd w:id="130"/>
    <w:p w14:paraId="2871C44C">
      <w:pPr>
        <w:ind w:firstLine="422"/>
        <w:rPr>
          <w:rFonts w:hint="eastAsia" w:eastAsia="宋体"/>
          <w:color w:val="auto"/>
          <w:highlight w:val="none"/>
          <w:shd w:val="clear" w:color="auto" w:fill="FFFFFF" w:themeFill="background1"/>
          <w:lang w:eastAsia="zh-CN"/>
        </w:rPr>
      </w:pPr>
      <w:r>
        <w:rPr>
          <w:rFonts w:hint="eastAsia"/>
          <w:b/>
          <w:color w:val="auto"/>
          <w:highlight w:val="none"/>
          <w:shd w:val="clear" w:color="auto" w:fill="FFFFFF" w:themeFill="background1"/>
          <w:lang w:val="en-US" w:eastAsia="zh-CN"/>
        </w:rPr>
        <w:t xml:space="preserve"> </w:t>
      </w:r>
    </w:p>
    <w:tbl>
      <w:tblPr>
        <w:tblStyle w:val="6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5"/>
        <w:gridCol w:w="1603"/>
        <w:gridCol w:w="1725"/>
        <w:gridCol w:w="5741"/>
      </w:tblGrid>
      <w:tr w14:paraId="0E6A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gridSpan w:val="2"/>
            <w:tcBorders>
              <w:top w:val="single" w:color="auto" w:sz="4" w:space="0"/>
              <w:left w:val="single" w:color="auto" w:sz="4" w:space="0"/>
              <w:bottom w:val="single" w:color="auto" w:sz="4" w:space="0"/>
              <w:right w:val="single" w:color="auto" w:sz="4" w:space="0"/>
            </w:tcBorders>
            <w:noWrap w:val="0"/>
            <w:vAlign w:val="center"/>
          </w:tcPr>
          <w:p w14:paraId="08777797">
            <w:pPr>
              <w:adjustRightInd w:val="0"/>
              <w:snapToGrid w:val="0"/>
              <w:spacing w:line="440" w:lineRule="exact"/>
              <w:jc w:val="center"/>
              <w:textAlignment w:val="baseline"/>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1ADDDE6B">
            <w:pPr>
              <w:adjustRightInd w:val="0"/>
              <w:snapToGrid w:val="0"/>
              <w:spacing w:line="440" w:lineRule="exact"/>
              <w:jc w:val="center"/>
              <w:textAlignment w:val="baseline"/>
              <w:rPr>
                <w:rFonts w:hint="eastAsia" w:ascii="宋体" w:hAnsi="宋体" w:eastAsia="宋体" w:cs="宋体"/>
                <w:b/>
                <w:color w:val="auto"/>
                <w:szCs w:val="21"/>
                <w:highlight w:val="none"/>
                <w:shd w:val="clear" w:color="auto" w:fill="FFFFFF"/>
                <w:lang w:eastAsia="zh-CN"/>
              </w:rPr>
            </w:pPr>
            <w:r>
              <w:rPr>
                <w:rFonts w:hint="eastAsia" w:ascii="宋体" w:hAnsi="宋体" w:cs="宋体"/>
                <w:b/>
                <w:color w:val="auto"/>
                <w:szCs w:val="21"/>
                <w:highlight w:val="none"/>
                <w:shd w:val="clear" w:color="auto" w:fill="FFFFFF"/>
                <w:lang w:eastAsia="zh-CN"/>
              </w:rPr>
              <w:t>评审项目</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A710D84">
            <w:pPr>
              <w:adjustRightInd w:val="0"/>
              <w:snapToGrid w:val="0"/>
              <w:spacing w:line="440" w:lineRule="exact"/>
              <w:jc w:val="center"/>
              <w:textAlignment w:val="baseline"/>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评分因素</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738E226B">
            <w:pPr>
              <w:adjustRightInd w:val="0"/>
              <w:snapToGrid w:val="0"/>
              <w:spacing w:line="440" w:lineRule="exact"/>
              <w:jc w:val="center"/>
              <w:textAlignment w:val="baseline"/>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评分标准</w:t>
            </w:r>
          </w:p>
        </w:tc>
      </w:tr>
      <w:tr w14:paraId="3037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14:paraId="5D9248E2">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1</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45C44FA6">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价格分</w:t>
            </w:r>
          </w:p>
          <w:p w14:paraId="3838544B">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（满分</w:t>
            </w:r>
            <w:r>
              <w:rPr>
                <w:rFonts w:hint="eastAsia" w:ascii="宋体" w:hAnsi="宋体" w:cs="宋体"/>
                <w:b/>
                <w:bCs/>
                <w:color w:val="auto"/>
                <w:szCs w:val="21"/>
                <w:highlight w:val="none"/>
                <w:shd w:val="clear" w:color="auto" w:fill="FFFFFF"/>
                <w:lang w:val="en-US" w:eastAsia="zh-CN"/>
              </w:rPr>
              <w:t>2</w:t>
            </w:r>
            <w:r>
              <w:rPr>
                <w:rFonts w:hint="eastAsia" w:ascii="宋体" w:hAnsi="宋体" w:cs="宋体"/>
                <w:b/>
                <w:bCs/>
                <w:color w:val="auto"/>
                <w:szCs w:val="21"/>
                <w:highlight w:val="none"/>
                <w:shd w:val="clear" w:color="auto" w:fill="FFFFFF"/>
              </w:rPr>
              <w:t>0分）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AB72522">
            <w:pPr>
              <w:adjustRightInd w:val="0"/>
              <w:snapToGrid w:val="0"/>
              <w:spacing w:line="440" w:lineRule="exact"/>
              <w:jc w:val="center"/>
              <w:textAlignment w:val="baseline"/>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投标报价</w:t>
            </w:r>
          </w:p>
          <w:p w14:paraId="601FD252">
            <w:pPr>
              <w:adjustRightInd w:val="0"/>
              <w:snapToGrid w:val="0"/>
              <w:spacing w:line="440" w:lineRule="exact"/>
              <w:jc w:val="center"/>
              <w:textAlignment w:val="baseline"/>
              <w:rPr>
                <w:rFonts w:ascii="宋体" w:hAnsi="宋体" w:cs="宋体"/>
                <w:color w:val="auto"/>
                <w:szCs w:val="21"/>
                <w:highlight w:val="none"/>
                <w:shd w:val="clear" w:color="auto" w:fill="FFFFFF"/>
              </w:rPr>
            </w:pPr>
            <w:r>
              <w:rPr>
                <w:rFonts w:hint="eastAsia" w:ascii="宋体" w:hAnsi="宋体" w:cs="宋体"/>
                <w:b/>
                <w:color w:val="auto"/>
                <w:szCs w:val="21"/>
                <w:highlight w:val="none"/>
                <w:shd w:val="clear" w:color="auto" w:fill="FFFFFF"/>
              </w:rPr>
              <w:t>（满分</w:t>
            </w:r>
            <w:r>
              <w:rPr>
                <w:rFonts w:hint="eastAsia" w:ascii="宋体" w:hAnsi="宋体" w:cs="宋体"/>
                <w:b/>
                <w:color w:val="auto"/>
                <w:szCs w:val="21"/>
                <w:highlight w:val="none"/>
                <w:shd w:val="clear" w:color="auto" w:fill="FFFFFF"/>
                <w:lang w:val="en-US" w:eastAsia="zh-CN"/>
              </w:rPr>
              <w:t>2</w:t>
            </w:r>
            <w:r>
              <w:rPr>
                <w:rFonts w:hint="eastAsia" w:ascii="宋体" w:hAnsi="宋体" w:cs="宋体"/>
                <w:b/>
                <w:color w:val="auto"/>
                <w:szCs w:val="21"/>
                <w:highlight w:val="none"/>
                <w:shd w:val="clear" w:color="auto" w:fill="FFFFFF"/>
              </w:rPr>
              <w:t>0分）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2875775E">
            <w:pPr>
              <w:snapToGrid w:val="0"/>
              <w:spacing w:line="440" w:lineRule="exact"/>
              <w:ind w:firstLine="422"/>
              <w:rPr>
                <w:rFonts w:ascii="宋体" w:hAnsi="宋体" w:cs="宋体"/>
                <w:b/>
                <w:bCs/>
                <w:color w:val="auto"/>
                <w:szCs w:val="21"/>
                <w:highlight w:val="none"/>
                <w:shd w:val="clear" w:color="auto" w:fill="FFFFFF"/>
              </w:rPr>
            </w:pPr>
            <w:r>
              <w:rPr>
                <w:rFonts w:hint="eastAsia" w:ascii="宋体" w:hAnsi="宋体" w:cs="宋体"/>
                <w:color w:val="auto"/>
                <w:szCs w:val="21"/>
                <w:highlight w:val="none"/>
                <w:shd w:val="clear" w:color="auto" w:fill="FFFFFF"/>
              </w:rPr>
              <w:t>（1）评标报价为投标人的投标报价进行政策性扣除后的价格，评标报价只是作为评标时使用。最终中标人的中标金额等于投标报价。</w:t>
            </w:r>
            <w:r>
              <w:rPr>
                <w:rFonts w:hint="eastAsia" w:ascii="宋体" w:hAnsi="宋体" w:cs="宋体"/>
                <w:b/>
                <w:bCs/>
                <w:color w:val="auto"/>
                <w:szCs w:val="21"/>
                <w:highlight w:val="none"/>
                <w:shd w:val="clear" w:color="auto" w:fill="FFFFFF"/>
              </w:rPr>
              <w:t>如专门面向中小企业采购的项目，不再进行政策性扣除。</w:t>
            </w:r>
          </w:p>
          <w:p w14:paraId="63498896">
            <w:pPr>
              <w:snapToGrid w:val="0"/>
              <w:spacing w:line="440" w:lineRule="exact"/>
              <w:ind w:firstLine="422"/>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（2）政策性扣除计算方法。</w:t>
            </w:r>
          </w:p>
          <w:p w14:paraId="7B525427">
            <w:pPr>
              <w:snapToGrid w:val="0"/>
              <w:spacing w:line="440" w:lineRule="exact"/>
              <w:ind w:firstLine="422"/>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根据《政府采购促进中小企业发展管理办法》（财库〔2020〕46号）及《 财政部进一步加大政府采购支持中小企业力度的通知》（财库〔2022〕19号）的规定，投标人在其投标文件中提供《中小企业声明函》，且服务全部由小微企业承接，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1F7CD826">
            <w:pPr>
              <w:snapToGrid w:val="0"/>
              <w:spacing w:line="440" w:lineRule="exact"/>
              <w:ind w:firstLine="422"/>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B4B71C4">
            <w:pPr>
              <w:snapToGrid w:val="0"/>
              <w:spacing w:line="440" w:lineRule="exact"/>
              <w:ind w:firstLine="422"/>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435CE1">
            <w:pPr>
              <w:pStyle w:val="31"/>
              <w:adjustRightInd w:val="0"/>
              <w:snapToGrid w:val="0"/>
              <w:spacing w:line="360" w:lineRule="exact"/>
              <w:rPr>
                <w:rFonts w:hAnsi="宋体" w:cs="宋体"/>
                <w:color w:val="auto"/>
                <w:sz w:val="21"/>
                <w:highlight w:val="none"/>
                <w:shd w:val="clear" w:color="auto" w:fill="FFFFFF"/>
              </w:rPr>
            </w:pPr>
            <w:r>
              <w:rPr>
                <w:rFonts w:hint="eastAsia" w:hAnsi="宋体" w:cs="宋体"/>
                <w:color w:val="auto"/>
                <w:sz w:val="21"/>
                <w:highlight w:val="none"/>
                <w:shd w:val="clear" w:color="auto" w:fill="FFFFFF"/>
              </w:rPr>
              <w:t>（5）满足招标文件要求且评标报价最低的评标报价为评标基准价，其价格分为满分。</w:t>
            </w:r>
          </w:p>
          <w:p w14:paraId="5F834943">
            <w:pPr>
              <w:pStyle w:val="31"/>
              <w:adjustRightInd w:val="0"/>
              <w:snapToGrid w:val="0"/>
              <w:spacing w:line="360" w:lineRule="exact"/>
              <w:rPr>
                <w:rFonts w:hAnsi="宋体" w:cs="宋体"/>
                <w:color w:val="auto"/>
                <w:sz w:val="21"/>
                <w:highlight w:val="none"/>
                <w:shd w:val="clear" w:color="auto" w:fill="FFFFFF"/>
              </w:rPr>
            </w:pPr>
            <w:r>
              <w:rPr>
                <w:rFonts w:hint="eastAsia" w:hAnsi="宋体" w:cs="宋体"/>
                <w:color w:val="auto"/>
                <w:sz w:val="21"/>
                <w:highlight w:val="none"/>
                <w:shd w:val="clear" w:color="auto" w:fill="FFFFFF"/>
              </w:rPr>
              <w:t xml:space="preserve">（6）价格分计算公式：        </w:t>
            </w:r>
          </w:p>
          <w:p w14:paraId="361AADB3">
            <w:pPr>
              <w:pStyle w:val="31"/>
              <w:snapToGrid w:val="0"/>
              <w:spacing w:line="440" w:lineRule="exact"/>
              <w:rPr>
                <w:rFonts w:hAnsi="宋体" w:cs="宋体"/>
                <w:color w:val="auto"/>
                <w:sz w:val="21"/>
                <w:highlight w:val="none"/>
                <w:shd w:val="clear" w:color="auto" w:fill="FFFFFF"/>
              </w:rPr>
            </w:pPr>
            <w:r>
              <w:rPr>
                <w:rFonts w:hint="eastAsia" w:hAnsi="宋体" w:cs="宋体"/>
                <w:color w:val="auto"/>
                <w:sz w:val="21"/>
                <w:highlight w:val="none"/>
                <w:shd w:val="clear" w:color="auto" w:fill="FFFFFF"/>
              </w:rPr>
              <w:t>价格分=(评标基准价／评标报价)×</w:t>
            </w:r>
            <w:r>
              <w:rPr>
                <w:rFonts w:hint="eastAsia" w:hAnsi="宋体" w:cs="宋体"/>
                <w:color w:val="auto"/>
                <w:sz w:val="21"/>
                <w:highlight w:val="none"/>
                <w:shd w:val="clear" w:color="auto" w:fill="FFFFFF"/>
                <w:lang w:val="en-US" w:eastAsia="zh-CN"/>
              </w:rPr>
              <w:t>2</w:t>
            </w:r>
            <w:r>
              <w:rPr>
                <w:rFonts w:hint="eastAsia" w:hAnsi="宋体" w:cs="宋体"/>
                <w:color w:val="auto"/>
                <w:sz w:val="21"/>
                <w:highlight w:val="none"/>
                <w:shd w:val="clear" w:color="auto" w:fill="FFFFFF"/>
              </w:rPr>
              <w:t>0分</w:t>
            </w:r>
          </w:p>
        </w:tc>
      </w:tr>
      <w:tr w14:paraId="5AB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69E40162">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2</w:t>
            </w:r>
          </w:p>
        </w:tc>
        <w:tc>
          <w:tcPr>
            <w:tcW w:w="16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A1F4798">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技术分</w:t>
            </w:r>
          </w:p>
          <w:p w14:paraId="70EEF100">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（满分</w:t>
            </w:r>
            <w:r>
              <w:rPr>
                <w:rFonts w:hint="eastAsia" w:ascii="宋体" w:hAnsi="宋体" w:cs="宋体"/>
                <w:b/>
                <w:bCs/>
                <w:color w:val="auto"/>
                <w:szCs w:val="21"/>
                <w:highlight w:val="none"/>
                <w:shd w:val="clear" w:color="auto" w:fill="FFFFFF"/>
                <w:lang w:val="en-US" w:eastAsia="zh-CN"/>
              </w:rPr>
              <w:t>45</w:t>
            </w:r>
            <w:r>
              <w:rPr>
                <w:rFonts w:hint="eastAsia" w:ascii="宋体" w:hAnsi="宋体" w:cs="宋体"/>
                <w:b/>
                <w:bCs/>
                <w:color w:val="auto"/>
                <w:szCs w:val="21"/>
                <w:highlight w:val="none"/>
                <w:shd w:val="clear" w:color="auto" w:fill="FFFFFF"/>
              </w:rPr>
              <w:t>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989B579">
            <w:pPr>
              <w:pStyle w:val="370"/>
              <w:spacing w:line="440" w:lineRule="exact"/>
              <w:rPr>
                <w:rFonts w:hAnsi="宋体" w:cs="宋体"/>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（1）对本项目的</w:t>
            </w:r>
            <w:r>
              <w:rPr>
                <w:rFonts w:hint="eastAsia" w:ascii="宋体" w:hAnsi="宋体" w:eastAsia="宋体" w:cs="宋体"/>
                <w:b/>
                <w:color w:val="auto"/>
                <w:sz w:val="21"/>
                <w:szCs w:val="21"/>
                <w:highlight w:val="none"/>
              </w:rPr>
              <w:t>目的、技术要求和工作量的理解</w:t>
            </w:r>
            <w:r>
              <w:rPr>
                <w:rFonts w:ascii="宋体" w:hAnsi="宋体" w:eastAsia="宋体" w:cs="宋体"/>
                <w:b/>
                <w:bCs/>
                <w:color w:val="auto"/>
                <w:sz w:val="21"/>
                <w:szCs w:val="21"/>
                <w:highlight w:val="none"/>
                <w:shd w:val="clear" w:color="auto" w:fill="FFFFFF"/>
              </w:rPr>
              <w:t>（</w:t>
            </w:r>
            <w:r>
              <w:rPr>
                <w:rFonts w:hint="default" w:ascii="宋体" w:hAnsi="宋体" w:eastAsia="宋体" w:cs="宋体"/>
                <w:b/>
                <w:bCs/>
                <w:color w:val="auto"/>
                <w:sz w:val="21"/>
                <w:szCs w:val="21"/>
                <w:highlight w:val="none"/>
                <w:shd w:val="clear" w:color="auto" w:fill="FFFFFF"/>
                <w:lang w:val="en-US" w:eastAsia="zh-CN"/>
              </w:rPr>
              <w:t>5</w:t>
            </w:r>
            <w:r>
              <w:rPr>
                <w:rFonts w:ascii="宋体" w:hAnsi="宋体" w:eastAsia="宋体" w:cs="宋体"/>
                <w:b/>
                <w:bCs/>
                <w:color w:val="auto"/>
                <w:sz w:val="21"/>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341423A2">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.0分）：对本项目的目的阐述准确、全面、透彻，</w:t>
            </w:r>
            <w:r>
              <w:rPr>
                <w:rFonts w:ascii="宋体" w:hAnsi="Arial" w:eastAsia="宋体" w:cs="宋体"/>
                <w:snapToGrid w:val="0"/>
                <w:color w:val="auto"/>
                <w:sz w:val="21"/>
                <w:szCs w:val="21"/>
                <w:highlight w:val="none"/>
              </w:rPr>
              <w:t>对项目技术要求和工作量的</w:t>
            </w:r>
            <w:r>
              <w:rPr>
                <w:rFonts w:hint="eastAsia" w:ascii="宋体" w:hAnsi="Arial" w:eastAsia="宋体" w:cs="宋体"/>
                <w:snapToGrid w:val="0"/>
                <w:color w:val="auto"/>
                <w:sz w:val="21"/>
                <w:szCs w:val="21"/>
                <w:highlight w:val="none"/>
              </w:rPr>
              <w:t>研究、掌握全面透彻</w:t>
            </w:r>
            <w:r>
              <w:rPr>
                <w:rFonts w:ascii="宋体" w:hAnsi="Arial" w:eastAsia="宋体" w:cs="宋体"/>
                <w:snapToGrid w:val="0"/>
                <w:color w:val="auto"/>
                <w:sz w:val="21"/>
                <w:szCs w:val="21"/>
                <w:highlight w:val="none"/>
              </w:rPr>
              <w:t>，</w:t>
            </w:r>
            <w:r>
              <w:rPr>
                <w:rFonts w:hint="eastAsia" w:ascii="宋体" w:hAnsi="Arial" w:eastAsia="宋体" w:cs="宋体"/>
                <w:snapToGrid w:val="0"/>
                <w:color w:val="auto"/>
                <w:sz w:val="21"/>
                <w:szCs w:val="21"/>
                <w:highlight w:val="none"/>
              </w:rPr>
              <w:t>对项目成果提交时间要求等的分析充分</w:t>
            </w:r>
            <w:r>
              <w:rPr>
                <w:rFonts w:hint="eastAsia" w:ascii="宋体" w:hAnsi="Arial" w:eastAsia="宋体" w:cs="宋体"/>
                <w:snapToGrid w:val="0"/>
                <w:color w:val="auto"/>
                <w:sz w:val="21"/>
                <w:szCs w:val="21"/>
                <w:highlight w:val="none"/>
                <w:lang w:eastAsia="zh-CN"/>
              </w:rPr>
              <w:t>，</w:t>
            </w:r>
            <w:r>
              <w:rPr>
                <w:rFonts w:hint="eastAsia" w:ascii="宋体" w:hAnsi="宋体" w:cs="宋体"/>
                <w:color w:val="auto"/>
                <w:kern w:val="0"/>
                <w:szCs w:val="21"/>
                <w:highlight w:val="none"/>
              </w:rPr>
              <w:t>对策措施</w:t>
            </w:r>
            <w:r>
              <w:rPr>
                <w:rFonts w:ascii="宋体" w:hAnsi="Arial" w:eastAsia="宋体" w:cs="宋体"/>
                <w:snapToGrid w:val="0"/>
                <w:color w:val="auto"/>
                <w:sz w:val="21"/>
                <w:szCs w:val="21"/>
                <w:highlight w:val="none"/>
              </w:rPr>
              <w:t>针对性强，</w:t>
            </w:r>
            <w:r>
              <w:rPr>
                <w:rFonts w:hint="eastAsia" w:ascii="宋体" w:hAnsi="宋体" w:eastAsia="宋体" w:cs="宋体"/>
                <w:color w:val="auto"/>
                <w:sz w:val="21"/>
                <w:szCs w:val="21"/>
                <w:highlight w:val="none"/>
                <w:shd w:val="clear" w:color="auto" w:fill="FFFFFF"/>
              </w:rPr>
              <w:t>切合项目特点；</w:t>
            </w:r>
          </w:p>
          <w:p w14:paraId="4DB2A09A">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.0分）：</w:t>
            </w:r>
            <w:bookmarkStart w:id="131" w:name="OLE_LINK15"/>
            <w:r>
              <w:rPr>
                <w:rFonts w:hint="eastAsia" w:ascii="宋体" w:hAnsi="宋体" w:eastAsia="宋体" w:cs="宋体"/>
                <w:color w:val="auto"/>
                <w:sz w:val="21"/>
                <w:szCs w:val="21"/>
                <w:highlight w:val="none"/>
                <w:shd w:val="clear" w:color="auto" w:fill="FFFFFF"/>
              </w:rPr>
              <w:t>对本项目目的的阐述较为准确且全面，对技术要求与工作量的分析理解</w:t>
            </w:r>
            <w:r>
              <w:rPr>
                <w:rFonts w:hint="eastAsia" w:ascii="宋体" w:hAnsi="宋体" w:eastAsia="宋体" w:cs="宋体"/>
                <w:color w:val="auto"/>
                <w:sz w:val="21"/>
                <w:szCs w:val="21"/>
                <w:highlight w:val="none"/>
                <w:shd w:val="clear" w:color="auto" w:fill="FFFFFF"/>
                <w:lang w:eastAsia="zh-CN"/>
              </w:rPr>
              <w:t>较</w:t>
            </w:r>
            <w:r>
              <w:rPr>
                <w:rFonts w:hint="eastAsia" w:ascii="宋体" w:hAnsi="宋体" w:eastAsia="宋体" w:cs="宋体"/>
                <w:color w:val="auto"/>
                <w:sz w:val="21"/>
                <w:szCs w:val="21"/>
                <w:highlight w:val="none"/>
                <w:shd w:val="clear" w:color="auto" w:fill="FFFFFF"/>
              </w:rPr>
              <w:t>合理，较好契合项目特性，整体论述逻辑清晰、依据充分；</w:t>
            </w:r>
            <w:bookmarkEnd w:id="131"/>
          </w:p>
          <w:p w14:paraId="306AE684">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.0分）：</w:t>
            </w:r>
            <w:bookmarkStart w:id="132" w:name="OLE_LINK16"/>
            <w:r>
              <w:rPr>
                <w:rFonts w:hint="eastAsia" w:ascii="宋体" w:hAnsi="宋体" w:eastAsia="宋体" w:cs="宋体"/>
                <w:color w:val="auto"/>
                <w:sz w:val="21"/>
                <w:szCs w:val="21"/>
                <w:highlight w:val="none"/>
                <w:shd w:val="clear" w:color="auto" w:fill="FFFFFF"/>
              </w:rPr>
              <w:t>对项目技术要求与工作量的分析和阐述较为简略，研究深度不足，关键细节梳理不够完整，整体论述偏于概括，与项目实际需求的契合度有待提升</w:t>
            </w:r>
          </w:p>
          <w:bookmarkEnd w:id="132"/>
          <w:p w14:paraId="37DD39C6">
            <w:pPr>
              <w:pStyle w:val="370"/>
              <w:spacing w:line="440" w:lineRule="exact"/>
              <w:rPr>
                <w:rFonts w:hAnsi="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未提供的不得分。</w:t>
            </w:r>
          </w:p>
        </w:tc>
      </w:tr>
      <w:tr w14:paraId="15B0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540C1BB">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254BD4">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F6A2AA4">
            <w:pPr>
              <w:pStyle w:val="370"/>
              <w:spacing w:line="440" w:lineRule="exact"/>
              <w:rPr>
                <w:rFonts w:ascii="宋体" w:hAnsi="宋体" w:cs="宋体"/>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（2）对项目研究的特点、关键技术问题的认识及其对策措施</w:t>
            </w:r>
            <w:r>
              <w:rPr>
                <w:rFonts w:ascii="宋体" w:hAnsi="宋体" w:eastAsia="宋体" w:cs="宋体"/>
                <w:b/>
                <w:bCs/>
                <w:color w:val="auto"/>
                <w:sz w:val="21"/>
                <w:szCs w:val="21"/>
                <w:highlight w:val="none"/>
                <w:shd w:val="clear" w:color="auto" w:fill="FFFFFF"/>
              </w:rPr>
              <w:t>（</w:t>
            </w:r>
            <w:r>
              <w:rPr>
                <w:rFonts w:hint="eastAsia" w:ascii="宋体" w:hAnsi="宋体" w:eastAsia="宋体" w:cs="宋体"/>
                <w:b/>
                <w:bCs/>
                <w:color w:val="auto"/>
                <w:sz w:val="21"/>
                <w:szCs w:val="21"/>
                <w:highlight w:val="none"/>
                <w:shd w:val="clear" w:color="auto" w:fill="FFFFFF"/>
                <w:lang w:val="en-US" w:eastAsia="zh-CN"/>
              </w:rPr>
              <w:t>6</w:t>
            </w:r>
            <w:r>
              <w:rPr>
                <w:rFonts w:ascii="宋体" w:hAnsi="宋体" w:eastAsia="宋体" w:cs="宋体"/>
                <w:b/>
                <w:bCs/>
                <w:color w:val="auto"/>
                <w:sz w:val="21"/>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296AD411">
            <w:pPr>
              <w:pStyle w:val="370"/>
              <w:spacing w:line="440" w:lineRule="exact"/>
              <w:rPr>
                <w:rFonts w:ascii="宋体" w:hAnsi="宋体" w:eastAsia="宋体" w:cs="宋体"/>
                <w:color w:val="auto"/>
                <w:sz w:val="21"/>
                <w:szCs w:val="21"/>
                <w:highlight w:val="none"/>
                <w:shd w:val="clear" w:color="auto" w:fill="FFFFFF"/>
              </w:rPr>
            </w:pPr>
            <w:bookmarkStart w:id="133" w:name="OLE_LINK3"/>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.0分）：</w:t>
            </w:r>
            <w:bookmarkStart w:id="134" w:name="OLE_LINK11"/>
            <w:r>
              <w:rPr>
                <w:rFonts w:hint="eastAsia" w:ascii="宋体" w:hAnsi="宋体" w:eastAsia="宋体" w:cs="宋体"/>
                <w:color w:val="auto"/>
                <w:sz w:val="21"/>
                <w:szCs w:val="21"/>
                <w:highlight w:val="none"/>
                <w:shd w:val="clear" w:color="auto" w:fill="FFFFFF"/>
              </w:rPr>
              <w:t>对招标项目特点的研究系统全面且透彻深入，关键技术问题分析科学严谨、论证充分，对策措施精准，兼具针对性与切实可行性；</w:t>
            </w:r>
          </w:p>
          <w:bookmarkEnd w:id="134"/>
          <w:p w14:paraId="014E2D77">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分）：</w:t>
            </w:r>
            <w:bookmarkStart w:id="135" w:name="OLE_LINK12"/>
            <w:r>
              <w:rPr>
                <w:rFonts w:hint="eastAsia" w:ascii="宋体" w:hAnsi="宋体" w:eastAsia="宋体" w:cs="宋体"/>
                <w:color w:val="auto"/>
                <w:sz w:val="21"/>
                <w:szCs w:val="21"/>
                <w:highlight w:val="none"/>
                <w:shd w:val="clear" w:color="auto" w:fill="FFFFFF"/>
              </w:rPr>
              <w:t>对招标项目特点的研究较为全面，关键技术问题分析较为深入，论证具备一定说服力，对策措施针对性尚可，基本契合项目实施需求。</w:t>
            </w:r>
            <w:bookmarkEnd w:id="135"/>
            <w:r>
              <w:rPr>
                <w:rFonts w:hint="eastAsia" w:ascii="宋体" w:hAnsi="宋体" w:eastAsia="宋体" w:cs="宋体"/>
                <w:color w:val="auto"/>
                <w:sz w:val="21"/>
                <w:szCs w:val="21"/>
                <w:highlight w:val="none"/>
                <w:shd w:val="clear" w:color="auto" w:fill="FFFFFF"/>
              </w:rPr>
              <w:t>；</w:t>
            </w:r>
          </w:p>
          <w:p w14:paraId="3B4C363E">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分）：对招标项目的特点有基本研究，对项目中关键技术问题有简单分析，有简单的对策措施；</w:t>
            </w:r>
          </w:p>
          <w:p w14:paraId="3440ED38">
            <w:pPr>
              <w:pStyle w:val="370"/>
              <w:spacing w:line="440" w:lineRule="exact"/>
              <w:rPr>
                <w:rFonts w:ascii="宋体" w:hAnsi="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未提供的不得分。</w:t>
            </w:r>
            <w:bookmarkEnd w:id="133"/>
          </w:p>
        </w:tc>
      </w:tr>
      <w:tr w14:paraId="327F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7C79139">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0A9902">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right w:val="single" w:color="auto" w:sz="4" w:space="0"/>
            </w:tcBorders>
            <w:noWrap w:val="0"/>
            <w:vAlign w:val="center"/>
          </w:tcPr>
          <w:p w14:paraId="57B22ED4">
            <w:pPr>
              <w:snapToGrid w:val="0"/>
              <w:spacing w:line="440" w:lineRule="exact"/>
              <w:rPr>
                <w:rFonts w:ascii="宋体" w:hAnsi="宋体" w:cs="宋体"/>
                <w:b/>
                <w:strike/>
                <w:color w:val="auto"/>
                <w:szCs w:val="21"/>
                <w:highlight w:val="none"/>
                <w:shd w:val="clear" w:color="auto" w:fill="FFFFFF"/>
              </w:rPr>
            </w:pPr>
            <w:r>
              <w:rPr>
                <w:rFonts w:hint="eastAsia" w:ascii="Arial" w:hAnsi="Arial" w:cs="Arial"/>
                <w:b/>
                <w:color w:val="auto"/>
                <w:kern w:val="0"/>
                <w:szCs w:val="21"/>
                <w:highlight w:val="none"/>
              </w:rPr>
              <w:t>（3）</w:t>
            </w:r>
            <w:r>
              <w:rPr>
                <w:rFonts w:ascii="Arial" w:hAnsi="Arial" w:cs="Arial"/>
                <w:b/>
                <w:color w:val="auto"/>
                <w:kern w:val="0"/>
                <w:szCs w:val="21"/>
                <w:highlight w:val="none"/>
              </w:rPr>
              <w:t>总体思路和组织管理</w:t>
            </w:r>
            <w:r>
              <w:rPr>
                <w:rFonts w:hint="eastAsia" w:ascii="宋体" w:hAnsi="宋体" w:cs="宋体"/>
                <w:b/>
                <w:bCs/>
                <w:color w:val="auto"/>
                <w:szCs w:val="21"/>
                <w:highlight w:val="none"/>
                <w:shd w:val="clear" w:color="auto" w:fill="FFFFFF"/>
              </w:rPr>
              <w:t>（</w:t>
            </w:r>
            <w:r>
              <w:rPr>
                <w:rFonts w:hint="default" w:ascii="宋体" w:hAnsi="宋体" w:cs="宋体"/>
                <w:b/>
                <w:bCs/>
                <w:color w:val="auto"/>
                <w:szCs w:val="21"/>
                <w:highlight w:val="none"/>
                <w:shd w:val="clear" w:color="auto" w:fill="FFFFFF"/>
                <w:lang w:val="en-US" w:eastAsia="zh-CN"/>
              </w:rPr>
              <w:t>5</w:t>
            </w:r>
            <w:r>
              <w:rPr>
                <w:rFonts w:hint="eastAsia" w:ascii="宋体" w:hAnsi="宋体" w:cs="宋体"/>
                <w:b/>
                <w:bCs/>
                <w:color w:val="auto"/>
                <w:szCs w:val="21"/>
                <w:highlight w:val="none"/>
                <w:shd w:val="clear" w:color="auto" w:fill="FFFFFF"/>
              </w:rPr>
              <w:t>分）</w:t>
            </w:r>
          </w:p>
        </w:tc>
        <w:tc>
          <w:tcPr>
            <w:tcW w:w="5741" w:type="dxa"/>
            <w:tcBorders>
              <w:top w:val="single" w:color="auto" w:sz="4" w:space="0"/>
              <w:left w:val="single" w:color="auto" w:sz="4" w:space="0"/>
              <w:right w:val="single" w:color="auto" w:sz="4" w:space="0"/>
            </w:tcBorders>
            <w:noWrap w:val="0"/>
            <w:vAlign w:val="center"/>
          </w:tcPr>
          <w:p w14:paraId="5D35B8F8">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.0分）：</w:t>
            </w:r>
            <w:r>
              <w:rPr>
                <w:rFonts w:ascii="宋体" w:hAnsi="Arial" w:eastAsia="宋体" w:cs="宋体"/>
                <w:snapToGrid w:val="0"/>
                <w:color w:val="auto"/>
                <w:sz w:val="21"/>
                <w:szCs w:val="21"/>
                <w:highlight w:val="none"/>
              </w:rPr>
              <w:t>对招标项目理解准确、全面、透彻，总体工作思路清晰、逻辑严密，切合项目特点，组织机构设置合理，项目管理机构人员满足本项目管理需要，职责表述明确，</w:t>
            </w:r>
            <w:r>
              <w:rPr>
                <w:rFonts w:hint="eastAsia" w:ascii="宋体" w:hAnsi="Arial" w:eastAsia="宋体" w:cs="宋体"/>
                <w:snapToGrid w:val="0"/>
                <w:color w:val="auto"/>
                <w:sz w:val="21"/>
                <w:szCs w:val="21"/>
                <w:highlight w:val="none"/>
              </w:rPr>
              <w:t>措施科学合理，具备切实可行性；</w:t>
            </w:r>
          </w:p>
          <w:p w14:paraId="487231CB">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.0分）：</w:t>
            </w:r>
            <w:r>
              <w:rPr>
                <w:rFonts w:ascii="宋体" w:hAnsi="Arial" w:cs="宋体"/>
                <w:snapToGrid w:val="0"/>
                <w:color w:val="auto"/>
                <w:sz w:val="21"/>
                <w:szCs w:val="21"/>
                <w:highlight w:val="none"/>
              </w:rPr>
              <w:t>对招标项目理解正确，总体工作思路论述清楚，较符合项目实际，组织机构设置较合理，项目管理机构人员较满足本项目管理需要，职责表述较明确，</w:t>
            </w:r>
            <w:bookmarkStart w:id="136" w:name="OLE_LINK10"/>
            <w:r>
              <w:rPr>
                <w:rFonts w:hint="eastAsia" w:ascii="宋体" w:hAnsi="Arial" w:cs="宋体"/>
                <w:snapToGrid w:val="0"/>
                <w:color w:val="auto"/>
                <w:sz w:val="21"/>
                <w:szCs w:val="21"/>
                <w:highlight w:val="none"/>
              </w:rPr>
              <w:t>较为合理且切实可行</w:t>
            </w:r>
            <w:bookmarkEnd w:id="136"/>
            <w:r>
              <w:rPr>
                <w:rFonts w:hint="eastAsia" w:ascii="宋体" w:hAnsi="宋体" w:eastAsia="宋体" w:cs="宋体"/>
                <w:color w:val="auto"/>
                <w:sz w:val="21"/>
                <w:szCs w:val="21"/>
                <w:highlight w:val="none"/>
                <w:shd w:val="clear" w:color="auto" w:fill="FFFFFF"/>
              </w:rPr>
              <w:t>；</w:t>
            </w:r>
          </w:p>
          <w:p w14:paraId="580DFF2D">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.0分）：</w:t>
            </w:r>
            <w:r>
              <w:rPr>
                <w:rFonts w:ascii="宋体" w:hAnsi="Arial" w:cs="宋体"/>
                <w:snapToGrid w:val="0"/>
                <w:color w:val="auto"/>
                <w:sz w:val="21"/>
                <w:szCs w:val="21"/>
                <w:highlight w:val="none"/>
              </w:rPr>
              <w:t>按要求论述对招标</w:t>
            </w:r>
            <w:r>
              <w:rPr>
                <w:rFonts w:ascii="宋体" w:cs="宋体"/>
                <w:color w:val="auto"/>
                <w:sz w:val="21"/>
                <w:szCs w:val="21"/>
                <w:highlight w:val="none"/>
              </w:rPr>
              <w:t>项目理解，但总体工作思路一般，组织机构设置</w:t>
            </w:r>
            <w:r>
              <w:rPr>
                <w:rFonts w:hint="eastAsia" w:ascii="宋体" w:eastAsia="宋体" w:cs="宋体"/>
                <w:color w:val="auto"/>
                <w:sz w:val="21"/>
                <w:szCs w:val="21"/>
                <w:highlight w:val="none"/>
                <w:lang w:eastAsia="zh-CN"/>
              </w:rPr>
              <w:t>简单</w:t>
            </w:r>
            <w:r>
              <w:rPr>
                <w:rFonts w:ascii="宋体" w:cs="宋体"/>
                <w:color w:val="auto"/>
                <w:sz w:val="21"/>
                <w:szCs w:val="21"/>
                <w:highlight w:val="none"/>
              </w:rPr>
              <w:t>，项目管理机构人员基本满足本项目管理需要，职责表述</w:t>
            </w:r>
            <w:r>
              <w:rPr>
                <w:rFonts w:hint="eastAsia" w:ascii="宋体" w:eastAsia="宋体" w:cs="宋体"/>
                <w:color w:val="auto"/>
                <w:sz w:val="21"/>
                <w:szCs w:val="21"/>
                <w:highlight w:val="none"/>
                <w:lang w:eastAsia="zh-CN"/>
              </w:rPr>
              <w:t>较简单</w:t>
            </w:r>
            <w:r>
              <w:rPr>
                <w:rFonts w:hint="eastAsia" w:ascii="宋体" w:hAnsi="宋体" w:eastAsia="宋体" w:cs="宋体"/>
                <w:color w:val="auto"/>
                <w:sz w:val="21"/>
                <w:szCs w:val="21"/>
                <w:highlight w:val="none"/>
                <w:shd w:val="clear" w:color="auto" w:fill="FFFFFF"/>
              </w:rPr>
              <w:t>；</w:t>
            </w:r>
          </w:p>
          <w:p w14:paraId="2DEA7C65">
            <w:pPr>
              <w:pStyle w:val="370"/>
              <w:spacing w:line="440" w:lineRule="exact"/>
              <w:rPr>
                <w:rFonts w:ascii="宋体" w:hAnsi="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未提供的不得分。</w:t>
            </w:r>
          </w:p>
        </w:tc>
      </w:tr>
      <w:tr w14:paraId="0027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2D8DC8B">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770CB6">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right w:val="single" w:color="auto" w:sz="4" w:space="0"/>
            </w:tcBorders>
            <w:noWrap w:val="0"/>
            <w:vAlign w:val="center"/>
          </w:tcPr>
          <w:p w14:paraId="6F743276">
            <w:pPr>
              <w:widowControl/>
              <w:snapToGrid w:val="0"/>
              <w:spacing w:line="440" w:lineRule="exact"/>
              <w:rPr>
                <w:rFonts w:ascii="宋体" w:hAnsi="宋体" w:cs="宋体"/>
                <w:b/>
                <w:bCs/>
                <w:color w:val="auto"/>
                <w:szCs w:val="21"/>
                <w:highlight w:val="none"/>
                <w:shd w:val="clear" w:color="auto" w:fill="FFFFFF"/>
              </w:rPr>
            </w:pPr>
            <w:r>
              <w:rPr>
                <w:rFonts w:hint="eastAsia" w:ascii="Arial" w:hAnsi="Arial" w:cs="Arial"/>
                <w:b/>
                <w:color w:val="auto"/>
                <w:kern w:val="0"/>
                <w:szCs w:val="21"/>
                <w:highlight w:val="none"/>
              </w:rPr>
              <w:t>（4）</w:t>
            </w:r>
            <w:r>
              <w:rPr>
                <w:rFonts w:ascii="Arial" w:hAnsi="Arial" w:cs="Arial"/>
                <w:b/>
                <w:color w:val="auto"/>
                <w:kern w:val="0"/>
                <w:szCs w:val="21"/>
                <w:highlight w:val="none"/>
              </w:rPr>
              <w:t>拟投入现场和室内的仪器设备</w:t>
            </w:r>
            <w:r>
              <w:rPr>
                <w:rFonts w:hint="eastAsia" w:ascii="宋体" w:hAnsi="宋体" w:cs="宋体"/>
                <w:b/>
                <w:bCs/>
                <w:color w:val="auto"/>
                <w:szCs w:val="21"/>
                <w:highlight w:val="none"/>
                <w:shd w:val="clear" w:color="auto" w:fill="FFFFFF"/>
              </w:rPr>
              <w:t>（</w:t>
            </w:r>
            <w:r>
              <w:rPr>
                <w:rFonts w:hint="eastAsia" w:ascii="宋体" w:hAnsi="宋体" w:cs="宋体"/>
                <w:b/>
                <w:bCs/>
                <w:color w:val="auto"/>
                <w:szCs w:val="21"/>
                <w:highlight w:val="none"/>
                <w:shd w:val="clear" w:color="auto" w:fill="FFFFFF"/>
                <w:lang w:val="en-US" w:eastAsia="zh-CN"/>
              </w:rPr>
              <w:t>5</w:t>
            </w:r>
            <w:r>
              <w:rPr>
                <w:rFonts w:hint="eastAsia" w:ascii="宋体" w:hAnsi="宋体" w:cs="宋体"/>
                <w:b/>
                <w:bCs/>
                <w:color w:val="auto"/>
                <w:szCs w:val="21"/>
                <w:highlight w:val="none"/>
                <w:shd w:val="clear" w:color="auto" w:fill="FFFFFF"/>
              </w:rPr>
              <w:t>分）</w:t>
            </w:r>
          </w:p>
        </w:tc>
        <w:tc>
          <w:tcPr>
            <w:tcW w:w="5741" w:type="dxa"/>
            <w:tcBorders>
              <w:top w:val="single" w:color="auto" w:sz="4" w:space="0"/>
              <w:left w:val="single" w:color="auto" w:sz="4" w:space="0"/>
              <w:right w:val="single" w:color="auto" w:sz="4" w:space="0"/>
            </w:tcBorders>
            <w:noWrap w:val="0"/>
            <w:vAlign w:val="center"/>
          </w:tcPr>
          <w:p w14:paraId="0EAD409E">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5</w:t>
            </w:r>
            <w:r>
              <w:rPr>
                <w:rFonts w:ascii="宋体" w:hAnsi="宋体" w:eastAsia="宋体" w:cs="宋体"/>
                <w:color w:val="auto"/>
                <w:sz w:val="21"/>
                <w:szCs w:val="21"/>
                <w:highlight w:val="none"/>
                <w:shd w:val="clear" w:color="auto" w:fill="FFFFFF"/>
              </w:rPr>
              <w:t>.0</w:t>
            </w:r>
            <w:r>
              <w:rPr>
                <w:rFonts w:hint="eastAsia" w:ascii="宋体" w:hAnsi="宋体" w:eastAsia="宋体" w:cs="宋体"/>
                <w:color w:val="auto"/>
                <w:sz w:val="21"/>
                <w:szCs w:val="21"/>
                <w:highlight w:val="none"/>
                <w:shd w:val="clear" w:color="auto" w:fill="FFFFFF"/>
              </w:rPr>
              <w:t>分）：</w:t>
            </w:r>
            <w:bookmarkStart w:id="137" w:name="OLE_LINK7"/>
            <w:r>
              <w:rPr>
                <w:rFonts w:hint="eastAsia" w:ascii="宋体" w:hAnsi="Arial" w:cs="宋体"/>
                <w:snapToGrid w:val="0"/>
                <w:color w:val="auto"/>
                <w:sz w:val="21"/>
                <w:szCs w:val="21"/>
                <w:highlight w:val="none"/>
              </w:rPr>
              <w:t>投入现场及室内的仪器设备配置科学合理，性能先进稳定、运行可靠，能充分高效满足项目严格的进度、质量与安全实际需求</w:t>
            </w:r>
            <w:bookmarkEnd w:id="137"/>
            <w:r>
              <w:rPr>
                <w:rFonts w:hint="eastAsia" w:ascii="宋体" w:hAnsi="宋体" w:eastAsia="宋体" w:cs="宋体"/>
                <w:color w:val="auto"/>
                <w:sz w:val="21"/>
                <w:szCs w:val="21"/>
                <w:highlight w:val="none"/>
                <w:shd w:val="clear" w:color="auto" w:fill="FFFFFF"/>
              </w:rPr>
              <w:t>；</w:t>
            </w:r>
          </w:p>
          <w:p w14:paraId="4C280AC1">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4</w:t>
            </w:r>
            <w:r>
              <w:rPr>
                <w:rFonts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rPr>
              <w:t>0分）：</w:t>
            </w:r>
            <w:bookmarkStart w:id="138" w:name="OLE_LINK8"/>
            <w:r>
              <w:rPr>
                <w:rFonts w:ascii="宋体" w:hAnsi="Arial" w:cs="宋体"/>
                <w:snapToGrid w:val="0"/>
                <w:color w:val="auto"/>
                <w:sz w:val="21"/>
                <w:szCs w:val="21"/>
                <w:highlight w:val="none"/>
              </w:rPr>
              <w:t>投入现场和室内的仪器设备较合理，</w:t>
            </w:r>
            <w:r>
              <w:rPr>
                <w:rFonts w:hint="eastAsia" w:ascii="宋体" w:hAnsi="Arial" w:cs="宋体"/>
                <w:snapToGrid w:val="0"/>
                <w:color w:val="auto"/>
                <w:sz w:val="21"/>
                <w:szCs w:val="21"/>
                <w:highlight w:val="none"/>
              </w:rPr>
              <w:t>选型适配</w:t>
            </w:r>
            <w:r>
              <w:rPr>
                <w:rFonts w:hint="eastAsia" w:ascii="宋体" w:hAnsi="Arial" w:eastAsia="宋体" w:cs="宋体"/>
                <w:snapToGrid w:val="0"/>
                <w:color w:val="auto"/>
                <w:sz w:val="21"/>
                <w:szCs w:val="21"/>
                <w:highlight w:val="none"/>
                <w:lang w:eastAsia="zh-CN"/>
              </w:rPr>
              <w:t>，</w:t>
            </w:r>
            <w:r>
              <w:rPr>
                <w:rFonts w:hint="eastAsia" w:ascii="宋体" w:hAnsi="Arial" w:cs="宋体"/>
                <w:snapToGrid w:val="0"/>
                <w:color w:val="auto"/>
                <w:sz w:val="21"/>
                <w:szCs w:val="21"/>
                <w:highlight w:val="none"/>
              </w:rPr>
              <w:t>性能稳定优良</w:t>
            </w:r>
            <w:r>
              <w:rPr>
                <w:rFonts w:ascii="宋体" w:hAnsi="Arial" w:cs="宋体"/>
                <w:snapToGrid w:val="0"/>
                <w:color w:val="auto"/>
                <w:sz w:val="21"/>
                <w:szCs w:val="21"/>
                <w:highlight w:val="none"/>
              </w:rPr>
              <w:t>，能较好满足本项目进度、质量、安全需要</w:t>
            </w:r>
            <w:r>
              <w:rPr>
                <w:rFonts w:hint="eastAsia" w:ascii="宋体" w:hAnsi="宋体" w:eastAsia="宋体" w:cs="宋体"/>
                <w:color w:val="auto"/>
                <w:sz w:val="21"/>
                <w:szCs w:val="21"/>
                <w:highlight w:val="none"/>
                <w:shd w:val="clear" w:color="auto" w:fill="FFFFFF"/>
              </w:rPr>
              <w:t>；</w:t>
            </w:r>
            <w:bookmarkEnd w:id="138"/>
          </w:p>
          <w:p w14:paraId="52C6174C">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3</w:t>
            </w:r>
            <w:r>
              <w:rPr>
                <w:rFonts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rPr>
              <w:t>0分）：</w:t>
            </w:r>
            <w:bookmarkStart w:id="139" w:name="OLE_LINK9"/>
            <w:r>
              <w:rPr>
                <w:rFonts w:ascii="宋体" w:hAnsi="Arial" w:cs="宋体"/>
                <w:snapToGrid w:val="0"/>
                <w:color w:val="auto"/>
                <w:sz w:val="21"/>
                <w:szCs w:val="21"/>
                <w:highlight w:val="none"/>
              </w:rPr>
              <w:t>投入现场和室内的仪器设备基本合理，性能基本满足要求，能基本完成本项目工作</w:t>
            </w:r>
            <w:bookmarkEnd w:id="139"/>
            <w:r>
              <w:rPr>
                <w:rFonts w:hint="eastAsia" w:ascii="宋体" w:hAnsi="宋体" w:eastAsia="宋体" w:cs="宋体"/>
                <w:color w:val="auto"/>
                <w:sz w:val="21"/>
                <w:szCs w:val="21"/>
                <w:highlight w:val="none"/>
                <w:shd w:val="clear" w:color="auto" w:fill="FFFFFF"/>
              </w:rPr>
              <w:t>；</w:t>
            </w:r>
          </w:p>
          <w:p w14:paraId="7CD2E205">
            <w:pPr>
              <w:pStyle w:val="370"/>
              <w:spacing w:line="440" w:lineRule="exact"/>
              <w:rPr>
                <w:rFonts w:ascii="宋体" w:hAnsi="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未提供的不得分。</w:t>
            </w:r>
          </w:p>
        </w:tc>
      </w:tr>
      <w:tr w14:paraId="3F2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3820B41">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AD2349">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C87C9B4">
            <w:pPr>
              <w:pStyle w:val="370"/>
              <w:spacing w:line="440" w:lineRule="exact"/>
              <w:rPr>
                <w:rFonts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（5）工期及进度计划</w:t>
            </w:r>
            <w:r>
              <w:rPr>
                <w:rFonts w:ascii="宋体" w:hAnsi="宋体" w:eastAsia="宋体" w:cs="宋体"/>
                <w:b/>
                <w:bCs/>
                <w:color w:val="auto"/>
                <w:sz w:val="21"/>
                <w:szCs w:val="21"/>
                <w:highlight w:val="none"/>
                <w:shd w:val="clear" w:color="auto" w:fill="FFFFFF"/>
              </w:rPr>
              <w:t>（</w:t>
            </w:r>
            <w:r>
              <w:rPr>
                <w:rFonts w:hint="eastAsia" w:ascii="宋体" w:hAnsi="宋体" w:eastAsia="宋体" w:cs="宋体"/>
                <w:b/>
                <w:bCs/>
                <w:color w:val="auto"/>
                <w:sz w:val="21"/>
                <w:szCs w:val="21"/>
                <w:highlight w:val="none"/>
                <w:shd w:val="clear" w:color="auto" w:fill="FFFFFF"/>
                <w:lang w:val="en-US" w:eastAsia="zh-CN"/>
              </w:rPr>
              <w:t>6</w:t>
            </w:r>
            <w:r>
              <w:rPr>
                <w:rFonts w:ascii="宋体" w:hAnsi="宋体" w:eastAsia="宋体" w:cs="宋体"/>
                <w:b/>
                <w:bCs/>
                <w:color w:val="auto"/>
                <w:sz w:val="21"/>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6BD67EF0">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val="en-US" w:eastAsia="zh-CN"/>
              </w:rPr>
              <w:t>6</w:t>
            </w:r>
            <w:r>
              <w:rPr>
                <w:rFonts w:hint="eastAsia" w:ascii="宋体" w:hAnsi="宋体" w:eastAsia="宋体"/>
                <w:color w:val="auto"/>
                <w:sz w:val="21"/>
                <w:szCs w:val="21"/>
                <w:highlight w:val="none"/>
                <w:shd w:val="clear" w:color="auto" w:fill="FFFFFF"/>
              </w:rPr>
              <w:t>.0分）</w:t>
            </w:r>
            <w:r>
              <w:rPr>
                <w:rFonts w:hint="eastAsia" w:ascii="宋体" w:hAnsi="宋体" w:eastAsia="宋体" w:cs="宋体"/>
                <w:color w:val="auto"/>
                <w:sz w:val="21"/>
                <w:szCs w:val="21"/>
                <w:highlight w:val="none"/>
                <w:shd w:val="clear" w:color="auto" w:fill="FFFFFF"/>
              </w:rPr>
              <w:t>：</w:t>
            </w:r>
            <w:r>
              <w:rPr>
                <w:rFonts w:ascii="宋体" w:hAnsi="Arial" w:cs="宋体"/>
                <w:snapToGrid w:val="0"/>
                <w:color w:val="auto"/>
                <w:sz w:val="21"/>
                <w:szCs w:val="21"/>
                <w:highlight w:val="none"/>
              </w:rPr>
              <w:t>提供进度计划横道图，</w:t>
            </w:r>
            <w:r>
              <w:rPr>
                <w:rFonts w:hint="eastAsia" w:ascii="宋体" w:hAnsi="Arial" w:cs="宋体"/>
                <w:snapToGrid w:val="0"/>
                <w:color w:val="auto"/>
                <w:sz w:val="21"/>
                <w:szCs w:val="21"/>
                <w:highlight w:val="none"/>
              </w:rPr>
              <w:t>编制的进度计划可操作性强，制定有具体的进度控制措施，工期安排合理，各阶段工作安排得当</w:t>
            </w:r>
            <w:r>
              <w:rPr>
                <w:rFonts w:ascii="宋体" w:hAnsi="Arial" w:cs="宋体"/>
                <w:snapToGrid w:val="0"/>
                <w:color w:val="auto"/>
                <w:sz w:val="21"/>
                <w:szCs w:val="21"/>
                <w:highlight w:val="none"/>
              </w:rPr>
              <w:t>，工期满足招标文件要求并能提前</w:t>
            </w:r>
            <w:r>
              <w:rPr>
                <w:rFonts w:hint="eastAsia" w:ascii="宋体" w:hAnsi="Arial" w:eastAsia="宋体" w:cs="宋体"/>
                <w:snapToGrid w:val="0"/>
                <w:color w:val="auto"/>
                <w:sz w:val="21"/>
                <w:szCs w:val="21"/>
                <w:highlight w:val="none"/>
              </w:rPr>
              <w:t>10天以上完成</w:t>
            </w:r>
            <w:r>
              <w:rPr>
                <w:rFonts w:hint="eastAsia" w:ascii="宋体" w:hAnsi="宋体" w:eastAsia="宋体" w:cs="宋体"/>
                <w:color w:val="auto"/>
                <w:sz w:val="21"/>
                <w:szCs w:val="21"/>
                <w:highlight w:val="none"/>
                <w:shd w:val="clear" w:color="auto" w:fill="FFFFFF"/>
              </w:rPr>
              <w:t>；</w:t>
            </w:r>
          </w:p>
          <w:p w14:paraId="5B1EE7FB">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val="en-US" w:eastAsia="zh-CN"/>
              </w:rPr>
              <w:t>4.8</w:t>
            </w:r>
            <w:r>
              <w:rPr>
                <w:rFonts w:hint="eastAsia" w:ascii="宋体" w:hAnsi="宋体" w:eastAsia="宋体"/>
                <w:color w:val="auto"/>
                <w:sz w:val="21"/>
                <w:szCs w:val="21"/>
                <w:highlight w:val="none"/>
                <w:shd w:val="clear" w:color="auto" w:fill="FFFFFF"/>
              </w:rPr>
              <w:t>分）</w:t>
            </w:r>
            <w:r>
              <w:rPr>
                <w:rFonts w:hint="eastAsia" w:ascii="宋体" w:hAnsi="宋体" w:eastAsia="宋体" w:cs="宋体"/>
                <w:color w:val="auto"/>
                <w:sz w:val="21"/>
                <w:szCs w:val="21"/>
                <w:highlight w:val="none"/>
                <w:shd w:val="clear" w:color="auto" w:fill="FFFFFF"/>
              </w:rPr>
              <w:t>：</w:t>
            </w:r>
            <w:r>
              <w:rPr>
                <w:rFonts w:ascii="宋体" w:hAnsi="Arial" w:cs="宋体"/>
                <w:snapToGrid w:val="0"/>
                <w:color w:val="auto"/>
                <w:sz w:val="21"/>
                <w:szCs w:val="21"/>
                <w:highlight w:val="none"/>
              </w:rPr>
              <w:t>提供进度计划横道图，</w:t>
            </w:r>
            <w:r>
              <w:rPr>
                <w:rFonts w:hint="eastAsia" w:ascii="宋体" w:hAnsi="Arial" w:cs="宋体"/>
                <w:snapToGrid w:val="0"/>
                <w:color w:val="auto"/>
                <w:sz w:val="21"/>
                <w:szCs w:val="21"/>
                <w:highlight w:val="none"/>
              </w:rPr>
              <w:t>编制的进度计划有一定的可操作性，制定有进度控制措施，工期安排较合理</w:t>
            </w:r>
            <w:r>
              <w:rPr>
                <w:rFonts w:ascii="宋体" w:hAnsi="Arial" w:cs="宋体"/>
                <w:snapToGrid w:val="0"/>
                <w:color w:val="auto"/>
                <w:sz w:val="21"/>
                <w:szCs w:val="21"/>
                <w:highlight w:val="none"/>
              </w:rPr>
              <w:t>，工期能满足招标文件要求</w:t>
            </w:r>
            <w:r>
              <w:rPr>
                <w:rFonts w:hint="eastAsia" w:ascii="宋体" w:hAnsi="宋体" w:eastAsia="宋体" w:cs="宋体"/>
                <w:color w:val="auto"/>
                <w:sz w:val="21"/>
                <w:szCs w:val="21"/>
                <w:highlight w:val="none"/>
                <w:shd w:val="clear" w:color="auto" w:fill="FFFFFF"/>
              </w:rPr>
              <w:t xml:space="preserve">； </w:t>
            </w:r>
          </w:p>
          <w:p w14:paraId="5BCE77E1">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val="en-US" w:eastAsia="zh-CN"/>
              </w:rPr>
              <w:t>3.6</w:t>
            </w:r>
            <w:r>
              <w:rPr>
                <w:rFonts w:hint="eastAsia" w:ascii="宋体" w:hAnsi="宋体" w:eastAsia="宋体"/>
                <w:color w:val="auto"/>
                <w:sz w:val="21"/>
                <w:szCs w:val="21"/>
                <w:highlight w:val="none"/>
                <w:shd w:val="clear" w:color="auto" w:fill="FFFFFF"/>
              </w:rPr>
              <w:t>分）</w:t>
            </w:r>
            <w:r>
              <w:rPr>
                <w:rFonts w:hint="eastAsia" w:ascii="宋体" w:hAnsi="宋体" w:eastAsia="宋体" w:cs="宋体"/>
                <w:color w:val="auto"/>
                <w:sz w:val="21"/>
                <w:szCs w:val="21"/>
                <w:highlight w:val="none"/>
                <w:shd w:val="clear" w:color="auto" w:fill="FFFFFF"/>
              </w:rPr>
              <w:t>：</w:t>
            </w:r>
            <w:r>
              <w:rPr>
                <w:rFonts w:ascii="宋体" w:hAnsi="Arial" w:cs="宋体"/>
                <w:snapToGrid w:val="0"/>
                <w:color w:val="auto"/>
                <w:sz w:val="21"/>
                <w:szCs w:val="21"/>
                <w:highlight w:val="none"/>
              </w:rPr>
              <w:t>进度计划与保障措施</w:t>
            </w:r>
            <w:r>
              <w:rPr>
                <w:rFonts w:hint="eastAsia" w:ascii="宋体" w:hAnsi="Arial" w:eastAsia="宋体" w:cs="宋体"/>
                <w:snapToGrid w:val="0"/>
                <w:color w:val="auto"/>
                <w:sz w:val="21"/>
                <w:szCs w:val="21"/>
                <w:highlight w:val="none"/>
                <w:lang w:eastAsia="zh-CN"/>
              </w:rPr>
              <w:t>比较简单，</w:t>
            </w:r>
            <w:r>
              <w:rPr>
                <w:rFonts w:ascii="宋体" w:hAnsi="Arial" w:cs="宋体"/>
                <w:snapToGrid w:val="0"/>
                <w:color w:val="auto"/>
                <w:sz w:val="21"/>
                <w:szCs w:val="21"/>
                <w:highlight w:val="none"/>
              </w:rPr>
              <w:t>基本合理可行，工期基本满足招标文件要求</w:t>
            </w:r>
            <w:r>
              <w:rPr>
                <w:rFonts w:hint="eastAsia" w:ascii="宋体" w:hAnsi="宋体" w:eastAsia="宋体" w:cs="宋体"/>
                <w:snapToGrid w:val="0"/>
                <w:color w:val="auto"/>
                <w:sz w:val="21"/>
                <w:szCs w:val="21"/>
                <w:highlight w:val="none"/>
              </w:rPr>
              <w:t>；</w:t>
            </w:r>
          </w:p>
          <w:p w14:paraId="23B02F7B">
            <w:pPr>
              <w:widowControl/>
              <w:snapToGrid w:val="0"/>
              <w:spacing w:line="44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未提供的不得分。</w:t>
            </w:r>
          </w:p>
        </w:tc>
      </w:tr>
      <w:tr w14:paraId="7C4B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AA5C770">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FEFE6B">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A118EC7">
            <w:pPr>
              <w:pStyle w:val="370"/>
              <w:spacing w:line="440" w:lineRule="exact"/>
              <w:rPr>
                <w:rFonts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（6）质量管理措施</w:t>
            </w:r>
          </w:p>
          <w:p w14:paraId="7A1064E4">
            <w:pPr>
              <w:pStyle w:val="370"/>
              <w:spacing w:line="440" w:lineRule="exact"/>
              <w:rPr>
                <w:rFonts w:ascii="宋体" w:hAnsi="宋体" w:eastAsia="宋体" w:cs="宋体"/>
                <w:b/>
                <w:bCs/>
                <w:color w:val="auto"/>
                <w:sz w:val="21"/>
                <w:szCs w:val="21"/>
                <w:highlight w:val="none"/>
                <w:shd w:val="clear" w:color="auto" w:fill="FFFFFF"/>
              </w:rPr>
            </w:pPr>
            <w:r>
              <w:rPr>
                <w:rFonts w:ascii="宋体" w:hAnsi="宋体" w:eastAsia="宋体" w:cs="宋体"/>
                <w:b/>
                <w:bCs/>
                <w:color w:val="auto"/>
                <w:sz w:val="21"/>
                <w:szCs w:val="21"/>
                <w:highlight w:val="none"/>
                <w:shd w:val="clear" w:color="auto" w:fill="FFFFFF"/>
              </w:rPr>
              <w:t>（</w:t>
            </w:r>
            <w:r>
              <w:rPr>
                <w:rFonts w:hint="eastAsia" w:ascii="宋体" w:hAnsi="宋体" w:eastAsia="宋体" w:cs="宋体"/>
                <w:b/>
                <w:bCs/>
                <w:color w:val="auto"/>
                <w:sz w:val="21"/>
                <w:szCs w:val="21"/>
                <w:highlight w:val="none"/>
                <w:shd w:val="clear" w:color="auto" w:fill="FFFFFF"/>
                <w:lang w:val="en-US" w:eastAsia="zh-CN"/>
              </w:rPr>
              <w:t>7</w:t>
            </w:r>
            <w:r>
              <w:rPr>
                <w:rFonts w:ascii="宋体" w:hAnsi="宋体" w:eastAsia="宋体" w:cs="宋体"/>
                <w:b/>
                <w:bCs/>
                <w:color w:val="auto"/>
                <w:sz w:val="21"/>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656B24D0">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val="en-US" w:eastAsia="zh-CN"/>
              </w:rPr>
              <w:t>7</w:t>
            </w:r>
            <w:r>
              <w:rPr>
                <w:rFonts w:hint="eastAsia" w:ascii="宋体" w:hAnsi="宋体" w:eastAsia="宋体"/>
                <w:color w:val="auto"/>
                <w:sz w:val="21"/>
                <w:szCs w:val="21"/>
                <w:highlight w:val="none"/>
                <w:shd w:val="clear" w:color="auto" w:fill="FFFFFF"/>
              </w:rPr>
              <w:t>.0分）</w:t>
            </w:r>
            <w:r>
              <w:rPr>
                <w:rFonts w:hint="eastAsia" w:ascii="宋体" w:hAnsi="宋体" w:eastAsia="宋体" w:cs="宋体"/>
                <w:color w:val="auto"/>
                <w:sz w:val="21"/>
                <w:szCs w:val="21"/>
                <w:highlight w:val="none"/>
                <w:shd w:val="clear" w:color="auto" w:fill="FFFFFF"/>
              </w:rPr>
              <w:t>：</w:t>
            </w:r>
            <w:r>
              <w:rPr>
                <w:rFonts w:ascii="宋体" w:hAnsi="Arial" w:cs="宋体"/>
                <w:snapToGrid w:val="0"/>
                <w:color w:val="auto"/>
                <w:sz w:val="21"/>
                <w:szCs w:val="21"/>
                <w:highlight w:val="none"/>
              </w:rPr>
              <w:t>质量管理目标明确、责任落实到位、质量管理体系完善，质量保障</w:t>
            </w:r>
            <w:r>
              <w:rPr>
                <w:rFonts w:hint="eastAsia" w:ascii="宋体" w:hAnsi="Arial" w:eastAsia="宋体" w:cs="宋体"/>
                <w:snapToGrid w:val="0"/>
                <w:color w:val="auto"/>
                <w:sz w:val="21"/>
                <w:szCs w:val="21"/>
                <w:highlight w:val="none"/>
                <w:lang w:eastAsia="zh-CN"/>
              </w:rPr>
              <w:t>管理</w:t>
            </w:r>
            <w:r>
              <w:rPr>
                <w:rFonts w:ascii="宋体" w:hAnsi="Arial" w:cs="宋体"/>
                <w:snapToGrid w:val="0"/>
                <w:color w:val="auto"/>
                <w:sz w:val="21"/>
                <w:szCs w:val="21"/>
                <w:highlight w:val="none"/>
              </w:rPr>
              <w:t>措施</w:t>
            </w:r>
            <w:r>
              <w:rPr>
                <w:rFonts w:hint="eastAsia" w:ascii="宋体" w:hAnsi="Arial" w:cs="宋体"/>
                <w:snapToGrid w:val="0"/>
                <w:color w:val="auto"/>
                <w:sz w:val="21"/>
                <w:szCs w:val="21"/>
                <w:highlight w:val="none"/>
              </w:rPr>
              <w:t>有详细阐述</w:t>
            </w:r>
            <w:r>
              <w:rPr>
                <w:rFonts w:ascii="宋体" w:hAnsi="Arial" w:cs="宋体"/>
                <w:snapToGrid w:val="0"/>
                <w:color w:val="auto"/>
                <w:sz w:val="21"/>
                <w:szCs w:val="21"/>
                <w:highlight w:val="none"/>
              </w:rPr>
              <w:t>，针对性强</w:t>
            </w:r>
            <w:r>
              <w:rPr>
                <w:rFonts w:hint="eastAsia" w:ascii="宋体" w:hAnsi="Arial" w:eastAsia="宋体" w:cs="宋体"/>
                <w:snapToGrid w:val="0"/>
                <w:color w:val="auto"/>
                <w:sz w:val="21"/>
                <w:szCs w:val="21"/>
                <w:highlight w:val="none"/>
                <w:lang w:eastAsia="zh-CN"/>
              </w:rPr>
              <w:t>，</w:t>
            </w:r>
            <w:r>
              <w:rPr>
                <w:rFonts w:hint="eastAsia" w:ascii="宋体" w:hAnsi="Arial" w:eastAsia="宋体" w:cs="宋体"/>
                <w:snapToGrid w:val="0"/>
                <w:color w:val="auto"/>
                <w:sz w:val="21"/>
                <w:szCs w:val="21"/>
                <w:highlight w:val="none"/>
              </w:rPr>
              <w:t>有质量技术管理班子、人员配备、相关制度</w:t>
            </w:r>
            <w:r>
              <w:rPr>
                <w:rFonts w:hint="eastAsia" w:ascii="宋体" w:hAnsi="Arial" w:eastAsia="宋体" w:cs="宋体"/>
                <w:snapToGrid w:val="0"/>
                <w:color w:val="auto"/>
                <w:sz w:val="21"/>
                <w:szCs w:val="21"/>
                <w:highlight w:val="none"/>
                <w:lang w:eastAsia="zh-CN"/>
              </w:rPr>
              <w:t>，</w:t>
            </w:r>
            <w:r>
              <w:rPr>
                <w:rFonts w:hint="eastAsia" w:ascii="宋体" w:hAnsi="宋体"/>
                <w:b/>
                <w:bCs/>
                <w:color w:val="auto"/>
                <w:szCs w:val="21"/>
                <w:highlight w:val="none"/>
                <w:shd w:val="clear" w:color="auto" w:fill="FFFFFF"/>
              </w:rPr>
              <w:t>能够</w:t>
            </w:r>
            <w:r>
              <w:rPr>
                <w:rFonts w:hint="eastAsia" w:ascii="宋体" w:hAnsi="宋体"/>
                <w:b/>
                <w:bCs/>
                <w:color w:val="auto"/>
                <w:szCs w:val="21"/>
                <w:highlight w:val="none"/>
                <w:shd w:val="clear" w:color="auto" w:fill="FFFFFF"/>
                <w:lang w:eastAsia="zh-CN"/>
              </w:rPr>
              <w:t>确保成果文件锚地划定和上海图</w:t>
            </w:r>
            <w:r>
              <w:rPr>
                <w:rFonts w:hint="eastAsia" w:ascii="宋体" w:hAnsi="宋体"/>
                <w:b/>
                <w:bCs/>
                <w:color w:val="auto"/>
                <w:szCs w:val="21"/>
                <w:highlight w:val="none"/>
                <w:shd w:val="clear" w:color="auto" w:fill="FFFFFF"/>
              </w:rPr>
              <w:t>要求</w:t>
            </w:r>
            <w:r>
              <w:rPr>
                <w:rFonts w:hint="eastAsia" w:ascii="宋体" w:hAnsi="宋体" w:eastAsia="宋体" w:cs="宋体"/>
                <w:color w:val="auto"/>
                <w:sz w:val="21"/>
                <w:szCs w:val="21"/>
                <w:highlight w:val="none"/>
                <w:shd w:val="clear" w:color="auto" w:fill="FFFFFF"/>
              </w:rPr>
              <w:t>；</w:t>
            </w:r>
          </w:p>
          <w:p w14:paraId="15335778">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val="en-US" w:eastAsia="zh-CN"/>
              </w:rPr>
              <w:t>5.6</w:t>
            </w:r>
            <w:r>
              <w:rPr>
                <w:rFonts w:hint="eastAsia" w:ascii="宋体" w:hAnsi="宋体" w:eastAsia="宋体"/>
                <w:color w:val="auto"/>
                <w:sz w:val="21"/>
                <w:szCs w:val="21"/>
                <w:highlight w:val="none"/>
                <w:shd w:val="clear" w:color="auto" w:fill="FFFFFF"/>
              </w:rPr>
              <w:t>分）</w:t>
            </w:r>
            <w:r>
              <w:rPr>
                <w:rFonts w:hint="eastAsia" w:ascii="宋体" w:hAnsi="宋体" w:eastAsia="宋体" w:cs="宋体"/>
                <w:color w:val="auto"/>
                <w:sz w:val="21"/>
                <w:szCs w:val="21"/>
                <w:highlight w:val="none"/>
                <w:shd w:val="clear" w:color="auto" w:fill="FFFFFF"/>
              </w:rPr>
              <w:t>：</w:t>
            </w:r>
            <w:r>
              <w:rPr>
                <w:rFonts w:ascii="宋体" w:hAnsi="Arial" w:cs="宋体"/>
                <w:snapToGrid w:val="0"/>
                <w:color w:val="auto"/>
                <w:sz w:val="21"/>
                <w:szCs w:val="21"/>
                <w:highlight w:val="none"/>
              </w:rPr>
              <w:t>质量管理目标较明确、责任落实较到位、质量管理体系较完善，</w:t>
            </w:r>
            <w:r>
              <w:rPr>
                <w:rFonts w:hint="eastAsia" w:ascii="宋体" w:hAnsi="Arial" w:eastAsia="宋体" w:cs="宋体"/>
                <w:snapToGrid w:val="0"/>
                <w:color w:val="auto"/>
                <w:sz w:val="21"/>
                <w:szCs w:val="21"/>
                <w:highlight w:val="none"/>
                <w:lang w:eastAsia="zh-CN"/>
              </w:rPr>
              <w:t>对</w:t>
            </w:r>
            <w:r>
              <w:rPr>
                <w:rFonts w:ascii="宋体" w:hAnsi="Arial" w:cs="宋体"/>
                <w:snapToGrid w:val="0"/>
                <w:color w:val="auto"/>
                <w:sz w:val="21"/>
                <w:szCs w:val="21"/>
                <w:highlight w:val="none"/>
              </w:rPr>
              <w:t>质量保障</w:t>
            </w:r>
            <w:r>
              <w:rPr>
                <w:rFonts w:hint="eastAsia" w:ascii="宋体" w:hAnsi="Arial" w:eastAsia="宋体" w:cs="宋体"/>
                <w:snapToGrid w:val="0"/>
                <w:color w:val="auto"/>
                <w:sz w:val="21"/>
                <w:szCs w:val="21"/>
                <w:highlight w:val="none"/>
                <w:lang w:eastAsia="zh-CN"/>
              </w:rPr>
              <w:t>管理</w:t>
            </w:r>
            <w:r>
              <w:rPr>
                <w:rFonts w:ascii="宋体" w:hAnsi="Arial" w:cs="宋体"/>
                <w:snapToGrid w:val="0"/>
                <w:color w:val="auto"/>
                <w:sz w:val="21"/>
                <w:szCs w:val="21"/>
                <w:highlight w:val="none"/>
              </w:rPr>
              <w:t>措施</w:t>
            </w:r>
            <w:r>
              <w:rPr>
                <w:rFonts w:hint="eastAsia" w:ascii="宋体" w:hAnsi="Arial" w:cs="宋体"/>
                <w:snapToGrid w:val="0"/>
                <w:color w:val="auto"/>
                <w:sz w:val="21"/>
                <w:szCs w:val="21"/>
                <w:highlight w:val="none"/>
              </w:rPr>
              <w:t>有</w:t>
            </w:r>
            <w:r>
              <w:rPr>
                <w:rFonts w:hint="eastAsia" w:ascii="宋体" w:hAnsi="Arial" w:eastAsia="宋体" w:cs="宋体"/>
                <w:snapToGrid w:val="0"/>
                <w:color w:val="auto"/>
                <w:sz w:val="21"/>
                <w:szCs w:val="21"/>
                <w:highlight w:val="none"/>
                <w:lang w:eastAsia="zh-CN"/>
              </w:rPr>
              <w:t>具体</w:t>
            </w:r>
            <w:r>
              <w:rPr>
                <w:rFonts w:hint="eastAsia" w:ascii="宋体" w:hAnsi="Arial" w:cs="宋体"/>
                <w:snapToGrid w:val="0"/>
                <w:color w:val="auto"/>
                <w:sz w:val="21"/>
                <w:szCs w:val="21"/>
                <w:highlight w:val="none"/>
              </w:rPr>
              <w:t>阐述</w:t>
            </w:r>
            <w:r>
              <w:rPr>
                <w:rFonts w:hint="eastAsia" w:ascii="宋体" w:hAnsi="Arial" w:eastAsia="宋体" w:cs="宋体"/>
                <w:snapToGrid w:val="0"/>
                <w:color w:val="auto"/>
                <w:sz w:val="21"/>
                <w:szCs w:val="21"/>
                <w:highlight w:val="none"/>
                <w:lang w:eastAsia="zh-CN"/>
              </w:rPr>
              <w:t>，包含有</w:t>
            </w:r>
            <w:r>
              <w:rPr>
                <w:rFonts w:hint="default" w:ascii="宋体" w:hAnsi="Arial" w:eastAsia="Times New Roman" w:cs="宋体"/>
                <w:snapToGrid w:val="0"/>
                <w:color w:val="auto"/>
                <w:sz w:val="21"/>
                <w:szCs w:val="21"/>
                <w:highlight w:val="none"/>
              </w:rPr>
              <w:t>人员配备</w:t>
            </w:r>
            <w:r>
              <w:rPr>
                <w:rFonts w:hint="eastAsia" w:ascii="宋体" w:hAnsi="Arial" w:eastAsia="宋体" w:cs="宋体"/>
                <w:snapToGrid w:val="0"/>
                <w:color w:val="auto"/>
                <w:sz w:val="21"/>
                <w:szCs w:val="21"/>
                <w:highlight w:val="none"/>
                <w:lang w:eastAsia="zh-CN"/>
              </w:rPr>
              <w:t>及</w:t>
            </w:r>
            <w:r>
              <w:rPr>
                <w:rFonts w:hint="default" w:ascii="宋体" w:hAnsi="Arial" w:eastAsia="Times New Roman" w:cs="宋体"/>
                <w:snapToGrid w:val="0"/>
                <w:color w:val="auto"/>
                <w:sz w:val="21"/>
                <w:szCs w:val="21"/>
                <w:highlight w:val="none"/>
              </w:rPr>
              <w:t>相关制度</w:t>
            </w:r>
            <w:r>
              <w:rPr>
                <w:rFonts w:ascii="宋体" w:hAnsi="Arial" w:cs="宋体"/>
                <w:snapToGrid w:val="0"/>
                <w:color w:val="auto"/>
                <w:sz w:val="21"/>
                <w:szCs w:val="21"/>
                <w:highlight w:val="none"/>
              </w:rPr>
              <w:t>，针对性较强</w:t>
            </w:r>
            <w:r>
              <w:rPr>
                <w:rFonts w:hint="default" w:ascii="宋体" w:hAnsi="Arial" w:eastAsia="Times New Roman" w:cs="宋体"/>
                <w:snapToGrid w:val="0"/>
                <w:color w:val="auto"/>
                <w:sz w:val="21"/>
                <w:szCs w:val="21"/>
                <w:highlight w:val="none"/>
                <w:lang w:eastAsia="zh-CN"/>
              </w:rPr>
              <w:t>，</w:t>
            </w:r>
            <w:r>
              <w:rPr>
                <w:rFonts w:hint="eastAsia" w:ascii="宋体" w:hAnsi="Arial" w:eastAsia="宋体" w:cs="宋体"/>
                <w:snapToGrid w:val="0"/>
                <w:color w:val="auto"/>
                <w:sz w:val="21"/>
                <w:szCs w:val="21"/>
                <w:highlight w:val="none"/>
                <w:lang w:eastAsia="zh-CN"/>
              </w:rPr>
              <w:t>基本满足项目要求</w:t>
            </w:r>
            <w:r>
              <w:rPr>
                <w:rFonts w:hint="eastAsia" w:ascii="宋体" w:hAnsi="宋体" w:eastAsia="宋体" w:cs="宋体"/>
                <w:color w:val="auto"/>
                <w:sz w:val="21"/>
                <w:szCs w:val="21"/>
                <w:highlight w:val="none"/>
                <w:shd w:val="clear" w:color="auto" w:fill="FFFFFF"/>
              </w:rPr>
              <w:t>；</w:t>
            </w:r>
          </w:p>
          <w:p w14:paraId="71090C29">
            <w:pPr>
              <w:widowControl/>
              <w:snapToGrid w:val="0"/>
              <w:spacing w:line="440" w:lineRule="exact"/>
              <w:rPr>
                <w:rFonts w:ascii="宋体" w:hAnsi="宋体" w:cs="宋体"/>
                <w:color w:val="auto"/>
                <w:szCs w:val="21"/>
                <w:highlight w:val="none"/>
                <w:shd w:val="clear" w:color="auto" w:fill="FFFFFF"/>
              </w:rPr>
            </w:pPr>
            <w:r>
              <w:rPr>
                <w:rFonts w:hint="eastAsia" w:ascii="宋体" w:hAnsi="宋体"/>
                <w:color w:val="auto"/>
                <w:szCs w:val="21"/>
                <w:highlight w:val="none"/>
                <w:shd w:val="clear" w:color="auto" w:fill="FFFFFF"/>
              </w:rPr>
              <w:t>（</w:t>
            </w:r>
            <w:r>
              <w:rPr>
                <w:rFonts w:hint="eastAsia" w:ascii="宋体" w:hAnsi="宋体"/>
                <w:color w:val="auto"/>
                <w:szCs w:val="21"/>
                <w:highlight w:val="none"/>
                <w:shd w:val="clear" w:color="auto" w:fill="FFFFFF"/>
                <w:lang w:val="en-US" w:eastAsia="zh-CN"/>
              </w:rPr>
              <w:t>4.2</w:t>
            </w:r>
            <w:r>
              <w:rPr>
                <w:rFonts w:hint="eastAsia" w:ascii="宋体" w:hAnsi="宋体"/>
                <w:color w:val="auto"/>
                <w:szCs w:val="21"/>
                <w:highlight w:val="none"/>
                <w:shd w:val="clear" w:color="auto" w:fill="FFFFFF"/>
              </w:rPr>
              <w:t>分）</w:t>
            </w:r>
            <w:r>
              <w:rPr>
                <w:rFonts w:hint="eastAsia" w:ascii="宋体" w:hAnsi="宋体" w:cs="宋体"/>
                <w:color w:val="auto"/>
                <w:szCs w:val="21"/>
                <w:highlight w:val="none"/>
                <w:shd w:val="clear" w:color="auto" w:fill="FFFFFF"/>
              </w:rPr>
              <w:t>：</w:t>
            </w:r>
            <w:r>
              <w:rPr>
                <w:rFonts w:ascii="宋体" w:hAnsi="Arial" w:cs="宋体"/>
                <w:snapToGrid w:val="0"/>
                <w:color w:val="auto"/>
                <w:kern w:val="0"/>
                <w:szCs w:val="21"/>
                <w:highlight w:val="none"/>
              </w:rPr>
              <w:t>质量管理目标基本明确、质量管理体系基本完善，</w:t>
            </w:r>
            <w:r>
              <w:rPr>
                <w:rFonts w:hint="eastAsia" w:ascii="宋体" w:hAnsi="Arial" w:eastAsia="宋体" w:cs="宋体"/>
                <w:snapToGrid w:val="0"/>
                <w:color w:val="auto"/>
                <w:sz w:val="21"/>
                <w:szCs w:val="21"/>
                <w:highlight w:val="none"/>
                <w:lang w:eastAsia="zh-CN"/>
              </w:rPr>
              <w:t>对</w:t>
            </w:r>
            <w:r>
              <w:rPr>
                <w:rFonts w:ascii="宋体" w:hAnsi="Arial" w:cs="宋体"/>
                <w:snapToGrid w:val="0"/>
                <w:color w:val="auto"/>
                <w:kern w:val="0"/>
                <w:szCs w:val="21"/>
                <w:highlight w:val="none"/>
              </w:rPr>
              <w:t>质量保障措施</w:t>
            </w:r>
            <w:r>
              <w:rPr>
                <w:rFonts w:hint="eastAsia" w:ascii="宋体" w:hAnsi="Arial" w:cs="宋体"/>
                <w:snapToGrid w:val="0"/>
                <w:color w:val="auto"/>
                <w:sz w:val="21"/>
                <w:szCs w:val="21"/>
                <w:highlight w:val="none"/>
              </w:rPr>
              <w:t>有</w:t>
            </w:r>
            <w:r>
              <w:rPr>
                <w:rFonts w:hint="eastAsia" w:ascii="宋体" w:hAnsi="Arial" w:cs="宋体"/>
                <w:snapToGrid w:val="0"/>
                <w:color w:val="auto"/>
                <w:sz w:val="21"/>
                <w:szCs w:val="21"/>
                <w:highlight w:val="none"/>
                <w:lang w:eastAsia="zh-CN"/>
              </w:rPr>
              <w:t>简单</w:t>
            </w:r>
            <w:r>
              <w:rPr>
                <w:rFonts w:hint="eastAsia" w:ascii="宋体" w:hAnsi="Arial" w:cs="宋体"/>
                <w:snapToGrid w:val="0"/>
                <w:color w:val="auto"/>
                <w:sz w:val="21"/>
                <w:szCs w:val="21"/>
                <w:highlight w:val="none"/>
              </w:rPr>
              <w:t>阐述</w:t>
            </w:r>
            <w:r>
              <w:rPr>
                <w:rFonts w:hint="eastAsia" w:ascii="宋体" w:hAnsi="宋体" w:cs="宋体"/>
                <w:color w:val="auto"/>
                <w:szCs w:val="21"/>
                <w:highlight w:val="none"/>
                <w:shd w:val="clear" w:color="auto" w:fill="FFFFFF"/>
              </w:rPr>
              <w:t>；</w:t>
            </w:r>
          </w:p>
          <w:p w14:paraId="306FF5D7">
            <w:pPr>
              <w:widowControl/>
              <w:snapToGrid w:val="0"/>
              <w:spacing w:line="44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未提供的不得分。</w:t>
            </w:r>
          </w:p>
        </w:tc>
      </w:tr>
      <w:tr w14:paraId="3DEC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9AB2B53">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33CAED">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BE4C7A2">
            <w:pPr>
              <w:pStyle w:val="370"/>
              <w:spacing w:line="440" w:lineRule="exact"/>
              <w:rPr>
                <w:rFonts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（7）安全、环保与职业健康管理措施（</w:t>
            </w:r>
            <w:r>
              <w:rPr>
                <w:rFonts w:hint="eastAsia" w:ascii="宋体" w:hAnsi="宋体" w:eastAsia="宋体" w:cs="宋体"/>
                <w:b/>
                <w:bCs/>
                <w:color w:val="auto"/>
                <w:sz w:val="21"/>
                <w:szCs w:val="21"/>
                <w:highlight w:val="none"/>
                <w:shd w:val="clear" w:color="auto" w:fill="FFFFFF"/>
                <w:lang w:val="en-US" w:eastAsia="zh-CN"/>
              </w:rPr>
              <w:t>3</w:t>
            </w:r>
            <w:r>
              <w:rPr>
                <w:rFonts w:hint="eastAsia" w:ascii="宋体" w:hAnsi="宋体" w:eastAsia="宋体" w:cs="宋体"/>
                <w:b/>
                <w:bCs/>
                <w:color w:val="auto"/>
                <w:sz w:val="21"/>
                <w:szCs w:val="21"/>
                <w:highlight w:val="none"/>
                <w:shd w:val="clear" w:color="auto" w:fill="FFFFFF"/>
              </w:rPr>
              <w:t>分）</w:t>
            </w:r>
          </w:p>
          <w:p w14:paraId="35EF2063">
            <w:pPr>
              <w:pStyle w:val="370"/>
              <w:spacing w:line="440" w:lineRule="exact"/>
              <w:rPr>
                <w:rFonts w:ascii="宋体" w:hAnsi="宋体" w:eastAsia="宋体" w:cs="宋体"/>
                <w:b/>
                <w:bCs/>
                <w:color w:val="auto"/>
                <w:sz w:val="21"/>
                <w:szCs w:val="21"/>
                <w:highlight w:val="none"/>
                <w:shd w:val="clear" w:color="auto" w:fill="FFFFFF"/>
              </w:rPr>
            </w:pPr>
          </w:p>
        </w:tc>
        <w:tc>
          <w:tcPr>
            <w:tcW w:w="5741" w:type="dxa"/>
            <w:tcBorders>
              <w:top w:val="single" w:color="auto" w:sz="4" w:space="0"/>
              <w:left w:val="single" w:color="auto" w:sz="4" w:space="0"/>
              <w:bottom w:val="single" w:color="auto" w:sz="4" w:space="0"/>
              <w:right w:val="single" w:color="auto" w:sz="4" w:space="0"/>
            </w:tcBorders>
            <w:noWrap w:val="0"/>
            <w:vAlign w:val="center"/>
          </w:tcPr>
          <w:p w14:paraId="3B9969DB">
            <w:pPr>
              <w:widowControl/>
              <w:kinsoku w:val="0"/>
              <w:autoSpaceDE w:val="0"/>
              <w:autoSpaceDN w:val="0"/>
              <w:adjustRightInd w:val="0"/>
              <w:snapToGrid w:val="0"/>
              <w:spacing w:line="360" w:lineRule="exact"/>
              <w:ind w:left="42" w:leftChars="20" w:right="113"/>
              <w:textAlignment w:val="baseline"/>
              <w:rPr>
                <w:rFonts w:ascii="宋体" w:hAnsi="Arial" w:cs="宋体"/>
                <w:snapToGrid w:val="0"/>
                <w:color w:val="auto"/>
                <w:kern w:val="0"/>
                <w:szCs w:val="21"/>
                <w:highlight w:val="none"/>
              </w:rPr>
            </w:pPr>
            <w:r>
              <w:rPr>
                <w:rFonts w:ascii="宋体" w:hAnsi="Arial" w:cs="宋体"/>
                <w:snapToGrid w:val="0"/>
                <w:color w:val="auto"/>
                <w:kern w:val="0"/>
                <w:szCs w:val="21"/>
                <w:highlight w:val="none"/>
              </w:rPr>
              <w:t>(</w:t>
            </w:r>
            <w:r>
              <w:rPr>
                <w:rFonts w:hint="eastAsia" w:ascii="宋体" w:hAnsi="Arial" w:cs="宋体"/>
                <w:snapToGrid w:val="0"/>
                <w:color w:val="auto"/>
                <w:kern w:val="0"/>
                <w:szCs w:val="21"/>
                <w:highlight w:val="none"/>
                <w:lang w:val="en-US" w:eastAsia="zh-CN"/>
              </w:rPr>
              <w:t>3</w:t>
            </w:r>
            <w:r>
              <w:rPr>
                <w:rFonts w:ascii="宋体" w:hAnsi="Arial" w:cs="宋体"/>
                <w:snapToGrid w:val="0"/>
                <w:color w:val="auto"/>
                <w:kern w:val="0"/>
                <w:szCs w:val="21"/>
                <w:highlight w:val="none"/>
              </w:rPr>
              <w:t>.0分)：安全、环保与职业健康管理体系</w:t>
            </w:r>
            <w:r>
              <w:rPr>
                <w:rFonts w:hint="eastAsia" w:ascii="宋体" w:hAnsi="Arial" w:cs="宋体"/>
                <w:snapToGrid w:val="0"/>
                <w:color w:val="auto"/>
                <w:kern w:val="0"/>
                <w:szCs w:val="21"/>
                <w:highlight w:val="none"/>
                <w:lang w:eastAsia="zh-CN"/>
              </w:rPr>
              <w:t>科学</w:t>
            </w:r>
            <w:r>
              <w:rPr>
                <w:rFonts w:ascii="宋体" w:hAnsi="Arial" w:cs="宋体"/>
                <w:snapToGrid w:val="0"/>
                <w:color w:val="auto"/>
                <w:kern w:val="0"/>
                <w:szCs w:val="21"/>
                <w:highlight w:val="none"/>
              </w:rPr>
              <w:t>完善，制度健全，</w:t>
            </w:r>
            <w:r>
              <w:rPr>
                <w:rFonts w:hint="eastAsia" w:ascii="宋体" w:hAnsi="Arial" w:cs="宋体"/>
                <w:snapToGrid w:val="0"/>
                <w:color w:val="auto"/>
                <w:kern w:val="0"/>
                <w:szCs w:val="21"/>
                <w:highlight w:val="none"/>
              </w:rPr>
              <w:t>管理措施制度层次分明、权责清晰且健全规范，建立了风险预控、过程监管、应急处置的全流程框架。各项措施切实可行，精准针对项目特性，具备细节详实、步骤清晰的可操作性；</w:t>
            </w:r>
          </w:p>
          <w:p w14:paraId="04189C63">
            <w:pPr>
              <w:widowControl/>
              <w:kinsoku w:val="0"/>
              <w:autoSpaceDE w:val="0"/>
              <w:autoSpaceDN w:val="0"/>
              <w:adjustRightInd w:val="0"/>
              <w:snapToGrid w:val="0"/>
              <w:spacing w:line="360" w:lineRule="exact"/>
              <w:ind w:left="42" w:leftChars="20" w:right="113"/>
              <w:textAlignment w:val="baseline"/>
              <w:rPr>
                <w:rFonts w:ascii="宋体" w:hAnsi="Arial" w:cs="宋体"/>
                <w:snapToGrid w:val="0"/>
                <w:color w:val="auto"/>
                <w:kern w:val="0"/>
                <w:szCs w:val="21"/>
                <w:highlight w:val="none"/>
              </w:rPr>
            </w:pPr>
            <w:r>
              <w:rPr>
                <w:rFonts w:ascii="宋体" w:hAnsi="Arial" w:cs="宋体"/>
                <w:snapToGrid w:val="0"/>
                <w:color w:val="auto"/>
                <w:kern w:val="0"/>
                <w:szCs w:val="21"/>
                <w:highlight w:val="none"/>
              </w:rPr>
              <w:t>(</w:t>
            </w:r>
            <w:r>
              <w:rPr>
                <w:rFonts w:hint="eastAsia" w:ascii="宋体" w:hAnsi="Arial" w:cs="宋体"/>
                <w:snapToGrid w:val="0"/>
                <w:color w:val="auto"/>
                <w:kern w:val="0"/>
                <w:szCs w:val="21"/>
                <w:highlight w:val="none"/>
              </w:rPr>
              <w:t>2.</w:t>
            </w:r>
            <w:r>
              <w:rPr>
                <w:rFonts w:hint="eastAsia" w:ascii="宋体" w:hAnsi="Arial" w:cs="宋体"/>
                <w:snapToGrid w:val="0"/>
                <w:color w:val="auto"/>
                <w:kern w:val="0"/>
                <w:szCs w:val="21"/>
                <w:highlight w:val="none"/>
                <w:lang w:val="en-US" w:eastAsia="zh-CN"/>
              </w:rPr>
              <w:t>4</w:t>
            </w:r>
            <w:r>
              <w:rPr>
                <w:rFonts w:ascii="宋体" w:hAnsi="Arial" w:cs="宋体"/>
                <w:snapToGrid w:val="0"/>
                <w:color w:val="auto"/>
                <w:kern w:val="0"/>
                <w:szCs w:val="21"/>
                <w:highlight w:val="none"/>
              </w:rPr>
              <w:t>分)：</w:t>
            </w:r>
            <w:bookmarkStart w:id="140" w:name="OLE_LINK4"/>
            <w:r>
              <w:rPr>
                <w:rFonts w:ascii="宋体" w:hAnsi="Arial" w:cs="宋体"/>
                <w:snapToGrid w:val="0"/>
                <w:color w:val="auto"/>
                <w:kern w:val="0"/>
                <w:szCs w:val="21"/>
                <w:highlight w:val="none"/>
              </w:rPr>
              <w:t>安全、环保与职业健康管理体系较完善，</w:t>
            </w:r>
            <w:r>
              <w:rPr>
                <w:rFonts w:hint="eastAsia" w:ascii="宋体" w:hAnsi="Arial" w:cs="宋体"/>
                <w:snapToGrid w:val="0"/>
                <w:color w:val="auto"/>
                <w:kern w:val="0"/>
                <w:szCs w:val="21"/>
                <w:highlight w:val="none"/>
              </w:rPr>
              <w:t>管理措施制度层次清晰</w:t>
            </w:r>
            <w:r>
              <w:rPr>
                <w:rFonts w:ascii="宋体" w:hAnsi="Arial" w:cs="宋体"/>
                <w:snapToGrid w:val="0"/>
                <w:color w:val="auto"/>
                <w:kern w:val="0"/>
                <w:szCs w:val="21"/>
                <w:highlight w:val="none"/>
              </w:rPr>
              <w:t>，</w:t>
            </w:r>
            <w:r>
              <w:rPr>
                <w:rFonts w:hint="eastAsia" w:ascii="宋体" w:hAnsi="Arial" w:cs="宋体"/>
                <w:snapToGrid w:val="0"/>
                <w:color w:val="auto"/>
                <w:kern w:val="0"/>
                <w:szCs w:val="21"/>
                <w:highlight w:val="none"/>
              </w:rPr>
              <w:t>针对项目特性，具备细节详实、执行明确的可操作性</w:t>
            </w:r>
            <w:bookmarkEnd w:id="140"/>
            <w:r>
              <w:rPr>
                <w:rFonts w:hint="eastAsia" w:ascii="宋体" w:hAnsi="Arial" w:cs="宋体"/>
                <w:snapToGrid w:val="0"/>
                <w:color w:val="auto"/>
                <w:kern w:val="0"/>
                <w:szCs w:val="21"/>
                <w:highlight w:val="none"/>
              </w:rPr>
              <w:t>；</w:t>
            </w:r>
          </w:p>
          <w:p w14:paraId="63F34606">
            <w:pPr>
              <w:pStyle w:val="370"/>
              <w:spacing w:line="440" w:lineRule="exact"/>
              <w:rPr>
                <w:rFonts w:ascii="宋体" w:hAnsi="Arial" w:eastAsia="宋体" w:cs="宋体"/>
                <w:snapToGrid w:val="0"/>
                <w:color w:val="auto"/>
                <w:sz w:val="21"/>
                <w:szCs w:val="21"/>
                <w:highlight w:val="none"/>
              </w:rPr>
            </w:pPr>
            <w:r>
              <w:rPr>
                <w:rFonts w:ascii="宋体" w:hAnsi="Arial" w:cs="宋体"/>
                <w:snapToGrid w:val="0"/>
                <w:color w:val="auto"/>
                <w:sz w:val="21"/>
                <w:szCs w:val="21"/>
                <w:highlight w:val="none"/>
              </w:rPr>
              <w:t>(</w:t>
            </w:r>
            <w:r>
              <w:rPr>
                <w:rFonts w:hint="eastAsia" w:ascii="宋体" w:hAnsi="Arial" w:cs="宋体"/>
                <w:snapToGrid w:val="0"/>
                <w:color w:val="auto"/>
                <w:sz w:val="21"/>
                <w:szCs w:val="21"/>
                <w:highlight w:val="none"/>
              </w:rPr>
              <w:t>1</w:t>
            </w:r>
            <w:r>
              <w:rPr>
                <w:rFonts w:hint="eastAsia" w:ascii="宋体" w:hAnsi="Arial" w:eastAsia="宋体" w:cs="宋体"/>
                <w:snapToGrid w:val="0"/>
                <w:color w:val="auto"/>
                <w:sz w:val="21"/>
                <w:szCs w:val="21"/>
                <w:highlight w:val="none"/>
              </w:rPr>
              <w:t>.</w:t>
            </w:r>
            <w:r>
              <w:rPr>
                <w:rFonts w:hint="eastAsia" w:ascii="宋体" w:hAnsi="Arial" w:eastAsia="宋体" w:cs="宋体"/>
                <w:snapToGrid w:val="0"/>
                <w:color w:val="auto"/>
                <w:sz w:val="21"/>
                <w:szCs w:val="21"/>
                <w:highlight w:val="none"/>
                <w:lang w:val="en-US" w:eastAsia="zh-CN"/>
              </w:rPr>
              <w:t>8</w:t>
            </w:r>
            <w:r>
              <w:rPr>
                <w:rFonts w:ascii="宋体" w:hAnsi="Arial" w:cs="宋体"/>
                <w:snapToGrid w:val="0"/>
                <w:color w:val="auto"/>
                <w:sz w:val="21"/>
                <w:szCs w:val="21"/>
                <w:highlight w:val="none"/>
              </w:rPr>
              <w:t>分)：安全、环保与职业健康管理体系基本完善，</w:t>
            </w:r>
            <w:r>
              <w:rPr>
                <w:rFonts w:hint="eastAsia" w:ascii="宋体" w:hAnsi="Arial" w:eastAsia="宋体" w:cs="宋体"/>
                <w:snapToGrid w:val="0"/>
                <w:color w:val="auto"/>
                <w:sz w:val="21"/>
                <w:szCs w:val="21"/>
                <w:highlight w:val="none"/>
                <w:lang w:eastAsia="zh-CN"/>
              </w:rPr>
              <w:t>管理</w:t>
            </w:r>
            <w:r>
              <w:rPr>
                <w:rFonts w:ascii="宋体" w:hAnsi="Arial" w:cs="宋体"/>
                <w:snapToGrid w:val="0"/>
                <w:color w:val="auto"/>
                <w:sz w:val="21"/>
                <w:szCs w:val="21"/>
                <w:highlight w:val="none"/>
              </w:rPr>
              <w:t>措施</w:t>
            </w:r>
            <w:r>
              <w:rPr>
                <w:rFonts w:hint="eastAsia" w:ascii="宋体" w:hAnsi="Arial" w:eastAsia="宋体" w:cs="宋体"/>
                <w:snapToGrid w:val="0"/>
                <w:color w:val="auto"/>
                <w:sz w:val="21"/>
                <w:szCs w:val="21"/>
                <w:highlight w:val="none"/>
                <w:lang w:eastAsia="zh-CN"/>
              </w:rPr>
              <w:t>比较简单</w:t>
            </w:r>
            <w:r>
              <w:rPr>
                <w:rFonts w:ascii="宋体" w:hAnsi="Arial" w:cs="宋体"/>
                <w:snapToGrid w:val="0"/>
                <w:color w:val="auto"/>
                <w:sz w:val="21"/>
                <w:szCs w:val="21"/>
                <w:highlight w:val="none"/>
              </w:rPr>
              <w:t>，针对性、可操作性一般</w:t>
            </w:r>
            <w:r>
              <w:rPr>
                <w:rFonts w:hint="eastAsia" w:ascii="宋体" w:hAnsi="宋体" w:eastAsia="宋体" w:cs="宋体"/>
                <w:snapToGrid w:val="0"/>
                <w:color w:val="auto"/>
                <w:sz w:val="21"/>
                <w:szCs w:val="21"/>
                <w:highlight w:val="none"/>
              </w:rPr>
              <w:t>；</w:t>
            </w:r>
          </w:p>
          <w:p w14:paraId="7C411C00">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未提供的不得分。</w:t>
            </w:r>
          </w:p>
        </w:tc>
      </w:tr>
      <w:tr w14:paraId="7DE2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CA9E6D0">
            <w:pPr>
              <w:widowControl/>
              <w:ind w:firstLine="422"/>
              <w:jc w:val="left"/>
              <w:rPr>
                <w:rFonts w:ascii="宋体" w:hAnsi="宋体" w:cs="宋体"/>
                <w:color w:val="auto"/>
                <w:szCs w:val="21"/>
                <w:highlight w:val="none"/>
                <w:shd w:val="clear" w:color="auto" w:fill="FFFFFF"/>
              </w:rPr>
            </w:pPr>
          </w:p>
        </w:tc>
        <w:tc>
          <w:tcPr>
            <w:tcW w:w="16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A96C89">
            <w:pPr>
              <w:widowControl/>
              <w:ind w:firstLine="422"/>
              <w:jc w:val="left"/>
              <w:rPr>
                <w:rFonts w:ascii="宋体" w:hAnsi="宋体" w:cs="宋体"/>
                <w:color w:val="auto"/>
                <w:szCs w:val="21"/>
                <w:highlight w:val="none"/>
                <w:shd w:val="clear" w:color="auto" w:fill="FFFFFF"/>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D50BBD1">
            <w:pPr>
              <w:pStyle w:val="370"/>
              <w:spacing w:line="440" w:lineRule="exact"/>
              <w:rPr>
                <w:rFonts w:ascii="宋体" w:hAnsi="宋体" w:cs="宋体"/>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（8）后续服务计划及保证措施</w:t>
            </w:r>
            <w:r>
              <w:rPr>
                <w:rFonts w:ascii="宋体" w:hAnsi="宋体" w:eastAsia="宋体" w:cs="宋体"/>
                <w:b/>
                <w:bCs/>
                <w:color w:val="auto"/>
                <w:sz w:val="21"/>
                <w:szCs w:val="21"/>
                <w:highlight w:val="none"/>
                <w:shd w:val="clear" w:color="auto" w:fill="FFFFFF"/>
              </w:rPr>
              <w:t>（</w:t>
            </w:r>
            <w:r>
              <w:rPr>
                <w:rFonts w:hint="eastAsia" w:ascii="宋体" w:hAnsi="宋体" w:eastAsia="宋体" w:cs="宋体"/>
                <w:b/>
                <w:bCs/>
                <w:color w:val="auto"/>
                <w:sz w:val="21"/>
                <w:szCs w:val="21"/>
                <w:highlight w:val="none"/>
                <w:shd w:val="clear" w:color="auto" w:fill="FFFFFF"/>
                <w:lang w:val="en-US" w:eastAsia="zh-CN"/>
              </w:rPr>
              <w:t>8</w:t>
            </w:r>
            <w:r>
              <w:rPr>
                <w:rFonts w:ascii="宋体" w:hAnsi="宋体" w:eastAsia="宋体" w:cs="宋体"/>
                <w:b/>
                <w:bCs/>
                <w:color w:val="auto"/>
                <w:sz w:val="21"/>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259E00E8">
            <w:pPr>
              <w:spacing w:line="4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w:t>
            </w:r>
            <w:r>
              <w:rPr>
                <w:rFonts w:hint="eastAsia" w:ascii="宋体" w:hAnsi="宋体"/>
                <w:color w:val="auto"/>
                <w:szCs w:val="21"/>
                <w:highlight w:val="none"/>
                <w:shd w:val="clear" w:color="auto" w:fill="FFFFFF"/>
                <w:lang w:val="en-US" w:eastAsia="zh-CN"/>
              </w:rPr>
              <w:t>8</w:t>
            </w:r>
            <w:r>
              <w:rPr>
                <w:rFonts w:hint="eastAsia" w:ascii="宋体" w:hAnsi="宋体"/>
                <w:color w:val="auto"/>
                <w:szCs w:val="21"/>
                <w:highlight w:val="none"/>
                <w:shd w:val="clear" w:color="auto" w:fill="FFFFFF"/>
              </w:rPr>
              <w:t>.0分）：</w:t>
            </w:r>
            <w:bookmarkStart w:id="141" w:name="OLE_LINK5"/>
            <w:r>
              <w:rPr>
                <w:rFonts w:hint="eastAsia" w:ascii="宋体" w:hAnsi="宋体"/>
                <w:color w:val="auto"/>
                <w:szCs w:val="21"/>
                <w:highlight w:val="none"/>
                <w:shd w:val="clear" w:color="auto" w:fill="FFFFFF"/>
              </w:rPr>
              <w:t>后续服务安排系统周全、架构清晰，配备完善有力的保证措施，构建覆盖全周期的服务响应机制。提供清晰可溯的时限规划、具体细化的执行方案及充足稳定的资源投入承诺，包含专业团队配置、应急响应流程、定期回访机制等，确保服务高效对接需求，承诺可量化、可考核，切实保障项目后续运维的持续性与可靠性</w:t>
            </w:r>
            <w:bookmarkEnd w:id="141"/>
            <w:r>
              <w:rPr>
                <w:rFonts w:hint="eastAsia" w:ascii="宋体" w:hAnsi="宋体"/>
                <w:color w:val="auto"/>
                <w:szCs w:val="21"/>
                <w:highlight w:val="none"/>
                <w:shd w:val="clear" w:color="auto" w:fill="FFFFFF"/>
              </w:rPr>
              <w:t>，</w:t>
            </w:r>
            <w:r>
              <w:rPr>
                <w:rFonts w:hint="eastAsia" w:ascii="宋体" w:hAnsi="宋体"/>
                <w:b/>
                <w:bCs/>
                <w:color w:val="auto"/>
                <w:szCs w:val="21"/>
                <w:highlight w:val="none"/>
                <w:shd w:val="clear" w:color="auto" w:fill="FFFFFF"/>
              </w:rPr>
              <w:t>能够</w:t>
            </w:r>
            <w:r>
              <w:rPr>
                <w:rFonts w:hint="eastAsia" w:ascii="宋体" w:hAnsi="宋体"/>
                <w:b/>
                <w:bCs/>
                <w:color w:val="auto"/>
                <w:szCs w:val="21"/>
                <w:highlight w:val="none"/>
                <w:shd w:val="clear" w:color="auto" w:fill="FFFFFF"/>
                <w:lang w:eastAsia="zh-CN"/>
              </w:rPr>
              <w:t>确保锚地划定和上海图</w:t>
            </w:r>
            <w:r>
              <w:rPr>
                <w:rFonts w:hint="eastAsia" w:ascii="宋体" w:hAnsi="宋体"/>
                <w:b/>
                <w:bCs/>
                <w:color w:val="auto"/>
                <w:szCs w:val="21"/>
                <w:highlight w:val="none"/>
                <w:shd w:val="clear" w:color="auto" w:fill="FFFFFF"/>
              </w:rPr>
              <w:t>要求；</w:t>
            </w:r>
          </w:p>
          <w:p w14:paraId="3B36B2CA">
            <w:pPr>
              <w:spacing w:line="4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w:t>
            </w:r>
            <w:r>
              <w:rPr>
                <w:rFonts w:hint="eastAsia" w:ascii="宋体" w:hAnsi="宋体"/>
                <w:color w:val="auto"/>
                <w:szCs w:val="21"/>
                <w:highlight w:val="none"/>
                <w:shd w:val="clear" w:color="auto" w:fill="FFFFFF"/>
                <w:lang w:val="en-US" w:eastAsia="zh-CN"/>
              </w:rPr>
              <w:t>6.4</w:t>
            </w:r>
            <w:r>
              <w:rPr>
                <w:rFonts w:hint="eastAsia" w:ascii="宋体" w:hAnsi="宋体"/>
                <w:color w:val="auto"/>
                <w:szCs w:val="21"/>
                <w:highlight w:val="none"/>
                <w:shd w:val="clear" w:color="auto" w:fill="FFFFFF"/>
              </w:rPr>
              <w:t>分）：</w:t>
            </w:r>
            <w:bookmarkStart w:id="142" w:name="OLE_LINK6"/>
            <w:r>
              <w:rPr>
                <w:rFonts w:hint="eastAsia" w:ascii="宋体" w:hAnsi="宋体"/>
                <w:color w:val="auto"/>
                <w:szCs w:val="21"/>
                <w:highlight w:val="none"/>
                <w:shd w:val="clear" w:color="auto" w:fill="FFFFFF"/>
              </w:rPr>
              <w:t>后续服务计划及保证措施较为合理，框架基本健全，服务响应基本到位，资源配置基本满足项目基础需求，具备一定可行性与衔接性；</w:t>
            </w:r>
            <w:bookmarkEnd w:id="142"/>
          </w:p>
          <w:p w14:paraId="0D6CF893">
            <w:pPr>
              <w:spacing w:line="400" w:lineRule="exact"/>
              <w:rPr>
                <w:rFonts w:ascii="宋体" w:hAnsi="宋体" w:cs="宋体"/>
                <w:color w:val="auto"/>
                <w:szCs w:val="21"/>
                <w:highlight w:val="none"/>
                <w:shd w:val="clear" w:color="auto" w:fill="FFFFFF"/>
              </w:rPr>
            </w:pPr>
            <w:r>
              <w:rPr>
                <w:rFonts w:hint="eastAsia" w:ascii="宋体" w:hAnsi="宋体"/>
                <w:color w:val="auto"/>
                <w:szCs w:val="21"/>
                <w:highlight w:val="none"/>
                <w:shd w:val="clear" w:color="auto" w:fill="FFFFFF"/>
              </w:rPr>
              <w:t>（</w:t>
            </w:r>
            <w:r>
              <w:rPr>
                <w:rFonts w:hint="eastAsia" w:ascii="宋体" w:hAnsi="宋体"/>
                <w:color w:val="auto"/>
                <w:szCs w:val="21"/>
                <w:highlight w:val="none"/>
                <w:shd w:val="clear" w:color="auto" w:fill="FFFFFF"/>
                <w:lang w:val="en-US" w:eastAsia="zh-CN"/>
              </w:rPr>
              <w:t>4.8</w:t>
            </w:r>
            <w:r>
              <w:rPr>
                <w:rFonts w:hint="eastAsia" w:ascii="宋体" w:hAnsi="宋体"/>
                <w:color w:val="auto"/>
                <w:szCs w:val="21"/>
                <w:highlight w:val="none"/>
                <w:shd w:val="clear" w:color="auto" w:fill="FFFFFF"/>
              </w:rPr>
              <w:t>分）：后续服务计划及保证措施较差、服务水平差、不能满足项目要求；对招标人的诉求不能够快速响应和配合；</w:t>
            </w:r>
            <w:r>
              <w:rPr>
                <w:rFonts w:hint="eastAsia" w:ascii="宋体" w:hAnsi="宋体" w:cs="宋体"/>
                <w:color w:val="auto"/>
                <w:szCs w:val="21"/>
                <w:highlight w:val="none"/>
                <w:shd w:val="clear" w:color="auto" w:fill="FFFFFF"/>
              </w:rPr>
              <w:t>未提供的不得分。</w:t>
            </w:r>
          </w:p>
        </w:tc>
      </w:tr>
      <w:tr w14:paraId="147E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1" w:type="dxa"/>
            <w:vMerge w:val="restart"/>
            <w:tcBorders>
              <w:top w:val="single" w:color="auto" w:sz="4" w:space="0"/>
              <w:left w:val="single" w:color="auto" w:sz="4" w:space="0"/>
              <w:right w:val="single" w:color="auto" w:sz="4" w:space="0"/>
            </w:tcBorders>
            <w:noWrap w:val="0"/>
            <w:vAlign w:val="center"/>
          </w:tcPr>
          <w:p w14:paraId="1FA89D32">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3</w:t>
            </w:r>
          </w:p>
        </w:tc>
        <w:tc>
          <w:tcPr>
            <w:tcW w:w="1608" w:type="dxa"/>
            <w:gridSpan w:val="2"/>
            <w:vMerge w:val="restart"/>
            <w:tcBorders>
              <w:top w:val="single" w:color="auto" w:sz="4" w:space="0"/>
              <w:left w:val="single" w:color="auto" w:sz="4" w:space="0"/>
              <w:right w:val="single" w:color="auto" w:sz="4" w:space="0"/>
            </w:tcBorders>
            <w:noWrap w:val="0"/>
            <w:vAlign w:val="center"/>
          </w:tcPr>
          <w:p w14:paraId="76A704A9">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商务分</w:t>
            </w:r>
          </w:p>
          <w:p w14:paraId="1DC0FABA">
            <w:pPr>
              <w:adjustRightInd w:val="0"/>
              <w:snapToGrid w:val="0"/>
              <w:spacing w:line="440" w:lineRule="exact"/>
              <w:jc w:val="center"/>
              <w:textAlignment w:val="baseline"/>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（满分</w:t>
            </w:r>
            <w:r>
              <w:rPr>
                <w:rFonts w:hint="eastAsia" w:ascii="宋体" w:hAnsi="宋体" w:cs="宋体"/>
                <w:b/>
                <w:bCs/>
                <w:color w:val="auto"/>
                <w:szCs w:val="21"/>
                <w:highlight w:val="none"/>
                <w:shd w:val="clear" w:color="auto" w:fill="FFFFFF"/>
                <w:lang w:val="en-US" w:eastAsia="zh-CN"/>
              </w:rPr>
              <w:t>35</w:t>
            </w:r>
            <w:r>
              <w:rPr>
                <w:rFonts w:hint="eastAsia" w:ascii="宋体" w:hAnsi="宋体" w:cs="宋体"/>
                <w:b/>
                <w:bCs/>
                <w:color w:val="auto"/>
                <w:szCs w:val="21"/>
                <w:highlight w:val="none"/>
                <w:shd w:val="clear" w:color="auto" w:fill="FFFFFF"/>
              </w:rPr>
              <w:t>分）</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7910846">
            <w:pPr>
              <w:adjustRightInd w:val="0"/>
              <w:snapToGrid w:val="0"/>
              <w:spacing w:line="440" w:lineRule="exact"/>
              <w:jc w:val="center"/>
              <w:textAlignment w:val="baseline"/>
              <w:rPr>
                <w:rFonts w:hint="eastAsia" w:ascii="宋体" w:hAnsi="宋体" w:eastAsia="宋体" w:cs="宋体"/>
                <w:b/>
                <w:bCs/>
                <w:color w:val="auto"/>
                <w:szCs w:val="21"/>
                <w:highlight w:val="none"/>
                <w:shd w:val="clear" w:color="auto" w:fill="FFFFFF"/>
                <w:lang w:eastAsia="zh-CN"/>
              </w:rPr>
            </w:pPr>
            <w:r>
              <w:rPr>
                <w:rFonts w:hint="eastAsia" w:ascii="宋体" w:hAnsi="宋体" w:cs="宋体"/>
                <w:b/>
                <w:bCs/>
                <w:color w:val="auto"/>
                <w:szCs w:val="21"/>
                <w:highlight w:val="none"/>
                <w:shd w:val="clear" w:color="auto" w:fill="FFFFFF"/>
                <w:lang w:eastAsia="zh-CN"/>
              </w:rPr>
              <w:t>履约能力</w:t>
            </w:r>
            <w:r>
              <w:rPr>
                <w:rFonts w:hint="eastAsia" w:ascii="宋体" w:hAnsi="宋体" w:cs="宋体"/>
                <w:b/>
                <w:bCs/>
                <w:color w:val="auto"/>
                <w:szCs w:val="21"/>
                <w:highlight w:val="none"/>
                <w:shd w:val="clear" w:color="auto" w:fill="FFFFFF"/>
              </w:rPr>
              <w:t>（满分</w:t>
            </w:r>
            <w:r>
              <w:rPr>
                <w:rFonts w:hint="eastAsia" w:ascii="宋体" w:hAnsi="宋体" w:cs="宋体"/>
                <w:b/>
                <w:bCs/>
                <w:color w:val="auto"/>
                <w:szCs w:val="21"/>
                <w:highlight w:val="none"/>
                <w:shd w:val="clear" w:color="auto" w:fill="FFFFFF"/>
                <w:lang w:val="en-US" w:eastAsia="zh-CN"/>
              </w:rPr>
              <w:t>5</w:t>
            </w:r>
            <w:r>
              <w:rPr>
                <w:rFonts w:hint="eastAsia" w:ascii="宋体" w:hAnsi="宋体" w:cs="宋体"/>
                <w:b/>
                <w:bCs/>
                <w:color w:val="auto"/>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370557CB">
            <w:pPr>
              <w:snapToGrid w:val="0"/>
              <w:spacing w:line="360" w:lineRule="atLeast"/>
              <w:rPr>
                <w:rFonts w:hint="eastAsia" w:ascii="宋体" w:hAnsi="宋体" w:cs="Courier New"/>
                <w:color w:val="auto"/>
                <w:szCs w:val="21"/>
                <w:highlight w:val="none"/>
              </w:rPr>
            </w:pPr>
            <w:r>
              <w:rPr>
                <w:rFonts w:hint="eastAsia" w:ascii="宋体" w:hAnsi="宋体"/>
                <w:bCs/>
                <w:color w:val="auto"/>
                <w:szCs w:val="21"/>
                <w:highlight w:val="none"/>
              </w:rPr>
              <w:t>供应商</w:t>
            </w:r>
            <w:r>
              <w:rPr>
                <w:rFonts w:hint="eastAsia" w:ascii="宋体" w:hAnsi="宋体"/>
                <w:color w:val="auto"/>
                <w:szCs w:val="21"/>
                <w:highlight w:val="none"/>
              </w:rPr>
              <w:t>取得交通运输部海事系统（航海保障中心或其直属海图中心等）出具的上海图（更新海图）许可（或认可）证明的</w:t>
            </w:r>
            <w:r>
              <w:rPr>
                <w:rFonts w:hint="eastAsia" w:ascii="宋体" w:hAnsi="宋体"/>
                <w:bCs/>
                <w:color w:val="auto"/>
                <w:szCs w:val="21"/>
                <w:highlight w:val="none"/>
              </w:rPr>
              <w:t>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分，本项</w:t>
            </w:r>
            <w:r>
              <w:rPr>
                <w:rFonts w:hint="eastAsia" w:ascii="宋体" w:hAnsi="宋体"/>
                <w:color w:val="auto"/>
                <w:szCs w:val="21"/>
                <w:highlight w:val="none"/>
              </w:rPr>
              <w:t>满分</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ascii="宋体" w:hAnsi="宋体"/>
                <w:bCs/>
                <w:color w:val="auto"/>
                <w:szCs w:val="21"/>
                <w:highlight w:val="none"/>
              </w:rPr>
              <w:t>（注：须提供</w:t>
            </w:r>
            <w:r>
              <w:rPr>
                <w:rFonts w:hint="eastAsia" w:ascii="宋体" w:hAnsi="宋体"/>
                <w:bCs/>
                <w:color w:val="auto"/>
                <w:szCs w:val="21"/>
                <w:highlight w:val="none"/>
              </w:rPr>
              <w:t>证明</w:t>
            </w:r>
            <w:r>
              <w:rPr>
                <w:rFonts w:ascii="宋体" w:hAnsi="宋体"/>
                <w:bCs/>
                <w:color w:val="auto"/>
                <w:szCs w:val="21"/>
                <w:highlight w:val="none"/>
              </w:rPr>
              <w:t>复印件</w:t>
            </w:r>
            <w:r>
              <w:rPr>
                <w:rFonts w:hint="eastAsia" w:ascii="宋体" w:hAnsi="宋体"/>
                <w:bCs/>
                <w:color w:val="auto"/>
                <w:szCs w:val="21"/>
                <w:highlight w:val="none"/>
              </w:rPr>
              <w:t>，</w:t>
            </w:r>
            <w:r>
              <w:rPr>
                <w:rFonts w:ascii="宋体" w:hAnsi="宋体"/>
                <w:bCs/>
                <w:color w:val="auto"/>
                <w:szCs w:val="21"/>
                <w:highlight w:val="none"/>
              </w:rPr>
              <w:t>加盖</w:t>
            </w:r>
            <w:r>
              <w:rPr>
                <w:rFonts w:hint="eastAsia" w:ascii="宋体" w:hAnsi="宋体"/>
                <w:bCs/>
                <w:color w:val="auto"/>
                <w:szCs w:val="21"/>
                <w:highlight w:val="none"/>
              </w:rPr>
              <w:t>单位</w:t>
            </w:r>
            <w:r>
              <w:rPr>
                <w:rFonts w:ascii="宋体" w:hAnsi="宋体"/>
                <w:bCs/>
                <w:color w:val="auto"/>
                <w:szCs w:val="21"/>
                <w:highlight w:val="none"/>
              </w:rPr>
              <w:t>公章）</w:t>
            </w:r>
            <w:r>
              <w:rPr>
                <w:rFonts w:hint="eastAsia" w:ascii="宋体" w:hAnsi="宋体"/>
                <w:bCs/>
                <w:color w:val="auto"/>
                <w:szCs w:val="21"/>
                <w:highlight w:val="none"/>
              </w:rPr>
              <w:t>。</w:t>
            </w:r>
          </w:p>
          <w:p w14:paraId="37C4F7E3">
            <w:pPr>
              <w:snapToGrid w:val="0"/>
              <w:spacing w:line="440" w:lineRule="exact"/>
              <w:ind w:firstLine="422" w:firstLineChars="200"/>
              <w:rPr>
                <w:rFonts w:hint="eastAsia" w:ascii="宋体" w:hAnsi="宋体" w:cs="宋体"/>
                <w:color w:val="auto"/>
                <w:kern w:val="0"/>
                <w:szCs w:val="21"/>
                <w:highlight w:val="none"/>
                <w:shd w:val="clear" w:color="auto" w:fill="FFFFFF"/>
              </w:rPr>
            </w:pPr>
            <w:r>
              <w:rPr>
                <w:rFonts w:hint="eastAsia" w:ascii="宋体" w:hAnsi="宋体"/>
                <w:b/>
                <w:color w:val="auto"/>
                <w:szCs w:val="21"/>
                <w:highlight w:val="none"/>
              </w:rPr>
              <w:t>以上各项须提供证明文件复印件（或彩色扫描件），并加盖供应商公章，否则不得分。</w:t>
            </w:r>
          </w:p>
        </w:tc>
      </w:tr>
      <w:tr w14:paraId="2E24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1" w:type="dxa"/>
            <w:vMerge w:val="continue"/>
            <w:tcBorders>
              <w:left w:val="single" w:color="auto" w:sz="4" w:space="0"/>
              <w:right w:val="single" w:color="auto" w:sz="4" w:space="0"/>
            </w:tcBorders>
            <w:noWrap w:val="0"/>
            <w:vAlign w:val="center"/>
          </w:tcPr>
          <w:p w14:paraId="698CEA80">
            <w:pPr>
              <w:adjustRightInd w:val="0"/>
              <w:snapToGrid w:val="0"/>
              <w:spacing w:line="440" w:lineRule="exact"/>
              <w:jc w:val="center"/>
              <w:textAlignment w:val="baseline"/>
              <w:rPr>
                <w:rFonts w:ascii="宋体" w:hAnsi="宋体" w:cs="宋体"/>
                <w:b/>
                <w:bCs/>
                <w:color w:val="auto"/>
                <w:szCs w:val="21"/>
                <w:highlight w:val="none"/>
                <w:shd w:val="clear" w:color="auto" w:fill="FFFFFF"/>
              </w:rPr>
            </w:pPr>
          </w:p>
        </w:tc>
        <w:tc>
          <w:tcPr>
            <w:tcW w:w="1608" w:type="dxa"/>
            <w:gridSpan w:val="2"/>
            <w:vMerge w:val="continue"/>
            <w:tcBorders>
              <w:left w:val="single" w:color="auto" w:sz="4" w:space="0"/>
              <w:right w:val="single" w:color="auto" w:sz="4" w:space="0"/>
            </w:tcBorders>
            <w:noWrap w:val="0"/>
            <w:vAlign w:val="center"/>
          </w:tcPr>
          <w:p w14:paraId="7472395C">
            <w:pPr>
              <w:adjustRightInd w:val="0"/>
              <w:snapToGrid w:val="0"/>
              <w:spacing w:line="440" w:lineRule="exact"/>
              <w:jc w:val="center"/>
              <w:textAlignment w:val="baseline"/>
              <w:rPr>
                <w:rFonts w:ascii="宋体" w:hAnsi="宋体" w:cs="宋体"/>
                <w:b/>
                <w:bCs/>
                <w:color w:val="auto"/>
                <w:szCs w:val="21"/>
                <w:highlight w:val="none"/>
                <w:shd w:val="clear" w:color="auto" w:fill="FFFFFF"/>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9007213">
            <w:pPr>
              <w:adjustRightInd w:val="0"/>
              <w:snapToGrid w:val="0"/>
              <w:spacing w:line="440" w:lineRule="exact"/>
              <w:jc w:val="center"/>
              <w:textAlignment w:val="baseline"/>
              <w:rPr>
                <w:rFonts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业绩分（满分</w:t>
            </w:r>
            <w:r>
              <w:rPr>
                <w:rFonts w:hint="eastAsia" w:ascii="宋体" w:hAnsi="宋体" w:cs="宋体"/>
                <w:b/>
                <w:bCs/>
                <w:color w:val="auto"/>
                <w:szCs w:val="21"/>
                <w:highlight w:val="none"/>
                <w:shd w:val="clear" w:color="auto" w:fill="FFFFFF"/>
                <w:lang w:val="en-US" w:eastAsia="zh-CN"/>
              </w:rPr>
              <w:t>16</w:t>
            </w:r>
            <w:r>
              <w:rPr>
                <w:rFonts w:hint="eastAsia" w:ascii="宋体" w:hAnsi="宋体" w:cs="宋体"/>
                <w:b/>
                <w:bCs/>
                <w:color w:val="auto"/>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6177DA68">
            <w:pPr>
              <w:snapToGrid w:val="0"/>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投标人</w:t>
            </w:r>
            <w:r>
              <w:rPr>
                <w:rFonts w:hint="eastAsia" w:ascii="宋体" w:hAnsi="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1日以来承担过沿海类似项目（锚地工程，下同）的</w:t>
            </w:r>
            <w:r>
              <w:rPr>
                <w:rFonts w:hint="eastAsia" w:ascii="宋体" w:hAnsi="宋体" w:cs="宋体"/>
                <w:color w:val="auto"/>
                <w:sz w:val="21"/>
                <w:szCs w:val="21"/>
                <w:highlight w:val="none"/>
                <w:shd w:val="clear" w:color="auto" w:fill="FFFFFF"/>
                <w:lang w:eastAsia="zh-CN"/>
              </w:rPr>
              <w:t>测量工作</w:t>
            </w:r>
            <w:r>
              <w:rPr>
                <w:rFonts w:hint="eastAsia" w:ascii="宋体" w:hAnsi="宋体" w:eastAsia="宋体" w:cs="宋体"/>
                <w:color w:val="auto"/>
                <w:sz w:val="21"/>
                <w:szCs w:val="21"/>
                <w:highlight w:val="none"/>
                <w:shd w:val="clear" w:color="auto" w:fill="FFFFFF"/>
              </w:rPr>
              <w:t>的，每有一项得</w:t>
            </w: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分，本项满分</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分。（业绩以勘察成果验收专家组评审意见或审查会议纪要日期为准。）</w:t>
            </w:r>
          </w:p>
          <w:p w14:paraId="54D6A94C">
            <w:pPr>
              <w:snapToGrid w:val="0"/>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投标人</w:t>
            </w:r>
            <w:r>
              <w:rPr>
                <w:rFonts w:hint="eastAsia" w:ascii="宋体" w:hAnsi="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1日以来承担过沿海类似项目的地质勘察</w:t>
            </w:r>
            <w:r>
              <w:rPr>
                <w:rFonts w:hint="eastAsia" w:ascii="宋体" w:hAnsi="宋体" w:cs="宋体"/>
                <w:color w:val="auto"/>
                <w:sz w:val="21"/>
                <w:szCs w:val="21"/>
                <w:highlight w:val="none"/>
                <w:shd w:val="clear" w:color="auto" w:fill="FFFFFF"/>
                <w:lang w:eastAsia="zh-CN"/>
              </w:rPr>
              <w:t>工作</w:t>
            </w:r>
            <w:r>
              <w:rPr>
                <w:rFonts w:hint="eastAsia" w:ascii="宋体" w:hAnsi="宋体" w:eastAsia="宋体" w:cs="宋体"/>
                <w:color w:val="auto"/>
                <w:sz w:val="21"/>
                <w:szCs w:val="21"/>
                <w:highlight w:val="none"/>
                <w:shd w:val="clear" w:color="auto" w:fill="FFFFFF"/>
              </w:rPr>
              <w:t>的，每有一项得</w:t>
            </w: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分，本项满分</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分。（业绩以勘察成果验收专家组评审意见或审查会议纪要日期为准。）</w:t>
            </w:r>
          </w:p>
          <w:p w14:paraId="3E2F58DA">
            <w:pPr>
              <w:snapToGrid w:val="0"/>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投标人</w:t>
            </w:r>
            <w:r>
              <w:rPr>
                <w:rFonts w:hint="eastAsia" w:ascii="宋体" w:hAnsi="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1日以来承担过沿海类似项目工程可行性研究报告或设计</w:t>
            </w:r>
            <w:r>
              <w:rPr>
                <w:rFonts w:hint="eastAsia" w:ascii="宋体" w:hAnsi="宋体" w:cs="宋体"/>
                <w:color w:val="auto"/>
                <w:sz w:val="21"/>
                <w:szCs w:val="21"/>
                <w:highlight w:val="none"/>
                <w:shd w:val="clear" w:color="auto" w:fill="FFFFFF"/>
                <w:lang w:eastAsia="zh-CN"/>
              </w:rPr>
              <w:t>或方案设计</w:t>
            </w:r>
            <w:r>
              <w:rPr>
                <w:rFonts w:hint="eastAsia" w:ascii="宋体" w:hAnsi="宋体" w:eastAsia="宋体" w:cs="宋体"/>
                <w:color w:val="auto"/>
                <w:sz w:val="21"/>
                <w:szCs w:val="21"/>
                <w:highlight w:val="none"/>
                <w:shd w:val="clear" w:color="auto" w:fill="FFFFFF"/>
              </w:rPr>
              <w:t>的，每有一项得</w:t>
            </w: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分，本项满分</w:t>
            </w: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分。（业绩以</w:t>
            </w:r>
            <w:r>
              <w:rPr>
                <w:rFonts w:hint="eastAsia" w:ascii="宋体" w:hAnsi="宋体" w:cs="宋体"/>
                <w:color w:val="auto"/>
                <w:sz w:val="21"/>
                <w:szCs w:val="21"/>
                <w:highlight w:val="none"/>
                <w:shd w:val="clear" w:color="auto" w:fill="FFFFFF"/>
                <w:lang w:eastAsia="zh-CN"/>
              </w:rPr>
              <w:t>工可</w:t>
            </w:r>
            <w:r>
              <w:rPr>
                <w:rFonts w:hint="eastAsia" w:ascii="宋体" w:hAnsi="宋体" w:eastAsia="宋体" w:cs="宋体"/>
                <w:color w:val="auto"/>
                <w:sz w:val="21"/>
                <w:szCs w:val="21"/>
                <w:highlight w:val="none"/>
                <w:shd w:val="clear" w:color="auto" w:fill="FFFFFF"/>
              </w:rPr>
              <w:t>批复</w:t>
            </w:r>
            <w:r>
              <w:rPr>
                <w:rFonts w:hint="eastAsia" w:ascii="宋体" w:hAnsi="宋体" w:cs="宋体"/>
                <w:color w:val="auto"/>
                <w:sz w:val="21"/>
                <w:szCs w:val="21"/>
                <w:highlight w:val="none"/>
                <w:shd w:val="clear" w:color="auto" w:fill="FFFFFF"/>
                <w:lang w:eastAsia="zh-CN"/>
              </w:rPr>
              <w:t>或设计批复或方案设计评审意见（或纪要）</w:t>
            </w:r>
            <w:r>
              <w:rPr>
                <w:rFonts w:hint="eastAsia" w:ascii="宋体" w:hAnsi="宋体" w:eastAsia="宋体" w:cs="宋体"/>
                <w:color w:val="auto"/>
                <w:sz w:val="21"/>
                <w:szCs w:val="21"/>
                <w:highlight w:val="none"/>
                <w:shd w:val="clear" w:color="auto" w:fill="FFFFFF"/>
              </w:rPr>
              <w:t>日期为准。一个项目同时包含工程可行性研究报告或设计的，仅计分1次）</w:t>
            </w:r>
          </w:p>
          <w:p w14:paraId="02E8DADB">
            <w:pPr>
              <w:snapToGrid w:val="0"/>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投标人</w:t>
            </w:r>
            <w:r>
              <w:rPr>
                <w:rFonts w:hint="eastAsia" w:ascii="宋体" w:hAnsi="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1日以来承担过沿海类似项目通航安全评估报告（或通航安全保障方案，下同）的，每有一项得</w:t>
            </w: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分，本项满分</w:t>
            </w: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分。（业绩以专家组评审意见或主管部门批复日期为准。）</w:t>
            </w:r>
          </w:p>
          <w:p w14:paraId="15D79064">
            <w:pPr>
              <w:snapToGrid w:val="0"/>
              <w:spacing w:line="44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注：同一项目同时包含工程勘察、工可或设计</w:t>
            </w:r>
            <w:r>
              <w:rPr>
                <w:rFonts w:hint="eastAsia" w:ascii="宋体" w:hAnsi="宋体" w:cs="宋体"/>
                <w:color w:val="auto"/>
                <w:kern w:val="0"/>
                <w:szCs w:val="21"/>
                <w:highlight w:val="none"/>
                <w:shd w:val="clear" w:color="auto" w:fill="FFFFFF"/>
                <w:lang w:eastAsia="zh-CN"/>
              </w:rPr>
              <w:t>或方案设计</w:t>
            </w:r>
            <w:r>
              <w:rPr>
                <w:rFonts w:hint="eastAsia" w:ascii="宋体" w:hAnsi="宋体" w:cs="宋体"/>
                <w:color w:val="auto"/>
                <w:kern w:val="0"/>
                <w:szCs w:val="21"/>
                <w:highlight w:val="none"/>
                <w:shd w:val="clear" w:color="auto" w:fill="FFFFFF"/>
              </w:rPr>
              <w:t>和通航安全评估报告</w:t>
            </w:r>
            <w:r>
              <w:rPr>
                <w:rFonts w:hint="eastAsia" w:ascii="宋体" w:hAnsi="宋体" w:cs="宋体"/>
                <w:color w:val="auto"/>
                <w:szCs w:val="21"/>
                <w:highlight w:val="none"/>
                <w:shd w:val="clear" w:color="auto" w:fill="FFFFFF"/>
              </w:rPr>
              <w:t>（或通航安全保障方案）</w:t>
            </w:r>
            <w:r>
              <w:rPr>
                <w:rFonts w:hint="eastAsia" w:ascii="宋体" w:hAnsi="宋体" w:cs="宋体"/>
                <w:color w:val="auto"/>
                <w:kern w:val="0"/>
                <w:szCs w:val="21"/>
                <w:highlight w:val="none"/>
                <w:shd w:val="clear" w:color="auto" w:fill="FFFFFF"/>
              </w:rPr>
              <w:t>的，可按实际工作内容及完成情况计为1个勘察项目、1个工可</w:t>
            </w:r>
            <w:r>
              <w:rPr>
                <w:rFonts w:hint="eastAsia" w:ascii="宋体" w:hAnsi="宋体" w:cs="宋体"/>
                <w:color w:val="auto"/>
                <w:kern w:val="0"/>
                <w:szCs w:val="21"/>
                <w:highlight w:val="none"/>
                <w:shd w:val="clear" w:color="auto" w:fill="FFFFFF"/>
                <w:lang w:eastAsia="zh-CN"/>
              </w:rPr>
              <w:t>或</w:t>
            </w:r>
            <w:r>
              <w:rPr>
                <w:rFonts w:hint="eastAsia" w:ascii="宋体" w:hAnsi="宋体" w:cs="宋体"/>
                <w:color w:val="auto"/>
                <w:kern w:val="0"/>
                <w:szCs w:val="21"/>
                <w:highlight w:val="none"/>
                <w:shd w:val="clear" w:color="auto" w:fill="FFFFFF"/>
              </w:rPr>
              <w:t>设计</w:t>
            </w:r>
            <w:r>
              <w:rPr>
                <w:rFonts w:hint="eastAsia" w:ascii="宋体" w:hAnsi="宋体" w:cs="宋体"/>
                <w:color w:val="auto"/>
                <w:kern w:val="0"/>
                <w:szCs w:val="21"/>
                <w:highlight w:val="none"/>
                <w:shd w:val="clear" w:color="auto" w:fill="FFFFFF"/>
                <w:lang w:eastAsia="zh-CN"/>
              </w:rPr>
              <w:t>或方案设计</w:t>
            </w:r>
            <w:r>
              <w:rPr>
                <w:rFonts w:hint="eastAsia" w:ascii="宋体" w:hAnsi="宋体" w:cs="宋体"/>
                <w:color w:val="auto"/>
                <w:kern w:val="0"/>
                <w:szCs w:val="21"/>
                <w:highlight w:val="none"/>
                <w:shd w:val="clear" w:color="auto" w:fill="FFFFFF"/>
              </w:rPr>
              <w:t>项目、1个通航安全评估报告项目业绩。</w:t>
            </w:r>
            <w:r>
              <w:rPr>
                <w:rFonts w:ascii="宋体" w:hAnsi="宋体" w:cs="宋体"/>
                <w:color w:val="auto"/>
                <w:kern w:val="0"/>
                <w:szCs w:val="21"/>
                <w:highlight w:val="none"/>
                <w:shd w:val="clear" w:color="auto" w:fill="FFFFFF"/>
              </w:rPr>
              <w:t>需</w:t>
            </w:r>
            <w:r>
              <w:rPr>
                <w:rFonts w:hint="eastAsia" w:ascii="宋体" w:hAnsi="宋体" w:cs="宋体"/>
                <w:color w:val="auto"/>
                <w:kern w:val="0"/>
                <w:szCs w:val="21"/>
                <w:highlight w:val="none"/>
                <w:shd w:val="clear" w:color="auto" w:fill="FFFFFF"/>
                <w:lang w:eastAsia="zh-CN"/>
              </w:rPr>
              <w:t>提供：</w:t>
            </w:r>
            <w:r>
              <w:rPr>
                <w:rFonts w:hint="eastAsia" w:ascii="宋体" w:hAnsi="宋体" w:cs="宋体"/>
                <w:color w:val="auto"/>
                <w:kern w:val="0"/>
                <w:szCs w:val="21"/>
                <w:highlight w:val="none"/>
                <w:shd w:val="clear" w:color="auto" w:fill="FFFFFF"/>
                <w:lang w:val="en-US" w:eastAsia="zh-CN"/>
              </w:rPr>
              <w:t>1.</w:t>
            </w:r>
            <w:r>
              <w:rPr>
                <w:rFonts w:ascii="宋体" w:hAnsi="宋体" w:cs="宋体"/>
                <w:color w:val="auto"/>
                <w:kern w:val="0"/>
                <w:szCs w:val="21"/>
                <w:highlight w:val="none"/>
                <w:shd w:val="clear" w:color="auto" w:fill="FFFFFF"/>
              </w:rPr>
              <w:t>有效的合同、</w:t>
            </w:r>
            <w:r>
              <w:rPr>
                <w:rFonts w:hint="eastAsia" w:ascii="宋体" w:hAnsi="宋体" w:cs="宋体"/>
                <w:color w:val="auto"/>
                <w:kern w:val="0"/>
                <w:szCs w:val="21"/>
                <w:highlight w:val="none"/>
                <w:shd w:val="clear" w:color="auto" w:fill="FFFFFF"/>
                <w:lang w:val="en-US" w:eastAsia="zh-CN"/>
              </w:rPr>
              <w:t>2.</w:t>
            </w:r>
            <w:r>
              <w:rPr>
                <w:rFonts w:ascii="宋体" w:hAnsi="宋体" w:cs="宋体"/>
                <w:color w:val="auto"/>
                <w:kern w:val="0"/>
                <w:szCs w:val="21"/>
                <w:highlight w:val="none"/>
                <w:shd w:val="clear" w:color="auto" w:fill="FFFFFF"/>
              </w:rPr>
              <w:t>批复（如有）</w:t>
            </w:r>
            <w:r>
              <w:rPr>
                <w:rFonts w:hint="eastAsia" w:ascii="宋体" w:hAnsi="宋体" w:cs="宋体"/>
                <w:color w:val="auto"/>
                <w:kern w:val="0"/>
                <w:szCs w:val="21"/>
                <w:highlight w:val="none"/>
                <w:shd w:val="clear" w:color="auto" w:fill="FFFFFF"/>
              </w:rPr>
              <w:t>或专家组评审意见或审查会议纪要</w:t>
            </w:r>
            <w:r>
              <w:rPr>
                <w:rFonts w:ascii="宋体" w:hAnsi="宋体" w:cs="宋体"/>
                <w:color w:val="auto"/>
                <w:kern w:val="0"/>
                <w:szCs w:val="21"/>
                <w:highlight w:val="none"/>
                <w:shd w:val="clear" w:color="auto" w:fill="FFFFFF"/>
              </w:rPr>
              <w:t>、</w:t>
            </w:r>
            <w:r>
              <w:rPr>
                <w:rFonts w:hint="eastAsia" w:ascii="宋体" w:hAnsi="宋体" w:cs="宋体"/>
                <w:color w:val="auto"/>
                <w:kern w:val="0"/>
                <w:szCs w:val="21"/>
                <w:highlight w:val="none"/>
                <w:shd w:val="clear" w:color="auto" w:fill="FFFFFF"/>
                <w:lang w:val="en-US" w:eastAsia="zh-CN"/>
              </w:rPr>
              <w:t>3.</w:t>
            </w:r>
            <w:r>
              <w:rPr>
                <w:rFonts w:ascii="宋体" w:hAnsi="宋体" w:cs="宋体"/>
                <w:color w:val="auto"/>
                <w:kern w:val="0"/>
                <w:szCs w:val="21"/>
                <w:highlight w:val="none"/>
                <w:shd w:val="clear" w:color="auto" w:fill="FFFFFF"/>
              </w:rPr>
              <w:t>成果报告签字扉页等证明材料复印件（或彩色扫描件）</w:t>
            </w:r>
            <w:r>
              <w:rPr>
                <w:rFonts w:hint="eastAsia" w:ascii="宋体" w:hAnsi="宋体" w:cs="宋体"/>
                <w:color w:val="auto"/>
                <w:sz w:val="21"/>
                <w:szCs w:val="21"/>
                <w:highlight w:val="none"/>
                <w:shd w:val="clear" w:color="auto" w:fill="FFFFFF"/>
              </w:rPr>
              <w:t>，未按要求提供相关证明材料的不得分</w:t>
            </w:r>
            <w:r>
              <w:rPr>
                <w:rFonts w:ascii="宋体" w:hAnsi="宋体" w:cs="宋体"/>
                <w:color w:val="auto"/>
                <w:kern w:val="0"/>
                <w:szCs w:val="21"/>
                <w:highlight w:val="none"/>
                <w:shd w:val="clear" w:color="auto" w:fill="FFFFFF"/>
              </w:rPr>
              <w:t>。</w:t>
            </w:r>
          </w:p>
        </w:tc>
      </w:tr>
      <w:tr w14:paraId="0BFF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571" w:type="dxa"/>
            <w:vMerge w:val="continue"/>
            <w:tcBorders>
              <w:left w:val="single" w:color="auto" w:sz="4" w:space="0"/>
              <w:right w:val="single" w:color="auto" w:sz="4" w:space="0"/>
            </w:tcBorders>
            <w:noWrap w:val="0"/>
            <w:vAlign w:val="center"/>
          </w:tcPr>
          <w:p w14:paraId="11E29C24">
            <w:pPr>
              <w:adjustRightInd w:val="0"/>
              <w:snapToGrid w:val="0"/>
              <w:spacing w:line="440" w:lineRule="exact"/>
              <w:jc w:val="center"/>
              <w:textAlignment w:val="baseline"/>
              <w:rPr>
                <w:rFonts w:hint="eastAsia" w:ascii="宋体" w:hAnsi="宋体" w:cs="宋体"/>
                <w:b/>
                <w:bCs/>
                <w:color w:val="auto"/>
                <w:szCs w:val="21"/>
                <w:highlight w:val="none"/>
                <w:shd w:val="clear" w:color="auto" w:fill="FFFFFF"/>
              </w:rPr>
            </w:pPr>
          </w:p>
        </w:tc>
        <w:tc>
          <w:tcPr>
            <w:tcW w:w="1608" w:type="dxa"/>
            <w:gridSpan w:val="2"/>
            <w:tcBorders>
              <w:left w:val="single" w:color="auto" w:sz="4" w:space="0"/>
              <w:right w:val="single" w:color="auto" w:sz="4" w:space="0"/>
            </w:tcBorders>
            <w:noWrap w:val="0"/>
            <w:vAlign w:val="center"/>
          </w:tcPr>
          <w:p w14:paraId="443A6B69">
            <w:pPr>
              <w:adjustRightInd w:val="0"/>
              <w:snapToGrid w:val="0"/>
              <w:spacing w:line="440" w:lineRule="exact"/>
              <w:jc w:val="center"/>
              <w:textAlignment w:val="baseline"/>
              <w:rPr>
                <w:rFonts w:hint="eastAsia" w:ascii="宋体" w:hAnsi="宋体" w:cs="宋体"/>
                <w:b/>
                <w:bCs/>
                <w:color w:val="auto"/>
                <w:szCs w:val="21"/>
                <w:highlight w:val="none"/>
                <w:shd w:val="clear" w:color="auto" w:fill="FFFFFF"/>
              </w:rPr>
            </w:pPr>
          </w:p>
        </w:tc>
        <w:tc>
          <w:tcPr>
            <w:tcW w:w="1725" w:type="dxa"/>
            <w:tcBorders>
              <w:top w:val="single" w:color="auto" w:sz="4" w:space="0"/>
              <w:left w:val="single" w:color="auto" w:sz="4" w:space="0"/>
              <w:right w:val="single" w:color="auto" w:sz="4" w:space="0"/>
            </w:tcBorders>
            <w:noWrap w:val="0"/>
            <w:vAlign w:val="center"/>
          </w:tcPr>
          <w:p w14:paraId="6B97A70C">
            <w:pPr>
              <w:widowControl/>
              <w:spacing w:line="400" w:lineRule="exact"/>
              <w:jc w:val="center"/>
              <w:rPr>
                <w:rFonts w:ascii="宋体" w:hAnsi="宋体" w:cs="宋体"/>
                <w:b/>
                <w:bCs/>
                <w:color w:val="auto"/>
                <w:szCs w:val="21"/>
                <w:highlight w:val="none"/>
                <w:shd w:val="clear" w:color="auto" w:fill="FFFFFF"/>
              </w:rPr>
            </w:pPr>
            <w:r>
              <w:rPr>
                <w:rFonts w:hint="eastAsia" w:hAnsi="宋体"/>
                <w:b/>
                <w:bCs/>
                <w:color w:val="auto"/>
                <w:szCs w:val="21"/>
                <w:highlight w:val="none"/>
                <w:shd w:val="clear" w:color="auto" w:fill="FFFFFF"/>
              </w:rPr>
              <w:t>拟投入本项目的人员资格和能力</w:t>
            </w:r>
            <w:r>
              <w:rPr>
                <w:rFonts w:hint="eastAsia" w:ascii="宋体" w:hAnsi="宋体" w:cs="宋体"/>
                <w:b/>
                <w:bCs/>
                <w:color w:val="auto"/>
                <w:szCs w:val="21"/>
                <w:highlight w:val="none"/>
                <w:shd w:val="clear" w:color="auto" w:fill="FFFFFF"/>
              </w:rPr>
              <w:t>（满分</w:t>
            </w:r>
            <w:r>
              <w:rPr>
                <w:rFonts w:hint="eastAsia" w:ascii="宋体" w:hAnsi="宋体" w:cs="宋体"/>
                <w:b/>
                <w:bCs/>
                <w:color w:val="auto"/>
                <w:szCs w:val="21"/>
                <w:highlight w:val="none"/>
                <w:shd w:val="clear" w:color="auto" w:fill="FFFFFF"/>
                <w:lang w:val="en-US" w:eastAsia="zh-CN"/>
              </w:rPr>
              <w:t>14</w:t>
            </w:r>
            <w:r>
              <w:rPr>
                <w:rFonts w:hint="eastAsia" w:ascii="宋体" w:hAnsi="宋体" w:cs="宋体"/>
                <w:b/>
                <w:bCs/>
                <w:color w:val="auto"/>
                <w:szCs w:val="21"/>
                <w:highlight w:val="none"/>
                <w:shd w:val="clear" w:color="auto" w:fill="FFFFFF"/>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2EFD00B9">
            <w:pPr>
              <w:pStyle w:val="370"/>
              <w:spacing w:line="440" w:lineRule="exact"/>
              <w:rPr>
                <w:rFonts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项目负责人或分项负责人业绩（满分</w:t>
            </w:r>
            <w:r>
              <w:rPr>
                <w:rFonts w:hint="eastAsia" w:ascii="宋体" w:hAnsi="宋体" w:eastAsia="宋体" w:cs="宋体"/>
                <w:b/>
                <w:bCs/>
                <w:color w:val="auto"/>
                <w:sz w:val="21"/>
                <w:szCs w:val="21"/>
                <w:highlight w:val="none"/>
                <w:shd w:val="clear" w:color="auto" w:fill="FFFFFF"/>
                <w:lang w:val="en-US" w:eastAsia="zh-CN"/>
              </w:rPr>
              <w:t>11</w:t>
            </w:r>
            <w:r>
              <w:rPr>
                <w:rFonts w:hint="eastAsia" w:ascii="宋体" w:hAnsi="宋体" w:eastAsia="宋体" w:cs="宋体"/>
                <w:b/>
                <w:bCs/>
                <w:color w:val="auto"/>
                <w:sz w:val="21"/>
                <w:szCs w:val="21"/>
                <w:highlight w:val="none"/>
                <w:shd w:val="clear" w:color="auto" w:fill="FFFFFF"/>
              </w:rPr>
              <w:t>分）：</w:t>
            </w:r>
          </w:p>
          <w:p w14:paraId="26139888">
            <w:pPr>
              <w:pStyle w:val="370"/>
              <w:spacing w:line="4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项目负责人</w:t>
            </w:r>
            <w:r>
              <w:rPr>
                <w:rFonts w:hint="eastAsia" w:ascii="宋体" w:hAnsi="宋体" w:eastAsia="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1日以来作为项目负责人主持并完成沿海类似项目（锚地工程，下同）工程可行性研究报告或设计</w:t>
            </w:r>
            <w:r>
              <w:rPr>
                <w:rFonts w:hint="eastAsia" w:ascii="宋体" w:hAnsi="宋体" w:eastAsia="宋体" w:cs="宋体"/>
                <w:color w:val="auto"/>
                <w:sz w:val="21"/>
                <w:szCs w:val="21"/>
                <w:highlight w:val="none"/>
                <w:shd w:val="clear" w:color="auto" w:fill="FFFFFF"/>
                <w:lang w:eastAsia="zh-CN"/>
              </w:rPr>
              <w:t>或方案设计</w:t>
            </w:r>
            <w:r>
              <w:rPr>
                <w:rFonts w:hint="eastAsia" w:eastAsia="宋体"/>
                <w:color w:val="auto"/>
                <w:sz w:val="21"/>
                <w:szCs w:val="21"/>
                <w:highlight w:val="none"/>
                <w:shd w:val="clear" w:color="auto" w:fill="FFFFFF"/>
              </w:rPr>
              <w:t>工作的</w:t>
            </w:r>
            <w:r>
              <w:rPr>
                <w:rFonts w:hint="eastAsia" w:ascii="宋体" w:hAnsi="宋体" w:eastAsia="宋体" w:cs="宋体"/>
                <w:color w:val="auto"/>
                <w:sz w:val="21"/>
                <w:szCs w:val="21"/>
                <w:highlight w:val="none"/>
                <w:shd w:val="clear" w:color="auto" w:fill="FFFFFF"/>
              </w:rPr>
              <w:t>，每个得</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分，满分</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分</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（业绩时间以</w:t>
            </w:r>
            <w:r>
              <w:rPr>
                <w:rFonts w:hint="eastAsia" w:ascii="宋体" w:hAnsi="宋体" w:eastAsia="宋体" w:cs="宋体"/>
                <w:color w:val="auto"/>
                <w:sz w:val="21"/>
                <w:szCs w:val="21"/>
                <w:highlight w:val="none"/>
                <w:shd w:val="clear" w:color="auto" w:fill="FFFFFF"/>
                <w:lang w:eastAsia="zh-CN"/>
              </w:rPr>
              <w:t>工可批复或设计</w:t>
            </w:r>
            <w:r>
              <w:rPr>
                <w:rFonts w:hint="eastAsia" w:ascii="宋体" w:hAnsi="宋体" w:eastAsia="宋体" w:cs="宋体"/>
                <w:color w:val="auto"/>
                <w:sz w:val="21"/>
                <w:szCs w:val="21"/>
                <w:highlight w:val="none"/>
                <w:shd w:val="clear" w:color="auto" w:fill="FFFFFF"/>
              </w:rPr>
              <w:t>批复</w:t>
            </w:r>
            <w:r>
              <w:rPr>
                <w:rFonts w:hint="eastAsia" w:ascii="宋体" w:hAnsi="宋体" w:cs="宋体"/>
                <w:color w:val="auto"/>
                <w:sz w:val="21"/>
                <w:szCs w:val="21"/>
                <w:highlight w:val="none"/>
                <w:shd w:val="clear" w:color="auto" w:fill="FFFFFF"/>
                <w:lang w:eastAsia="zh-CN"/>
              </w:rPr>
              <w:t>或方案设计评审意见（或纪要）</w:t>
            </w:r>
            <w:r>
              <w:rPr>
                <w:rFonts w:hint="eastAsia" w:ascii="宋体" w:hAnsi="宋体" w:eastAsia="宋体" w:cs="宋体"/>
                <w:color w:val="auto"/>
                <w:sz w:val="21"/>
                <w:szCs w:val="21"/>
                <w:highlight w:val="none"/>
                <w:shd w:val="clear" w:color="auto" w:fill="FFFFFF"/>
              </w:rPr>
              <w:t>日期为准。需提供</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有效的合同、</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批复或专家组评审意见或审查会议纪要、</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成果报告签字扉页等证明材料复印件（或彩色扫描件）</w:t>
            </w:r>
            <w:r>
              <w:rPr>
                <w:rFonts w:hint="eastAsia" w:ascii="宋体" w:hAnsi="宋体" w:cs="宋体"/>
                <w:color w:val="auto"/>
                <w:sz w:val="21"/>
                <w:szCs w:val="21"/>
                <w:highlight w:val="none"/>
                <w:shd w:val="clear" w:color="auto" w:fill="FFFFFF"/>
              </w:rPr>
              <w:t>，未按要求提供相关证明材料的不得分</w:t>
            </w:r>
            <w:r>
              <w:rPr>
                <w:rFonts w:hint="eastAsia" w:ascii="宋体" w:hAnsi="宋体" w:eastAsia="宋体" w:cs="宋体"/>
                <w:color w:val="auto"/>
                <w:sz w:val="21"/>
                <w:szCs w:val="21"/>
                <w:highlight w:val="none"/>
                <w:shd w:val="clear" w:color="auto" w:fill="FFFFFF"/>
              </w:rPr>
              <w:t>。）</w:t>
            </w:r>
          </w:p>
          <w:p w14:paraId="0F071F6C">
            <w:pPr>
              <w:pStyle w:val="370"/>
              <w:spacing w:line="4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eastAsia="zh-CN"/>
              </w:rPr>
              <w:t>）测量</w:t>
            </w:r>
            <w:r>
              <w:rPr>
                <w:rFonts w:hint="eastAsia" w:ascii="宋体" w:hAnsi="宋体" w:eastAsia="宋体" w:cs="宋体"/>
                <w:color w:val="auto"/>
                <w:sz w:val="21"/>
                <w:szCs w:val="21"/>
                <w:highlight w:val="none"/>
                <w:shd w:val="clear" w:color="auto" w:fill="FFFFFF"/>
              </w:rPr>
              <w:t>分项负责人</w:t>
            </w:r>
            <w:r>
              <w:rPr>
                <w:rFonts w:hint="eastAsia" w:ascii="宋体" w:hAnsi="宋体" w:eastAsia="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1日以来作为</w:t>
            </w:r>
            <w:r>
              <w:rPr>
                <w:rFonts w:hint="eastAsia" w:ascii="宋体" w:hAnsi="宋体" w:eastAsia="宋体" w:cs="宋体"/>
                <w:color w:val="auto"/>
                <w:sz w:val="21"/>
                <w:szCs w:val="21"/>
                <w:highlight w:val="none"/>
                <w:shd w:val="clear" w:color="auto" w:fill="FFFFFF"/>
                <w:lang w:eastAsia="zh-CN"/>
              </w:rPr>
              <w:t>测量项目（或分项）</w:t>
            </w:r>
            <w:r>
              <w:rPr>
                <w:rFonts w:hint="eastAsia" w:ascii="宋体" w:hAnsi="宋体" w:eastAsia="宋体" w:cs="宋体"/>
                <w:color w:val="auto"/>
                <w:sz w:val="21"/>
                <w:szCs w:val="21"/>
                <w:highlight w:val="none"/>
                <w:shd w:val="clear" w:color="auto" w:fill="FFFFFF"/>
              </w:rPr>
              <w:t>负责人主持并完成沿海类似项目</w:t>
            </w:r>
            <w:r>
              <w:rPr>
                <w:rFonts w:hint="eastAsia" w:ascii="宋体" w:hAnsi="宋体" w:eastAsia="宋体" w:cs="宋体"/>
                <w:color w:val="auto"/>
                <w:sz w:val="21"/>
                <w:szCs w:val="21"/>
                <w:highlight w:val="none"/>
                <w:shd w:val="clear" w:color="auto" w:fill="FFFFFF"/>
                <w:lang w:eastAsia="zh-CN"/>
              </w:rPr>
              <w:t>测量</w:t>
            </w:r>
            <w:r>
              <w:rPr>
                <w:rFonts w:hint="eastAsia" w:eastAsia="宋体"/>
                <w:color w:val="auto"/>
                <w:sz w:val="21"/>
                <w:szCs w:val="21"/>
                <w:highlight w:val="none"/>
                <w:shd w:val="clear" w:color="auto" w:fill="FFFFFF"/>
              </w:rPr>
              <w:t>工作的</w:t>
            </w:r>
            <w:r>
              <w:rPr>
                <w:rFonts w:hint="eastAsia" w:ascii="宋体" w:hAnsi="宋体" w:eastAsia="宋体" w:cs="宋体"/>
                <w:color w:val="auto"/>
                <w:sz w:val="21"/>
                <w:szCs w:val="21"/>
                <w:highlight w:val="none"/>
                <w:shd w:val="clear" w:color="auto" w:fill="FFFFFF"/>
              </w:rPr>
              <w:t>，每个得</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分，满分</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分。（业绩时间以</w:t>
            </w:r>
            <w:r>
              <w:rPr>
                <w:rFonts w:hint="eastAsia" w:ascii="宋体" w:hAnsi="宋体" w:eastAsia="宋体" w:cs="宋体"/>
                <w:color w:val="auto"/>
                <w:sz w:val="21"/>
                <w:szCs w:val="21"/>
                <w:highlight w:val="none"/>
                <w:shd w:val="clear" w:color="auto" w:fill="FFFFFF"/>
                <w:lang w:eastAsia="zh-CN"/>
              </w:rPr>
              <w:t>测量成果验收</w:t>
            </w:r>
            <w:r>
              <w:rPr>
                <w:rFonts w:hint="eastAsia" w:ascii="宋体" w:hAnsi="宋体" w:eastAsia="宋体" w:cs="宋体"/>
                <w:color w:val="auto"/>
                <w:sz w:val="21"/>
                <w:szCs w:val="21"/>
                <w:highlight w:val="none"/>
                <w:shd w:val="clear" w:color="auto" w:fill="FFFFFF"/>
              </w:rPr>
              <w:t>专家组评审意见或会议纪要日期为准。需提供</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有效的合同、</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专家组评审意见或审查会议纪要、</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成果报告签字扉页等证明材料复印件（或彩色扫描件）</w:t>
            </w:r>
            <w:r>
              <w:rPr>
                <w:rFonts w:hint="eastAsia" w:ascii="宋体" w:hAnsi="宋体" w:cs="宋体"/>
                <w:color w:val="auto"/>
                <w:sz w:val="21"/>
                <w:szCs w:val="21"/>
                <w:highlight w:val="none"/>
                <w:shd w:val="clear" w:color="auto" w:fill="FFFFFF"/>
              </w:rPr>
              <w:t>，未按要求提供相关证明材料的不得分</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w:t>
            </w:r>
          </w:p>
          <w:p w14:paraId="1E6713E5">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勘察分项负责人</w:t>
            </w:r>
            <w:r>
              <w:rPr>
                <w:rFonts w:hint="eastAsia" w:ascii="宋体" w:hAnsi="宋体" w:eastAsia="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1日以来作为勘察项目</w:t>
            </w:r>
            <w:r>
              <w:rPr>
                <w:rFonts w:hint="eastAsia" w:ascii="宋体" w:hAnsi="宋体" w:eastAsia="宋体" w:cs="宋体"/>
                <w:color w:val="auto"/>
                <w:sz w:val="21"/>
                <w:szCs w:val="21"/>
                <w:highlight w:val="none"/>
                <w:shd w:val="clear" w:color="auto" w:fill="FFFFFF"/>
                <w:lang w:eastAsia="zh-CN"/>
              </w:rPr>
              <w:t>（或分项）</w:t>
            </w:r>
            <w:r>
              <w:rPr>
                <w:rFonts w:hint="eastAsia" w:ascii="宋体" w:hAnsi="宋体" w:eastAsia="宋体" w:cs="宋体"/>
                <w:color w:val="auto"/>
                <w:sz w:val="21"/>
                <w:szCs w:val="21"/>
                <w:highlight w:val="none"/>
                <w:shd w:val="clear" w:color="auto" w:fill="FFFFFF"/>
              </w:rPr>
              <w:t>负责人主持并完成沿海类似项目工程勘察</w:t>
            </w:r>
            <w:r>
              <w:rPr>
                <w:rFonts w:hint="eastAsia" w:eastAsia="宋体"/>
                <w:color w:val="auto"/>
                <w:sz w:val="21"/>
                <w:szCs w:val="21"/>
                <w:highlight w:val="none"/>
                <w:shd w:val="clear" w:color="auto" w:fill="FFFFFF"/>
              </w:rPr>
              <w:t>工作的</w:t>
            </w:r>
            <w:r>
              <w:rPr>
                <w:rFonts w:hint="eastAsia" w:ascii="宋体" w:hAnsi="宋体" w:eastAsia="宋体" w:cs="宋体"/>
                <w:color w:val="auto"/>
                <w:sz w:val="21"/>
                <w:szCs w:val="21"/>
                <w:highlight w:val="none"/>
                <w:shd w:val="clear" w:color="auto" w:fill="FFFFFF"/>
              </w:rPr>
              <w:t>，每个得</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分，满分</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分。（业绩时间以</w:t>
            </w:r>
            <w:r>
              <w:rPr>
                <w:rFonts w:hint="eastAsia" w:ascii="宋体" w:hAnsi="宋体" w:eastAsia="宋体" w:cs="宋体"/>
                <w:color w:val="auto"/>
                <w:sz w:val="21"/>
                <w:szCs w:val="21"/>
                <w:highlight w:val="none"/>
                <w:shd w:val="clear" w:color="auto" w:fill="FFFFFF"/>
                <w:lang w:eastAsia="zh-CN"/>
              </w:rPr>
              <w:t>勘察成果验收</w:t>
            </w:r>
            <w:r>
              <w:rPr>
                <w:rFonts w:hint="eastAsia" w:ascii="宋体" w:hAnsi="宋体" w:eastAsia="宋体" w:cs="宋体"/>
                <w:color w:val="auto"/>
                <w:sz w:val="21"/>
                <w:szCs w:val="21"/>
                <w:highlight w:val="none"/>
                <w:shd w:val="clear" w:color="auto" w:fill="FFFFFF"/>
              </w:rPr>
              <w:t>专家组评审意见或会议纪要日期为准。需提供</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有效的合同、</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专家组评审意见或审查会议纪要、</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成果报告签字扉页等证明材料复印件（或彩色扫描件）</w:t>
            </w:r>
            <w:r>
              <w:rPr>
                <w:rFonts w:hint="eastAsia" w:ascii="宋体" w:hAnsi="宋体" w:cs="宋体"/>
                <w:color w:val="auto"/>
                <w:sz w:val="21"/>
                <w:szCs w:val="21"/>
                <w:highlight w:val="none"/>
                <w:shd w:val="clear" w:color="auto" w:fill="FFFFFF"/>
              </w:rPr>
              <w:t>，未按要求提供相关证明材料的不得分</w:t>
            </w:r>
            <w:r>
              <w:rPr>
                <w:rFonts w:hint="eastAsia" w:ascii="宋体" w:hAnsi="宋体" w:eastAsia="宋体" w:cs="宋体"/>
                <w:color w:val="auto"/>
                <w:sz w:val="21"/>
                <w:szCs w:val="21"/>
                <w:highlight w:val="none"/>
                <w:shd w:val="clear" w:color="auto" w:fill="FFFFFF"/>
              </w:rPr>
              <w:t>。）</w:t>
            </w:r>
          </w:p>
          <w:p w14:paraId="02396534">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lang w:eastAsia="zh-CN"/>
              </w:rPr>
              <w:t>专题论证</w:t>
            </w:r>
            <w:r>
              <w:rPr>
                <w:rFonts w:hint="eastAsia" w:ascii="宋体" w:hAnsi="宋体" w:eastAsia="宋体" w:cs="宋体"/>
                <w:color w:val="auto"/>
                <w:sz w:val="21"/>
                <w:szCs w:val="21"/>
                <w:highlight w:val="none"/>
                <w:shd w:val="clear" w:color="auto" w:fill="FFFFFF"/>
              </w:rPr>
              <w:t>分项负责人</w:t>
            </w:r>
            <w:r>
              <w:rPr>
                <w:rFonts w:hint="eastAsia" w:ascii="宋体" w:hAnsi="宋体" w:eastAsia="宋体" w:cs="宋体"/>
                <w:color w:val="auto"/>
                <w:sz w:val="21"/>
                <w:szCs w:val="21"/>
                <w:highlight w:val="none"/>
                <w:shd w:val="clear" w:color="auto" w:fill="FFFFFF"/>
                <w:lang w:eastAsia="zh-CN"/>
              </w:rPr>
              <w:t>自2020年1月</w:t>
            </w:r>
            <w:r>
              <w:rPr>
                <w:rFonts w:hint="eastAsia" w:ascii="宋体" w:hAnsi="宋体" w:eastAsia="宋体" w:cs="宋体"/>
                <w:color w:val="auto"/>
                <w:sz w:val="21"/>
                <w:szCs w:val="21"/>
                <w:highlight w:val="none"/>
                <w:shd w:val="clear" w:color="auto" w:fill="FFFFFF"/>
              </w:rPr>
              <w:t>1日以来作为</w:t>
            </w:r>
            <w:r>
              <w:rPr>
                <w:rFonts w:hint="eastAsia" w:ascii="宋体" w:hAnsi="宋体" w:eastAsia="宋体" w:cs="宋体"/>
                <w:color w:val="auto"/>
                <w:sz w:val="21"/>
                <w:szCs w:val="21"/>
                <w:highlight w:val="none"/>
                <w:shd w:val="clear" w:color="auto" w:fill="FFFFFF"/>
                <w:lang w:eastAsia="zh-CN"/>
              </w:rPr>
              <w:t>专题论证</w:t>
            </w:r>
            <w:r>
              <w:rPr>
                <w:rFonts w:hint="eastAsia" w:ascii="宋体" w:hAnsi="宋体" w:eastAsia="宋体" w:cs="宋体"/>
                <w:color w:val="auto"/>
                <w:sz w:val="21"/>
                <w:szCs w:val="21"/>
                <w:highlight w:val="none"/>
                <w:shd w:val="clear" w:color="auto" w:fill="FFFFFF"/>
              </w:rPr>
              <w:t>项目</w:t>
            </w:r>
            <w:r>
              <w:rPr>
                <w:rFonts w:hint="eastAsia" w:ascii="宋体" w:hAnsi="宋体" w:eastAsia="宋体" w:cs="宋体"/>
                <w:color w:val="auto"/>
                <w:sz w:val="21"/>
                <w:szCs w:val="21"/>
                <w:highlight w:val="none"/>
                <w:shd w:val="clear" w:color="auto" w:fill="FFFFFF"/>
                <w:lang w:eastAsia="zh-CN"/>
              </w:rPr>
              <w:t>（或分项）</w:t>
            </w:r>
            <w:r>
              <w:rPr>
                <w:rFonts w:hint="eastAsia" w:ascii="宋体" w:hAnsi="宋体" w:eastAsia="宋体" w:cs="宋体"/>
                <w:color w:val="auto"/>
                <w:sz w:val="21"/>
                <w:szCs w:val="21"/>
                <w:highlight w:val="none"/>
                <w:shd w:val="clear" w:color="auto" w:fill="FFFFFF"/>
              </w:rPr>
              <w:t>负责人主持并完成沿海</w:t>
            </w:r>
            <w:r>
              <w:rPr>
                <w:rFonts w:hint="eastAsia" w:ascii="宋体" w:hAnsi="宋体" w:eastAsia="宋体" w:cs="宋体"/>
                <w:color w:val="auto"/>
                <w:sz w:val="21"/>
                <w:szCs w:val="21"/>
                <w:highlight w:val="none"/>
                <w:shd w:val="clear" w:color="auto" w:fill="FFFFFF"/>
                <w:lang w:eastAsia="zh-CN"/>
              </w:rPr>
              <w:t>类似</w:t>
            </w:r>
            <w:r>
              <w:rPr>
                <w:rFonts w:hint="eastAsia" w:ascii="宋体" w:hAnsi="宋体" w:eastAsia="宋体" w:cs="宋体"/>
                <w:color w:val="auto"/>
                <w:sz w:val="21"/>
                <w:szCs w:val="21"/>
                <w:highlight w:val="none"/>
                <w:shd w:val="clear" w:color="auto" w:fill="FFFFFF"/>
              </w:rPr>
              <w:t>项目通航安全评估报告</w:t>
            </w:r>
            <w:r>
              <w:rPr>
                <w:rFonts w:hint="eastAsia" w:eastAsia="宋体"/>
                <w:color w:val="auto"/>
                <w:sz w:val="21"/>
                <w:szCs w:val="21"/>
                <w:highlight w:val="none"/>
                <w:shd w:val="clear" w:color="auto" w:fill="FFFFFF"/>
              </w:rPr>
              <w:t>工作的</w:t>
            </w:r>
            <w:r>
              <w:rPr>
                <w:rFonts w:hint="eastAsia" w:ascii="宋体" w:hAnsi="宋体" w:eastAsia="宋体" w:cs="宋体"/>
                <w:color w:val="auto"/>
                <w:sz w:val="21"/>
                <w:szCs w:val="21"/>
                <w:highlight w:val="none"/>
                <w:shd w:val="clear" w:color="auto" w:fill="FFFFFF"/>
              </w:rPr>
              <w:t>，每个得</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分，满分</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分。（业绩时间以批复或专家组评审意见或审查会议纪要日期为准。需提供</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rPr>
              <w:t>有效的合同、</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批复（如有）或专家组评审意见或审查会议纪要、</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成果报告签字扉页等证明材料复印件（或彩色扫描件）</w:t>
            </w:r>
            <w:r>
              <w:rPr>
                <w:rFonts w:hint="eastAsia" w:ascii="宋体" w:hAnsi="宋体" w:cs="宋体"/>
                <w:color w:val="auto"/>
                <w:sz w:val="21"/>
                <w:szCs w:val="21"/>
                <w:highlight w:val="none"/>
                <w:shd w:val="clear" w:color="auto" w:fill="FFFFFF"/>
              </w:rPr>
              <w:t>，未按要求提供相关证明材料的不得分</w:t>
            </w:r>
            <w:r>
              <w:rPr>
                <w:rFonts w:hint="eastAsia" w:ascii="宋体" w:hAnsi="宋体" w:eastAsia="宋体" w:cs="宋体"/>
                <w:color w:val="auto"/>
                <w:sz w:val="21"/>
                <w:szCs w:val="21"/>
                <w:highlight w:val="none"/>
                <w:shd w:val="clear" w:color="auto" w:fill="FFFFFF"/>
              </w:rPr>
              <w:t>。）</w:t>
            </w:r>
          </w:p>
          <w:p w14:paraId="7DC29777">
            <w:pPr>
              <w:pStyle w:val="370"/>
              <w:spacing w:line="440" w:lineRule="exact"/>
              <w:rPr>
                <w:rFonts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项目组其他成员任职资格（满分</w:t>
            </w:r>
            <w:r>
              <w:rPr>
                <w:rFonts w:ascii="宋体" w:hAnsi="宋体" w:eastAsia="宋体" w:cs="宋体"/>
                <w:b/>
                <w:bCs/>
                <w:color w:val="auto"/>
                <w:sz w:val="21"/>
                <w:szCs w:val="21"/>
                <w:highlight w:val="none"/>
                <w:shd w:val="clear" w:color="auto" w:fill="FFFFFF"/>
              </w:rPr>
              <w:t>3</w:t>
            </w:r>
            <w:r>
              <w:rPr>
                <w:rFonts w:hint="eastAsia" w:ascii="宋体" w:hAnsi="宋体" w:eastAsia="宋体" w:cs="宋体"/>
                <w:b/>
                <w:bCs/>
                <w:color w:val="auto"/>
                <w:sz w:val="21"/>
                <w:szCs w:val="21"/>
                <w:highlight w:val="none"/>
                <w:shd w:val="clear" w:color="auto" w:fill="FFFFFF"/>
              </w:rPr>
              <w:t>分）：</w:t>
            </w:r>
          </w:p>
          <w:p w14:paraId="2749B6D2">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项目组其他成员具有高级工程师或以上职称且同时具备注册土木工程师（岩土）执业证书的，每人得</w:t>
            </w:r>
            <w:r>
              <w:rPr>
                <w:rFonts w:ascii="宋体" w:hAnsi="宋体" w:eastAsia="宋体" w:cs="宋体"/>
                <w:color w:val="auto"/>
                <w:sz w:val="21"/>
                <w:szCs w:val="21"/>
                <w:highlight w:val="none"/>
                <w:shd w:val="clear" w:color="auto" w:fill="FFFFFF"/>
              </w:rPr>
              <w:t>0.5</w:t>
            </w:r>
            <w:r>
              <w:rPr>
                <w:rFonts w:hint="eastAsia" w:ascii="宋体" w:hAnsi="宋体" w:eastAsia="宋体" w:cs="宋体"/>
                <w:color w:val="auto"/>
                <w:sz w:val="21"/>
                <w:szCs w:val="21"/>
                <w:highlight w:val="none"/>
                <w:shd w:val="clear" w:color="auto" w:fill="FFFFFF"/>
              </w:rPr>
              <w:t>分，满分</w:t>
            </w:r>
            <w:r>
              <w:rPr>
                <w:rFonts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rPr>
              <w:t>分。</w:t>
            </w:r>
          </w:p>
          <w:p w14:paraId="2A9137A7">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项目组其他成员具有高级工程师或以上职称且同时具备注册土木工程师（港口与航道工程）执业证书的，每人得0.5分，满分1分。</w:t>
            </w:r>
          </w:p>
          <w:p w14:paraId="03D11826">
            <w:pPr>
              <w:pStyle w:val="370"/>
              <w:spacing w:line="44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项目组其他成员具有高级工程师或以上职称且同时具备</w:t>
            </w:r>
            <w:r>
              <w:rPr>
                <w:rFonts w:hint="eastAsia" w:ascii="宋体" w:hAnsi="宋体" w:eastAsia="宋体" w:cs="宋体"/>
                <w:color w:val="auto"/>
                <w:sz w:val="21"/>
                <w:szCs w:val="21"/>
                <w:highlight w:val="none"/>
                <w:shd w:val="clear" w:color="auto" w:fill="FFFFFF"/>
                <w:lang w:eastAsia="zh-CN"/>
              </w:rPr>
              <w:t>注册测绘</w:t>
            </w:r>
            <w:r>
              <w:rPr>
                <w:rFonts w:hint="eastAsia" w:ascii="宋体" w:hAnsi="宋体" w:eastAsia="宋体" w:cs="宋体"/>
                <w:color w:val="auto"/>
                <w:sz w:val="21"/>
                <w:szCs w:val="21"/>
                <w:highlight w:val="none"/>
                <w:shd w:val="clear" w:color="auto" w:fill="FFFFFF"/>
              </w:rPr>
              <w:t>师证书的</w:t>
            </w:r>
            <w:r>
              <w:rPr>
                <w:rFonts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rPr>
              <w:t>每人得</w:t>
            </w:r>
            <w:r>
              <w:rPr>
                <w:rFonts w:ascii="宋体" w:hAnsi="宋体" w:eastAsia="宋体" w:cs="宋体"/>
                <w:color w:val="auto"/>
                <w:sz w:val="21"/>
                <w:szCs w:val="21"/>
                <w:highlight w:val="none"/>
                <w:shd w:val="clear" w:color="auto" w:fill="FFFFFF"/>
              </w:rPr>
              <w:t>0.5</w:t>
            </w:r>
            <w:r>
              <w:rPr>
                <w:rFonts w:hint="eastAsia" w:ascii="宋体" w:hAnsi="宋体" w:eastAsia="宋体" w:cs="宋体"/>
                <w:color w:val="auto"/>
                <w:sz w:val="21"/>
                <w:szCs w:val="21"/>
                <w:highlight w:val="none"/>
                <w:shd w:val="clear" w:color="auto" w:fill="FFFFFF"/>
              </w:rPr>
              <w:t>分，满分</w:t>
            </w:r>
            <w:r>
              <w:rPr>
                <w:rFonts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rPr>
              <w:t>分。</w:t>
            </w:r>
          </w:p>
          <w:p w14:paraId="4B065B8A">
            <w:pPr>
              <w:pStyle w:val="23"/>
              <w:rPr>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注：人员职称以相关人员职称证书复印件为准，</w:t>
            </w:r>
            <w:r>
              <w:rPr>
                <w:rFonts w:hint="eastAsia" w:ascii="宋体" w:hAnsi="宋体" w:cs="宋体"/>
                <w:color w:val="auto"/>
                <w:sz w:val="21"/>
                <w:szCs w:val="21"/>
                <w:highlight w:val="none"/>
                <w:shd w:val="clear" w:color="auto" w:fill="FFFFFF"/>
                <w:lang w:eastAsia="zh-CN"/>
              </w:rPr>
              <w:t>需提供职称证书和执业证书</w:t>
            </w:r>
            <w:r>
              <w:rPr>
                <w:rFonts w:hint="eastAsia" w:ascii="宋体" w:hAnsi="宋体" w:eastAsia="宋体" w:cs="宋体"/>
                <w:color w:val="auto"/>
                <w:sz w:val="21"/>
                <w:szCs w:val="21"/>
                <w:highlight w:val="none"/>
                <w:shd w:val="clear" w:color="auto" w:fill="FFFFFF"/>
              </w:rPr>
              <w:t>复印件（或彩色扫描件）</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未按要求提供相关证明材料的不得分</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每人只计一次分。</w:t>
            </w:r>
          </w:p>
        </w:tc>
      </w:tr>
      <w:tr w14:paraId="3994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5" w:type="dxa"/>
            <w:gridSpan w:val="5"/>
            <w:tcBorders>
              <w:top w:val="single" w:color="auto" w:sz="4" w:space="0"/>
              <w:left w:val="single" w:color="auto" w:sz="4" w:space="0"/>
              <w:bottom w:val="single" w:color="auto" w:sz="4" w:space="0"/>
              <w:right w:val="single" w:color="auto" w:sz="4" w:space="0"/>
            </w:tcBorders>
            <w:noWrap w:val="0"/>
            <w:vAlign w:val="center"/>
          </w:tcPr>
          <w:p w14:paraId="2DFCA8F7">
            <w:pPr>
              <w:pStyle w:val="31"/>
              <w:snapToGrid w:val="0"/>
              <w:spacing w:line="440" w:lineRule="exact"/>
              <w:rPr>
                <w:rFonts w:hAnsi="宋体" w:cs="宋体"/>
                <w:b/>
                <w:bCs/>
                <w:color w:val="auto"/>
                <w:sz w:val="21"/>
                <w:highlight w:val="none"/>
                <w:shd w:val="clear" w:color="auto" w:fill="FFFFFF"/>
              </w:rPr>
            </w:pPr>
            <w:r>
              <w:rPr>
                <w:rFonts w:hint="eastAsia" w:hAnsi="宋体" w:cs="宋体"/>
                <w:b/>
                <w:bCs/>
                <w:color w:val="auto"/>
                <w:sz w:val="21"/>
                <w:highlight w:val="none"/>
                <w:shd w:val="clear" w:color="auto" w:fill="FFFFFF"/>
              </w:rPr>
              <w:t>总得分=1+2+3</w:t>
            </w:r>
          </w:p>
        </w:tc>
      </w:tr>
    </w:tbl>
    <w:p w14:paraId="4920FB97">
      <w:pPr>
        <w:pStyle w:val="31"/>
        <w:spacing w:line="360" w:lineRule="auto"/>
        <w:ind w:firstLine="422"/>
        <w:rPr>
          <w:rFonts w:hAnsi="宋体"/>
          <w:bCs/>
          <w:color w:val="auto"/>
          <w:sz w:val="21"/>
          <w:highlight w:val="none"/>
          <w:shd w:val="clear" w:color="auto" w:fill="FFFFFF" w:themeFill="background1"/>
        </w:rPr>
      </w:pPr>
      <w:r>
        <w:rPr>
          <w:rFonts w:hint="eastAsia" w:hAnsi="宋体"/>
          <w:bCs/>
          <w:color w:val="auto"/>
          <w:sz w:val="21"/>
          <w:highlight w:val="none"/>
          <w:shd w:val="clear" w:color="auto" w:fill="FFFFFF" w:themeFill="background1"/>
        </w:rPr>
        <w:t>注：计分方法按四舍五入取至百分位</w:t>
      </w:r>
    </w:p>
    <w:p w14:paraId="73CA40BB">
      <w:pPr>
        <w:ind w:firstLine="840" w:firstLineChars="400"/>
        <w:rPr>
          <w:color w:val="auto"/>
          <w:highlight w:val="none"/>
          <w:shd w:val="clear" w:color="auto" w:fill="FFFFFF" w:themeFill="background1"/>
        </w:rPr>
      </w:pPr>
      <w:r>
        <w:rPr>
          <w:rFonts w:hint="eastAsia" w:hAnsi="宋体"/>
          <w:color w:val="auto"/>
          <w:highlight w:val="none"/>
          <w:shd w:val="clear" w:color="auto" w:fill="FFFFFF" w:themeFill="background1"/>
        </w:rPr>
        <w:t>本项目为服务项目，无节能产品、环境标志产品要求。</w:t>
      </w:r>
    </w:p>
    <w:p w14:paraId="28A7B65A">
      <w:pPr>
        <w:pStyle w:val="31"/>
        <w:spacing w:line="360" w:lineRule="auto"/>
        <w:ind w:firstLine="420" w:firstLineChars="200"/>
        <w:rPr>
          <w:rFonts w:hAnsi="宋体"/>
          <w:color w:val="auto"/>
          <w:sz w:val="21"/>
          <w:highlight w:val="none"/>
          <w:shd w:val="clear" w:color="auto" w:fill="FFFFFF" w:themeFill="background1"/>
        </w:rPr>
      </w:pPr>
    </w:p>
    <w:p w14:paraId="606AE920">
      <w:pPr>
        <w:rPr>
          <w:rFonts w:hint="eastAsia"/>
          <w:color w:val="auto"/>
          <w:sz w:val="30"/>
          <w:szCs w:val="30"/>
          <w:highlight w:val="none"/>
          <w:shd w:val="clear" w:color="auto" w:fill="FFFFFF" w:themeFill="background1"/>
        </w:rPr>
      </w:pPr>
      <w:r>
        <w:rPr>
          <w:rFonts w:hint="eastAsia"/>
          <w:color w:val="auto"/>
          <w:sz w:val="30"/>
          <w:szCs w:val="30"/>
          <w:highlight w:val="none"/>
          <w:shd w:val="clear" w:color="auto" w:fill="FFFFFF" w:themeFill="background1"/>
        </w:rPr>
        <w:br w:type="page"/>
      </w:r>
    </w:p>
    <w:p w14:paraId="68DE5B9F">
      <w:pPr>
        <w:pStyle w:val="5"/>
        <w:keepNext w:val="0"/>
        <w:keepLines w:val="0"/>
        <w:ind w:firstLine="643"/>
        <w:jc w:val="center"/>
        <w:rPr>
          <w:color w:val="auto"/>
          <w:sz w:val="30"/>
          <w:szCs w:val="30"/>
          <w:highlight w:val="none"/>
          <w:shd w:val="clear" w:color="auto" w:fill="FFFFFF" w:themeFill="background1"/>
        </w:rPr>
      </w:pPr>
      <w:r>
        <w:rPr>
          <w:rFonts w:hint="eastAsia"/>
          <w:color w:val="auto"/>
          <w:sz w:val="30"/>
          <w:szCs w:val="30"/>
          <w:highlight w:val="none"/>
          <w:shd w:val="clear" w:color="auto" w:fill="FFFFFF" w:themeFill="background1"/>
        </w:rPr>
        <w:t>四、中标候选人推荐原则</w:t>
      </w:r>
    </w:p>
    <w:p w14:paraId="4071EE18">
      <w:pPr>
        <w:pStyle w:val="31"/>
        <w:spacing w:line="360" w:lineRule="auto"/>
        <w:ind w:firstLine="482"/>
        <w:contextualSpacing/>
        <w:rPr>
          <w:rFonts w:hAnsi="宋体"/>
          <w:b/>
          <w:bCs/>
          <w:color w:val="auto"/>
          <w:sz w:val="24"/>
          <w:szCs w:val="24"/>
          <w:highlight w:val="none"/>
          <w:shd w:val="clear" w:color="auto" w:fill="FFFFFF" w:themeFill="background1"/>
        </w:rPr>
      </w:pPr>
      <w:r>
        <w:rPr>
          <w:rFonts w:hint="eastAsia" w:hAnsi="宋体"/>
          <w:b/>
          <w:bCs/>
          <w:color w:val="auto"/>
          <w:sz w:val="24"/>
          <w:szCs w:val="24"/>
          <w:highlight w:val="none"/>
          <w:shd w:val="clear" w:color="auto" w:fill="FFFFFF" w:themeFill="background1"/>
        </w:rPr>
        <w:t>综合评分法</w:t>
      </w:r>
    </w:p>
    <w:p w14:paraId="4FD4ABE8">
      <w:pPr>
        <w:pStyle w:val="31"/>
        <w:spacing w:line="360" w:lineRule="auto"/>
        <w:ind w:firstLine="420" w:firstLineChars="200"/>
        <w:contextualSpacing/>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1</w:t>
      </w:r>
      <w:r>
        <w:rPr>
          <w:rFonts w:hAnsi="宋体"/>
          <w:color w:val="auto"/>
          <w:sz w:val="21"/>
          <w:highlight w:val="none"/>
          <w:shd w:val="clear" w:color="auto" w:fill="FFFFFF" w:themeFill="background1"/>
        </w:rPr>
        <w:t>.</w:t>
      </w:r>
      <w:r>
        <w:rPr>
          <w:rFonts w:hint="eastAsia" w:hAnsi="宋体"/>
          <w:color w:val="auto"/>
          <w:sz w:val="21"/>
          <w:highlight w:val="none"/>
          <w:shd w:val="clear" w:color="auto" w:fill="FFFFFF" w:themeFill="background1"/>
        </w:rPr>
        <w:t>评标委员会根据原始评标记录和评标结果编写评标报告，并通过电子交易平台向采购人、采购代理机构提交。</w:t>
      </w:r>
    </w:p>
    <w:p w14:paraId="4DBBC1E0">
      <w:pPr>
        <w:pStyle w:val="31"/>
        <w:spacing w:line="360" w:lineRule="auto"/>
        <w:ind w:firstLine="420" w:firstLineChars="200"/>
        <w:contextualSpacing/>
        <w:rPr>
          <w:rFonts w:hAnsi="宋体"/>
          <w:color w:val="auto"/>
          <w:sz w:val="21"/>
          <w:highlight w:val="none"/>
          <w:shd w:val="clear" w:color="auto" w:fill="FFFFFF" w:themeFill="background1"/>
        </w:rPr>
      </w:pPr>
      <w:r>
        <w:rPr>
          <w:rFonts w:hint="eastAsia" w:hAnsi="宋体"/>
          <w:color w:val="auto"/>
          <w:sz w:val="21"/>
          <w:highlight w:val="none"/>
          <w:shd w:val="clear" w:color="auto" w:fill="FFFFFF" w:themeFill="background1"/>
        </w:rPr>
        <w:t>2</w:t>
      </w:r>
      <w:r>
        <w:rPr>
          <w:rFonts w:hAnsi="宋体"/>
          <w:color w:val="auto"/>
          <w:sz w:val="21"/>
          <w:highlight w:val="none"/>
          <w:shd w:val="clear" w:color="auto" w:fill="FFFFFF" w:themeFill="background1"/>
        </w:rPr>
        <w:t>.</w:t>
      </w:r>
      <w:r>
        <w:rPr>
          <w:rFonts w:hint="eastAsia" w:hAnsi="宋体"/>
          <w:color w:val="auto"/>
          <w:sz w:val="21"/>
          <w:highlight w:val="none"/>
          <w:shd w:val="clear" w:color="auto" w:fill="FFFFFF" w:themeFill="background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1F2CE53E">
      <w:pPr>
        <w:pStyle w:val="5"/>
        <w:keepNext w:val="0"/>
        <w:keepLines w:val="0"/>
        <w:ind w:firstLine="480"/>
        <w:jc w:val="center"/>
        <w:rPr>
          <w:rFonts w:hAnsi="宋体"/>
          <w:color w:val="auto"/>
          <w:sz w:val="21"/>
          <w:highlight w:val="none"/>
          <w:shd w:val="clear" w:color="auto" w:fill="FFFFFF" w:themeFill="background1"/>
        </w:rPr>
      </w:pPr>
      <w:r>
        <w:rPr>
          <w:rFonts w:hAnsi="宋体"/>
          <w:b w:val="0"/>
          <w:color w:val="auto"/>
          <w:sz w:val="24"/>
          <w:highlight w:val="none"/>
          <w:shd w:val="clear" w:color="auto" w:fill="FFFFFF" w:themeFill="background1"/>
        </w:rPr>
        <w:br w:type="page"/>
      </w:r>
    </w:p>
    <w:p w14:paraId="68C94AEB">
      <w:pPr>
        <w:spacing w:beforeLines="50" w:afterLines="50" w:line="400" w:lineRule="exact"/>
        <w:ind w:firstLine="480"/>
        <w:rPr>
          <w:rFonts w:ascii="宋体" w:hAnsi="宋体"/>
          <w:b/>
          <w:color w:val="auto"/>
          <w:sz w:val="24"/>
          <w:highlight w:val="none"/>
          <w:shd w:val="clear" w:color="auto" w:fill="FFFFFF" w:themeFill="background1"/>
        </w:rPr>
      </w:pPr>
    </w:p>
    <w:p w14:paraId="14F7B6E1">
      <w:pPr>
        <w:spacing w:beforeLines="50" w:afterLines="50" w:line="400" w:lineRule="exact"/>
        <w:ind w:firstLine="480"/>
        <w:rPr>
          <w:rFonts w:ascii="宋体" w:hAnsi="宋体"/>
          <w:b/>
          <w:color w:val="auto"/>
          <w:sz w:val="24"/>
          <w:highlight w:val="none"/>
          <w:shd w:val="clear" w:color="auto" w:fill="FFFFFF" w:themeFill="background1"/>
        </w:rPr>
      </w:pPr>
    </w:p>
    <w:p w14:paraId="70CBDB1E">
      <w:pPr>
        <w:spacing w:beforeLines="50" w:afterLines="50" w:line="400" w:lineRule="exact"/>
        <w:ind w:firstLine="480"/>
        <w:rPr>
          <w:rFonts w:ascii="宋体" w:hAnsi="宋体"/>
          <w:b/>
          <w:color w:val="auto"/>
          <w:sz w:val="24"/>
          <w:highlight w:val="none"/>
          <w:shd w:val="clear" w:color="auto" w:fill="FFFFFF" w:themeFill="background1"/>
        </w:rPr>
      </w:pPr>
    </w:p>
    <w:p w14:paraId="3550FD82">
      <w:pPr>
        <w:spacing w:beforeLines="50" w:afterLines="50" w:line="400" w:lineRule="exact"/>
        <w:ind w:firstLine="480"/>
        <w:rPr>
          <w:rFonts w:ascii="宋体" w:hAnsi="宋体"/>
          <w:b/>
          <w:color w:val="auto"/>
          <w:sz w:val="24"/>
          <w:highlight w:val="none"/>
          <w:shd w:val="clear" w:color="auto" w:fill="FFFFFF" w:themeFill="background1"/>
        </w:rPr>
      </w:pPr>
    </w:p>
    <w:p w14:paraId="176C6BD3">
      <w:pPr>
        <w:spacing w:beforeLines="50" w:afterLines="50" w:line="400" w:lineRule="exact"/>
        <w:ind w:firstLine="480"/>
        <w:rPr>
          <w:rFonts w:ascii="宋体" w:hAnsi="宋体"/>
          <w:b/>
          <w:color w:val="auto"/>
          <w:sz w:val="24"/>
          <w:highlight w:val="none"/>
          <w:shd w:val="clear" w:color="auto" w:fill="FFFFFF" w:themeFill="background1"/>
        </w:rPr>
      </w:pPr>
    </w:p>
    <w:p w14:paraId="2513468D">
      <w:pPr>
        <w:spacing w:beforeLines="50" w:afterLines="50" w:line="400" w:lineRule="exact"/>
        <w:ind w:firstLine="480"/>
        <w:rPr>
          <w:rFonts w:ascii="宋体" w:hAnsi="宋体"/>
          <w:b/>
          <w:color w:val="auto"/>
          <w:sz w:val="24"/>
          <w:highlight w:val="none"/>
          <w:shd w:val="clear" w:color="auto" w:fill="FFFFFF" w:themeFill="background1"/>
        </w:rPr>
      </w:pPr>
    </w:p>
    <w:p w14:paraId="4A24ED3F">
      <w:pPr>
        <w:spacing w:beforeLines="50" w:afterLines="50" w:line="400" w:lineRule="exact"/>
        <w:ind w:firstLine="480"/>
        <w:rPr>
          <w:rFonts w:ascii="宋体" w:hAnsi="宋体"/>
          <w:b/>
          <w:color w:val="auto"/>
          <w:sz w:val="24"/>
          <w:highlight w:val="none"/>
          <w:shd w:val="clear" w:color="auto" w:fill="FFFFFF" w:themeFill="background1"/>
        </w:rPr>
      </w:pPr>
    </w:p>
    <w:p w14:paraId="4F5AEF28">
      <w:pPr>
        <w:spacing w:beforeLines="50" w:afterLines="50" w:line="400" w:lineRule="exact"/>
        <w:ind w:firstLine="480"/>
        <w:rPr>
          <w:rFonts w:ascii="宋体" w:hAnsi="宋体"/>
          <w:b/>
          <w:color w:val="auto"/>
          <w:sz w:val="24"/>
          <w:highlight w:val="none"/>
          <w:shd w:val="clear" w:color="auto" w:fill="FFFFFF" w:themeFill="background1"/>
        </w:rPr>
      </w:pPr>
    </w:p>
    <w:p w14:paraId="7EBD82EB">
      <w:pPr>
        <w:spacing w:beforeLines="50" w:afterLines="50" w:line="400" w:lineRule="exact"/>
        <w:ind w:firstLine="480"/>
        <w:rPr>
          <w:rFonts w:ascii="宋体" w:hAnsi="宋体"/>
          <w:b/>
          <w:color w:val="auto"/>
          <w:sz w:val="24"/>
          <w:highlight w:val="none"/>
          <w:shd w:val="clear" w:color="auto" w:fill="FFFFFF" w:themeFill="background1"/>
        </w:rPr>
      </w:pPr>
    </w:p>
    <w:p w14:paraId="38D27176">
      <w:pPr>
        <w:spacing w:beforeLines="50" w:afterLines="50" w:line="400" w:lineRule="exact"/>
        <w:ind w:firstLine="480"/>
        <w:rPr>
          <w:rFonts w:ascii="宋体" w:hAnsi="宋体"/>
          <w:b/>
          <w:color w:val="auto"/>
          <w:sz w:val="24"/>
          <w:highlight w:val="none"/>
          <w:shd w:val="clear" w:color="auto" w:fill="FFFFFF" w:themeFill="background1"/>
        </w:rPr>
      </w:pPr>
    </w:p>
    <w:p w14:paraId="797EF55E">
      <w:pPr>
        <w:spacing w:beforeLines="50" w:afterLines="50" w:line="400" w:lineRule="exact"/>
        <w:ind w:firstLine="480"/>
        <w:rPr>
          <w:rFonts w:ascii="宋体" w:hAnsi="宋体"/>
          <w:b/>
          <w:color w:val="auto"/>
          <w:sz w:val="24"/>
          <w:highlight w:val="none"/>
          <w:shd w:val="clear" w:color="auto" w:fill="FFFFFF" w:themeFill="background1"/>
        </w:rPr>
      </w:pPr>
    </w:p>
    <w:p w14:paraId="407CE24D">
      <w:pPr>
        <w:pStyle w:val="3"/>
        <w:ind w:firstLine="883"/>
        <w:jc w:val="center"/>
        <w:rPr>
          <w:color w:val="auto"/>
          <w:highlight w:val="none"/>
          <w:shd w:val="clear" w:color="auto" w:fill="FFFFFF" w:themeFill="background1"/>
        </w:rPr>
      </w:pPr>
      <w:bookmarkStart w:id="143" w:name="_Toc158033874"/>
      <w:r>
        <w:rPr>
          <w:rFonts w:hint="eastAsia"/>
          <w:color w:val="auto"/>
          <w:highlight w:val="none"/>
          <w:shd w:val="clear" w:color="auto" w:fill="FFFFFF" w:themeFill="background1"/>
        </w:rPr>
        <w:t>第五章拟签订的合同文本</w:t>
      </w:r>
      <w:bookmarkEnd w:id="143"/>
    </w:p>
    <w:p w14:paraId="3744FDD8">
      <w:pPr>
        <w:snapToGrid w:val="0"/>
        <w:ind w:firstLine="643"/>
        <w:jc w:val="center"/>
        <w:rPr>
          <w:rFonts w:ascii="宋体" w:hAnsi="宋体"/>
          <w:bCs/>
          <w:color w:val="auto"/>
          <w:sz w:val="32"/>
          <w:szCs w:val="32"/>
          <w:highlight w:val="none"/>
          <w:shd w:val="clear" w:color="auto" w:fill="FFFFFF" w:themeFill="background1"/>
        </w:rPr>
      </w:pPr>
    </w:p>
    <w:p w14:paraId="1189E739">
      <w:pPr>
        <w:snapToGrid w:val="0"/>
        <w:ind w:firstLine="643"/>
        <w:jc w:val="center"/>
        <w:rPr>
          <w:rFonts w:ascii="宋体" w:hAnsi="宋体"/>
          <w:bCs/>
          <w:color w:val="auto"/>
          <w:sz w:val="32"/>
          <w:szCs w:val="32"/>
          <w:highlight w:val="none"/>
          <w:shd w:val="clear" w:color="auto" w:fill="FFFFFF" w:themeFill="background1"/>
        </w:rPr>
      </w:pPr>
    </w:p>
    <w:p w14:paraId="5921DDEA">
      <w:pPr>
        <w:snapToGrid w:val="0"/>
        <w:ind w:firstLine="643"/>
        <w:jc w:val="center"/>
        <w:rPr>
          <w:rFonts w:ascii="宋体" w:hAnsi="宋体"/>
          <w:bCs/>
          <w:color w:val="auto"/>
          <w:sz w:val="32"/>
          <w:szCs w:val="32"/>
          <w:highlight w:val="none"/>
          <w:shd w:val="clear" w:color="auto" w:fill="FFFFFF" w:themeFill="background1"/>
        </w:rPr>
      </w:pPr>
    </w:p>
    <w:p w14:paraId="6CADA413">
      <w:pPr>
        <w:snapToGrid w:val="0"/>
        <w:ind w:firstLine="643"/>
        <w:jc w:val="center"/>
        <w:rPr>
          <w:rFonts w:ascii="宋体" w:hAnsi="宋体"/>
          <w:bCs/>
          <w:color w:val="auto"/>
          <w:sz w:val="32"/>
          <w:szCs w:val="32"/>
          <w:highlight w:val="none"/>
          <w:shd w:val="clear" w:color="auto" w:fill="FFFFFF" w:themeFill="background1"/>
        </w:rPr>
      </w:pPr>
    </w:p>
    <w:p w14:paraId="0FDB2186">
      <w:pPr>
        <w:snapToGrid w:val="0"/>
        <w:ind w:firstLine="643"/>
        <w:jc w:val="center"/>
        <w:rPr>
          <w:rFonts w:ascii="宋体" w:hAnsi="宋体"/>
          <w:bCs/>
          <w:color w:val="auto"/>
          <w:sz w:val="32"/>
          <w:szCs w:val="32"/>
          <w:highlight w:val="none"/>
          <w:shd w:val="clear" w:color="auto" w:fill="FFFFFF" w:themeFill="background1"/>
        </w:rPr>
      </w:pPr>
    </w:p>
    <w:p w14:paraId="315B24BB">
      <w:pPr>
        <w:snapToGrid w:val="0"/>
        <w:ind w:firstLine="643"/>
        <w:jc w:val="center"/>
        <w:rPr>
          <w:rFonts w:ascii="宋体" w:hAnsi="宋体"/>
          <w:bCs/>
          <w:color w:val="auto"/>
          <w:sz w:val="32"/>
          <w:szCs w:val="32"/>
          <w:highlight w:val="none"/>
          <w:shd w:val="clear" w:color="auto" w:fill="FFFFFF" w:themeFill="background1"/>
        </w:rPr>
      </w:pPr>
    </w:p>
    <w:p w14:paraId="2AF24DDE">
      <w:pPr>
        <w:snapToGrid w:val="0"/>
        <w:ind w:firstLine="643"/>
        <w:jc w:val="center"/>
        <w:rPr>
          <w:rFonts w:ascii="宋体" w:hAnsi="宋体"/>
          <w:bCs/>
          <w:color w:val="auto"/>
          <w:sz w:val="32"/>
          <w:szCs w:val="32"/>
          <w:highlight w:val="none"/>
          <w:shd w:val="clear" w:color="auto" w:fill="FFFFFF" w:themeFill="background1"/>
        </w:rPr>
      </w:pPr>
    </w:p>
    <w:p w14:paraId="025D01F1">
      <w:pPr>
        <w:snapToGrid w:val="0"/>
        <w:ind w:firstLine="643"/>
        <w:jc w:val="center"/>
        <w:rPr>
          <w:rFonts w:ascii="宋体" w:hAnsi="宋体"/>
          <w:bCs/>
          <w:color w:val="auto"/>
          <w:sz w:val="32"/>
          <w:szCs w:val="32"/>
          <w:highlight w:val="none"/>
          <w:shd w:val="clear" w:color="auto" w:fill="FFFFFF" w:themeFill="background1"/>
        </w:rPr>
      </w:pPr>
    </w:p>
    <w:p w14:paraId="4C98EE49">
      <w:pPr>
        <w:snapToGrid w:val="0"/>
        <w:ind w:firstLine="643"/>
        <w:jc w:val="center"/>
        <w:rPr>
          <w:rFonts w:ascii="宋体" w:hAnsi="宋体"/>
          <w:bCs/>
          <w:color w:val="auto"/>
          <w:sz w:val="32"/>
          <w:szCs w:val="32"/>
          <w:highlight w:val="none"/>
          <w:shd w:val="clear" w:color="auto" w:fill="FFFFFF" w:themeFill="background1"/>
        </w:rPr>
      </w:pPr>
    </w:p>
    <w:p w14:paraId="66E504E6">
      <w:pPr>
        <w:snapToGrid w:val="0"/>
        <w:ind w:firstLine="643"/>
        <w:jc w:val="center"/>
        <w:rPr>
          <w:rFonts w:ascii="宋体" w:hAnsi="宋体"/>
          <w:bCs/>
          <w:color w:val="auto"/>
          <w:sz w:val="32"/>
          <w:szCs w:val="32"/>
          <w:highlight w:val="none"/>
          <w:shd w:val="clear" w:color="auto" w:fill="FFFFFF" w:themeFill="background1"/>
        </w:rPr>
      </w:pPr>
    </w:p>
    <w:p w14:paraId="1F455DC2">
      <w:pPr>
        <w:snapToGrid w:val="0"/>
        <w:ind w:firstLine="643"/>
        <w:jc w:val="center"/>
        <w:rPr>
          <w:rFonts w:ascii="宋体" w:hAnsi="宋体"/>
          <w:bCs/>
          <w:color w:val="auto"/>
          <w:sz w:val="32"/>
          <w:szCs w:val="32"/>
          <w:highlight w:val="none"/>
          <w:shd w:val="clear" w:color="auto" w:fill="FFFFFF" w:themeFill="background1"/>
        </w:rPr>
      </w:pPr>
    </w:p>
    <w:p w14:paraId="1111EE26">
      <w:pPr>
        <w:snapToGrid w:val="0"/>
        <w:ind w:firstLine="643"/>
        <w:jc w:val="center"/>
        <w:rPr>
          <w:rFonts w:ascii="宋体" w:hAnsi="宋体"/>
          <w:bCs/>
          <w:color w:val="auto"/>
          <w:sz w:val="32"/>
          <w:szCs w:val="32"/>
          <w:highlight w:val="none"/>
          <w:shd w:val="clear" w:color="auto" w:fill="FFFFFF" w:themeFill="background1"/>
        </w:rPr>
      </w:pPr>
    </w:p>
    <w:p w14:paraId="63204E7B">
      <w:pPr>
        <w:snapToGrid w:val="0"/>
        <w:ind w:firstLine="643"/>
        <w:jc w:val="center"/>
        <w:rPr>
          <w:rFonts w:ascii="宋体" w:hAnsi="宋体"/>
          <w:bCs/>
          <w:color w:val="auto"/>
          <w:sz w:val="32"/>
          <w:szCs w:val="32"/>
          <w:highlight w:val="none"/>
          <w:shd w:val="clear" w:color="auto" w:fill="FFFFFF" w:themeFill="background1"/>
        </w:rPr>
      </w:pPr>
    </w:p>
    <w:p w14:paraId="2F1278F0">
      <w:pPr>
        <w:snapToGrid w:val="0"/>
        <w:ind w:firstLine="643"/>
        <w:jc w:val="center"/>
        <w:rPr>
          <w:rFonts w:ascii="宋体" w:hAnsi="宋体"/>
          <w:bCs/>
          <w:color w:val="auto"/>
          <w:sz w:val="32"/>
          <w:szCs w:val="32"/>
          <w:highlight w:val="none"/>
          <w:shd w:val="clear" w:color="auto" w:fill="FFFFFF" w:themeFill="background1"/>
        </w:rPr>
      </w:pPr>
    </w:p>
    <w:p w14:paraId="05478377">
      <w:pPr>
        <w:snapToGrid w:val="0"/>
        <w:ind w:firstLine="643"/>
        <w:jc w:val="center"/>
        <w:rPr>
          <w:rFonts w:ascii="宋体" w:hAnsi="宋体"/>
          <w:bCs/>
          <w:color w:val="auto"/>
          <w:sz w:val="32"/>
          <w:szCs w:val="32"/>
          <w:highlight w:val="none"/>
          <w:shd w:val="clear" w:color="auto" w:fill="FFFFFF" w:themeFill="background1"/>
        </w:rPr>
      </w:pPr>
    </w:p>
    <w:p w14:paraId="05A30DD5">
      <w:pPr>
        <w:pStyle w:val="371"/>
        <w:spacing w:beforeLines="50" w:afterLines="50" w:line="360" w:lineRule="auto"/>
        <w:jc w:val="center"/>
        <w:outlineLvl w:val="1"/>
        <w:rPr>
          <w:rFonts w:ascii="黑体" w:hAnsi="宋体" w:eastAsia="黑体"/>
          <w:color w:val="auto"/>
          <w:sz w:val="32"/>
          <w:szCs w:val="32"/>
          <w:highlight w:val="none"/>
          <w:shd w:val="clear" w:color="auto" w:fill="FFFFFF" w:themeFill="background1"/>
        </w:rPr>
      </w:pPr>
      <w:bookmarkStart w:id="144" w:name="_Toc30051"/>
      <w:bookmarkStart w:id="145" w:name="_Toc9365"/>
      <w:bookmarkStart w:id="146" w:name="_Toc81505539"/>
      <w:bookmarkStart w:id="147" w:name="_Toc4777"/>
      <w:bookmarkStart w:id="148" w:name="_Toc20263"/>
      <w:r>
        <w:rPr>
          <w:rFonts w:hint="eastAsia" w:ascii="黑体" w:hAnsi="宋体" w:eastAsia="黑体"/>
          <w:color w:val="auto"/>
          <w:sz w:val="32"/>
          <w:szCs w:val="32"/>
          <w:highlight w:val="none"/>
          <w:shd w:val="clear" w:color="auto" w:fill="FFFFFF" w:themeFill="background1"/>
        </w:rPr>
        <w:t>第一节  通用合同条款</w:t>
      </w:r>
      <w:bookmarkEnd w:id="144"/>
      <w:bookmarkEnd w:id="145"/>
      <w:bookmarkEnd w:id="146"/>
      <w:bookmarkEnd w:id="147"/>
      <w:bookmarkEnd w:id="148"/>
    </w:p>
    <w:p w14:paraId="1D9AEDA3">
      <w:pPr>
        <w:pStyle w:val="371"/>
        <w:spacing w:line="200" w:lineRule="exact"/>
        <w:jc w:val="center"/>
        <w:rPr>
          <w:rFonts w:ascii="黑体" w:hAnsi="宋体" w:eastAsia="黑体"/>
          <w:color w:val="auto"/>
          <w:sz w:val="24"/>
          <w:highlight w:val="none"/>
          <w:shd w:val="clear" w:color="auto" w:fill="FFFFFF" w:themeFill="background1"/>
        </w:rPr>
      </w:pPr>
    </w:p>
    <w:p w14:paraId="16D9472F">
      <w:pPr>
        <w:spacing w:line="200" w:lineRule="exact"/>
        <w:ind w:firstLine="482"/>
        <w:jc w:val="center"/>
        <w:rPr>
          <w:rFonts w:ascii="黑体" w:hAnsi="宋体" w:eastAsia="黑体"/>
          <w:color w:val="auto"/>
          <w:sz w:val="24"/>
          <w:highlight w:val="none"/>
          <w:shd w:val="clear" w:color="auto" w:fill="FFFFFF" w:themeFill="background1"/>
        </w:rPr>
      </w:pPr>
    </w:p>
    <w:p w14:paraId="0D7FA07C">
      <w:pPr>
        <w:spacing w:line="200" w:lineRule="exact"/>
        <w:ind w:firstLine="482"/>
        <w:jc w:val="center"/>
        <w:rPr>
          <w:rFonts w:ascii="黑体" w:hAnsi="宋体" w:eastAsia="黑体"/>
          <w:color w:val="auto"/>
          <w:sz w:val="24"/>
          <w:highlight w:val="none"/>
          <w:shd w:val="clear" w:color="auto" w:fill="FFFFFF" w:themeFill="background1"/>
        </w:rPr>
      </w:pPr>
    </w:p>
    <w:p w14:paraId="74476FB3">
      <w:pPr>
        <w:spacing w:line="360" w:lineRule="auto"/>
        <w:ind w:firstLine="422"/>
        <w:rPr>
          <w:rFonts w:ascii="宋体" w:hAnsi="宋体" w:cs="宋体"/>
          <w:color w:val="auto"/>
          <w:highlight w:val="none"/>
          <w:shd w:val="clear" w:color="auto" w:fill="FFFFFF" w:themeFill="background1"/>
        </w:rPr>
      </w:pPr>
      <w:r>
        <w:rPr>
          <w:rFonts w:hint="eastAsia" w:ascii="宋体" w:hAnsi="宋体" w:cs="宋体"/>
          <w:color w:val="auto"/>
          <w:highlight w:val="none"/>
          <w:shd w:val="clear" w:color="auto" w:fill="FFFFFF" w:themeFill="background1"/>
        </w:rPr>
        <w:t>说明：通用合同条款正文参考中华人民共和国行业标准JTS 110-11-2013《水运工程标准勘察设计招标文件》中第四章通用合同条款正文。本招标文件将通用合同条款正文摘录如下。</w:t>
      </w:r>
    </w:p>
    <w:p w14:paraId="0A15AE8A">
      <w:pPr>
        <w:pStyle w:val="372"/>
        <w:spacing w:beforeLines="0" w:afterLines="0"/>
        <w:ind w:firstLine="562"/>
        <w:outlineLvl w:val="1"/>
        <w:rPr>
          <w:rFonts w:hAnsi="宋体"/>
          <w:b/>
          <w:color w:val="auto"/>
          <w:highlight w:val="none"/>
          <w:shd w:val="clear" w:color="auto" w:fill="FFFFFF" w:themeFill="background1"/>
        </w:rPr>
      </w:pPr>
      <w:bookmarkStart w:id="149" w:name="_Toc4811"/>
      <w:bookmarkStart w:id="150" w:name="_Toc335660845"/>
      <w:bookmarkStart w:id="151" w:name="_Toc5216"/>
      <w:bookmarkStart w:id="152" w:name="_Toc326241901"/>
      <w:bookmarkStart w:id="153" w:name="_Toc346269488"/>
      <w:bookmarkStart w:id="154" w:name="_Toc89866133"/>
      <w:bookmarkStart w:id="155" w:name="_Toc446919468"/>
      <w:bookmarkStart w:id="156" w:name="_Toc1433"/>
      <w:bookmarkStart w:id="157" w:name="_Toc335721986"/>
      <w:bookmarkStart w:id="158" w:name="_Toc346269068"/>
      <w:r>
        <w:rPr>
          <w:rFonts w:hAnsi="宋体"/>
          <w:b/>
          <w:color w:val="auto"/>
          <w:highlight w:val="none"/>
          <w:shd w:val="clear" w:color="auto" w:fill="FFFFFF" w:themeFill="background1"/>
        </w:rPr>
        <w:t>1. 定义和解释</w:t>
      </w:r>
      <w:bookmarkEnd w:id="149"/>
      <w:bookmarkEnd w:id="150"/>
      <w:bookmarkEnd w:id="151"/>
      <w:bookmarkEnd w:id="152"/>
      <w:bookmarkEnd w:id="153"/>
      <w:bookmarkEnd w:id="154"/>
      <w:bookmarkEnd w:id="155"/>
      <w:bookmarkEnd w:id="156"/>
      <w:bookmarkEnd w:id="157"/>
      <w:bookmarkEnd w:id="158"/>
    </w:p>
    <w:p w14:paraId="6D2CD7CF">
      <w:pPr>
        <w:spacing w:line="460" w:lineRule="exact"/>
        <w:ind w:firstLine="422"/>
        <w:rPr>
          <w:color w:val="auto"/>
          <w:highlight w:val="none"/>
          <w:shd w:val="clear" w:color="auto" w:fill="FFFFFF" w:themeFill="background1"/>
        </w:rPr>
      </w:pPr>
      <w:r>
        <w:rPr>
          <w:color w:val="auto"/>
          <w:highlight w:val="none"/>
          <w:shd w:val="clear" w:color="auto" w:fill="FFFFFF" w:themeFill="background1"/>
        </w:rPr>
        <w:t>通用合同条款、专用合同条款中的下列词语应具有本条所赋予的含义。</w:t>
      </w:r>
    </w:p>
    <w:p w14:paraId="4F553740">
      <w:pPr>
        <w:spacing w:line="460" w:lineRule="exact"/>
        <w:ind w:firstLine="420" w:firstLineChars="200"/>
        <w:rPr>
          <w:color w:val="auto"/>
          <w:highlight w:val="none"/>
          <w:shd w:val="clear" w:color="auto" w:fill="FFFFFF" w:themeFill="background1"/>
        </w:rPr>
      </w:pPr>
      <w:bookmarkStart w:id="159" w:name="_Toc335660846"/>
      <w:r>
        <w:rPr>
          <w:color w:val="auto"/>
          <w:highlight w:val="none"/>
          <w:shd w:val="clear" w:color="auto" w:fill="FFFFFF" w:themeFill="background1"/>
        </w:rPr>
        <w:t>1.1 本项目：指专用合同条款中指明进行的勘察、</w:t>
      </w:r>
      <w:r>
        <w:rPr>
          <w:rFonts w:hint="eastAsia"/>
          <w:color w:val="auto"/>
          <w:highlight w:val="none"/>
          <w:shd w:val="clear" w:color="auto" w:fill="FFFFFF" w:themeFill="background1"/>
        </w:rPr>
        <w:t>工程可行性研究报告编制（含各专题研究）</w:t>
      </w:r>
      <w:r>
        <w:rPr>
          <w:color w:val="auto"/>
          <w:highlight w:val="none"/>
          <w:shd w:val="clear" w:color="auto" w:fill="FFFFFF" w:themeFill="background1"/>
        </w:rPr>
        <w:t>招标的项目。</w:t>
      </w:r>
      <w:bookmarkEnd w:id="159"/>
    </w:p>
    <w:p w14:paraId="0C805F6A">
      <w:pPr>
        <w:spacing w:line="460" w:lineRule="exact"/>
        <w:ind w:firstLine="420" w:firstLineChars="200"/>
        <w:rPr>
          <w:color w:val="auto"/>
          <w:highlight w:val="none"/>
          <w:shd w:val="clear" w:color="auto" w:fill="FFFFFF" w:themeFill="background1"/>
        </w:rPr>
      </w:pPr>
      <w:bookmarkStart w:id="160" w:name="_Toc335660847"/>
      <w:r>
        <w:rPr>
          <w:color w:val="auto"/>
          <w:highlight w:val="none"/>
          <w:shd w:val="clear" w:color="auto" w:fill="FFFFFF" w:themeFill="background1"/>
        </w:rPr>
        <w:t>1.2 发包人：即合同协议书中的甲方，指专用合同条款中指明的执行建设项目投资计划的单位，或其指定的负责管理建设项目的代表机构，以及取得该当事人资格的合法继承人。本合同的发包人在合同专用条款中指明。</w:t>
      </w:r>
      <w:bookmarkEnd w:id="160"/>
    </w:p>
    <w:p w14:paraId="61CDE5D4">
      <w:pPr>
        <w:spacing w:line="460" w:lineRule="exact"/>
        <w:ind w:firstLine="420" w:firstLineChars="200"/>
        <w:rPr>
          <w:color w:val="auto"/>
          <w:highlight w:val="none"/>
          <w:shd w:val="clear" w:color="auto" w:fill="FFFFFF" w:themeFill="background1"/>
        </w:rPr>
      </w:pPr>
      <w:bookmarkStart w:id="161" w:name="_Toc335660848"/>
      <w:r>
        <w:rPr>
          <w:color w:val="auto"/>
          <w:highlight w:val="none"/>
          <w:shd w:val="clear" w:color="auto" w:fill="FFFFFF" w:themeFill="background1"/>
        </w:rPr>
        <w:t xml:space="preserve">1.3 </w:t>
      </w:r>
      <w:r>
        <w:rPr>
          <w:rFonts w:hint="eastAsia"/>
          <w:color w:val="auto"/>
          <w:highlight w:val="none"/>
          <w:shd w:val="clear" w:color="auto" w:fill="FFFFFF" w:themeFill="background1"/>
        </w:rPr>
        <w:t>承包人</w:t>
      </w:r>
      <w:r>
        <w:rPr>
          <w:color w:val="auto"/>
          <w:highlight w:val="none"/>
          <w:shd w:val="clear" w:color="auto" w:fill="FFFFFF" w:themeFill="background1"/>
        </w:rPr>
        <w:t>：即合同协议书中的乙方，指其投标文件</w:t>
      </w:r>
      <w:r>
        <w:rPr>
          <w:rFonts w:hint="eastAsia"/>
          <w:color w:val="auto"/>
          <w:highlight w:val="none"/>
          <w:shd w:val="clear" w:color="auto" w:fill="FFFFFF" w:themeFill="background1"/>
        </w:rPr>
        <w:t>已</w:t>
      </w:r>
      <w:r>
        <w:rPr>
          <w:color w:val="auto"/>
          <w:highlight w:val="none"/>
          <w:shd w:val="clear" w:color="auto" w:fill="FFFFFF" w:themeFill="background1"/>
        </w:rPr>
        <w:t>为发包人所接受，并与发包人签订了合同协议书承担本项目勘察、</w:t>
      </w:r>
      <w:r>
        <w:rPr>
          <w:rFonts w:hint="eastAsia"/>
          <w:color w:val="auto"/>
          <w:highlight w:val="none"/>
          <w:shd w:val="clear" w:color="auto" w:fill="FFFFFF" w:themeFill="background1"/>
        </w:rPr>
        <w:t>可研报告（含各专题研究）</w:t>
      </w:r>
      <w:r>
        <w:rPr>
          <w:color w:val="auto"/>
          <w:highlight w:val="none"/>
          <w:shd w:val="clear" w:color="auto" w:fill="FFFFFF" w:themeFill="background1"/>
        </w:rPr>
        <w:t>的</w:t>
      </w:r>
      <w:r>
        <w:rPr>
          <w:rFonts w:hint="eastAsia"/>
          <w:color w:val="auto"/>
          <w:highlight w:val="none"/>
          <w:shd w:val="clear" w:color="auto" w:fill="FFFFFF" w:themeFill="background1"/>
        </w:rPr>
        <w:t>编制服务</w:t>
      </w:r>
      <w:r>
        <w:rPr>
          <w:color w:val="auto"/>
          <w:highlight w:val="none"/>
          <w:shd w:val="clear" w:color="auto" w:fill="FFFFFF" w:themeFill="background1"/>
        </w:rPr>
        <w:t>机构，以及取得该当事机构资格的合法继承人。若投标人为联合体，</w:t>
      </w:r>
      <w:r>
        <w:rPr>
          <w:rFonts w:hint="eastAsia"/>
          <w:color w:val="auto"/>
          <w:highlight w:val="none"/>
          <w:shd w:val="clear" w:color="auto" w:fill="FFFFFF" w:themeFill="background1"/>
        </w:rPr>
        <w:t>承包人</w:t>
      </w:r>
      <w:r>
        <w:rPr>
          <w:color w:val="auto"/>
          <w:highlight w:val="none"/>
          <w:shd w:val="clear" w:color="auto" w:fill="FFFFFF" w:themeFill="background1"/>
        </w:rPr>
        <w:t>包括联合体所有成员单位。</w:t>
      </w:r>
      <w:bookmarkEnd w:id="161"/>
    </w:p>
    <w:p w14:paraId="46E1A98C">
      <w:pPr>
        <w:spacing w:line="460" w:lineRule="exact"/>
        <w:ind w:firstLine="420" w:firstLineChars="200"/>
        <w:rPr>
          <w:color w:val="auto"/>
          <w:highlight w:val="none"/>
          <w:shd w:val="clear" w:color="auto" w:fill="FFFFFF" w:themeFill="background1"/>
        </w:rPr>
      </w:pPr>
      <w:bookmarkStart w:id="162" w:name="_Toc335660849"/>
      <w:r>
        <w:rPr>
          <w:color w:val="auto"/>
          <w:highlight w:val="none"/>
          <w:shd w:val="clear" w:color="auto" w:fill="FFFFFF" w:themeFill="background1"/>
        </w:rPr>
        <w:t>1.4 分包人：指从</w:t>
      </w:r>
      <w:r>
        <w:rPr>
          <w:rFonts w:hint="eastAsia"/>
          <w:color w:val="auto"/>
          <w:highlight w:val="none"/>
          <w:shd w:val="clear" w:color="auto" w:fill="FFFFFF" w:themeFill="background1"/>
        </w:rPr>
        <w:t>承包人</w:t>
      </w:r>
      <w:r>
        <w:rPr>
          <w:color w:val="auto"/>
          <w:highlight w:val="none"/>
          <w:shd w:val="clear" w:color="auto" w:fill="FFFFFF" w:themeFill="background1"/>
        </w:rPr>
        <w:t>处分包合同中某一部分项目，并与其签订分包合同的单位。</w:t>
      </w:r>
      <w:bookmarkEnd w:id="162"/>
    </w:p>
    <w:p w14:paraId="37FE695A">
      <w:pPr>
        <w:spacing w:line="460" w:lineRule="exact"/>
        <w:ind w:firstLine="420" w:firstLineChars="200"/>
        <w:rPr>
          <w:color w:val="auto"/>
          <w:highlight w:val="none"/>
          <w:shd w:val="clear" w:color="auto" w:fill="FFFFFF" w:themeFill="background1"/>
        </w:rPr>
      </w:pPr>
      <w:bookmarkStart w:id="163" w:name="_Toc335660851"/>
      <w:r>
        <w:rPr>
          <w:rFonts w:hint="eastAsia"/>
          <w:color w:val="auto"/>
          <w:highlight w:val="none"/>
          <w:shd w:val="clear" w:color="auto" w:fill="FFFFFF" w:themeFill="background1"/>
        </w:rPr>
        <w:t>1.5 咨询单位：指受发包人委托对本项目勘察报告或可研报告（含各专题研究）进行审查或提供咨询意见的咨询机构。</w:t>
      </w:r>
    </w:p>
    <w:p w14:paraId="5FF816A3">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1.</w:t>
      </w:r>
      <w:r>
        <w:rPr>
          <w:rFonts w:hint="eastAsia"/>
          <w:color w:val="auto"/>
          <w:highlight w:val="none"/>
          <w:shd w:val="clear" w:color="auto" w:fill="FFFFFF" w:themeFill="background1"/>
        </w:rPr>
        <w:t>6</w:t>
      </w:r>
      <w:r>
        <w:rPr>
          <w:color w:val="auto"/>
          <w:highlight w:val="none"/>
          <w:shd w:val="clear" w:color="auto" w:fill="FFFFFF" w:themeFill="background1"/>
        </w:rPr>
        <w:t>项目负责人：指由</w:t>
      </w:r>
      <w:r>
        <w:rPr>
          <w:rFonts w:hint="eastAsia"/>
          <w:color w:val="auto"/>
          <w:highlight w:val="none"/>
          <w:shd w:val="clear" w:color="auto" w:fill="FFFFFF" w:themeFill="background1"/>
        </w:rPr>
        <w:t>承包人</w:t>
      </w:r>
      <w:r>
        <w:rPr>
          <w:color w:val="auto"/>
          <w:highlight w:val="none"/>
          <w:shd w:val="clear" w:color="auto" w:fill="FFFFFF" w:themeFill="background1"/>
        </w:rPr>
        <w:t>书面委任的负责本项目</w:t>
      </w:r>
      <w:r>
        <w:rPr>
          <w:rFonts w:hint="eastAsia"/>
          <w:color w:val="auto"/>
          <w:highlight w:val="none"/>
          <w:shd w:val="clear" w:color="auto" w:fill="FFFFFF" w:themeFill="background1"/>
        </w:rPr>
        <w:t>勘察、 可研编制</w:t>
      </w:r>
      <w:r>
        <w:rPr>
          <w:color w:val="auto"/>
          <w:highlight w:val="none"/>
          <w:shd w:val="clear" w:color="auto" w:fill="FFFFFF" w:themeFill="background1"/>
        </w:rPr>
        <w:t>的组织管理者。</w:t>
      </w:r>
      <w:bookmarkEnd w:id="163"/>
    </w:p>
    <w:p w14:paraId="02663324">
      <w:pPr>
        <w:spacing w:line="460" w:lineRule="exact"/>
        <w:ind w:firstLine="420" w:firstLineChars="200"/>
        <w:rPr>
          <w:color w:val="auto"/>
          <w:highlight w:val="none"/>
          <w:shd w:val="clear" w:color="auto" w:fill="FFFFFF" w:themeFill="background1"/>
        </w:rPr>
      </w:pPr>
      <w:bookmarkStart w:id="164" w:name="_Toc335660852"/>
      <w:r>
        <w:rPr>
          <w:color w:val="auto"/>
          <w:highlight w:val="none"/>
          <w:shd w:val="clear" w:color="auto" w:fill="FFFFFF" w:themeFill="background1"/>
        </w:rPr>
        <w:t>1.</w:t>
      </w:r>
      <w:r>
        <w:rPr>
          <w:rFonts w:hint="eastAsia"/>
          <w:color w:val="auto"/>
          <w:highlight w:val="none"/>
          <w:shd w:val="clear" w:color="auto" w:fill="FFFFFF" w:themeFill="background1"/>
        </w:rPr>
        <w:t>7</w:t>
      </w:r>
      <w:r>
        <w:rPr>
          <w:color w:val="auto"/>
          <w:highlight w:val="none"/>
          <w:shd w:val="clear" w:color="auto" w:fill="FFFFFF" w:themeFill="background1"/>
        </w:rPr>
        <w:t xml:space="preserve"> 分项负责人：指由</w:t>
      </w:r>
      <w:r>
        <w:rPr>
          <w:rFonts w:hint="eastAsia"/>
          <w:color w:val="auto"/>
          <w:highlight w:val="none"/>
          <w:shd w:val="clear" w:color="auto" w:fill="FFFFFF" w:themeFill="background1"/>
        </w:rPr>
        <w:t>承包人</w:t>
      </w:r>
      <w:r>
        <w:rPr>
          <w:color w:val="auto"/>
          <w:highlight w:val="none"/>
          <w:shd w:val="clear" w:color="auto" w:fill="FFFFFF" w:themeFill="background1"/>
        </w:rPr>
        <w:t>批准的、并经发包人认可的各专业负责人。</w:t>
      </w:r>
      <w:bookmarkEnd w:id="164"/>
    </w:p>
    <w:p w14:paraId="46E9BF1D">
      <w:pPr>
        <w:spacing w:line="460" w:lineRule="exact"/>
        <w:ind w:firstLine="420" w:firstLineChars="200"/>
        <w:rPr>
          <w:color w:val="auto"/>
          <w:highlight w:val="none"/>
          <w:shd w:val="clear" w:color="auto" w:fill="FFFFFF" w:themeFill="background1"/>
        </w:rPr>
      </w:pPr>
      <w:bookmarkStart w:id="165" w:name="_Toc335660853"/>
      <w:r>
        <w:rPr>
          <w:color w:val="auto"/>
          <w:highlight w:val="none"/>
          <w:shd w:val="clear" w:color="auto" w:fill="FFFFFF" w:themeFill="background1"/>
        </w:rPr>
        <w:t>1.</w:t>
      </w:r>
      <w:r>
        <w:rPr>
          <w:rFonts w:hint="eastAsia"/>
          <w:color w:val="auto"/>
          <w:highlight w:val="none"/>
          <w:shd w:val="clear" w:color="auto" w:fill="FFFFFF" w:themeFill="background1"/>
        </w:rPr>
        <w:t>8可行性研究合同</w:t>
      </w:r>
      <w:r>
        <w:rPr>
          <w:color w:val="auto"/>
          <w:highlight w:val="none"/>
          <w:shd w:val="clear" w:color="auto" w:fill="FFFFFF" w:themeFill="background1"/>
        </w:rPr>
        <w:t>：指合同协议书、中标通知书、投标函、专用合同条款、通用合同条款、</w:t>
      </w:r>
      <w:r>
        <w:rPr>
          <w:rFonts w:hint="eastAsia"/>
          <w:color w:val="auto"/>
          <w:highlight w:val="none"/>
          <w:shd w:val="clear" w:color="auto" w:fill="FFFFFF" w:themeFill="background1"/>
        </w:rPr>
        <w:t>项目需求及要求</w:t>
      </w:r>
      <w:r>
        <w:rPr>
          <w:color w:val="auto"/>
          <w:highlight w:val="none"/>
          <w:shd w:val="clear" w:color="auto" w:fill="FFFFFF" w:themeFill="background1"/>
        </w:rPr>
        <w:t>、报价清单，以及构成合同组成部分的其他文件。</w:t>
      </w:r>
      <w:bookmarkEnd w:id="165"/>
    </w:p>
    <w:p w14:paraId="15E1EA9B">
      <w:pPr>
        <w:spacing w:line="460" w:lineRule="exact"/>
        <w:ind w:firstLine="420" w:firstLineChars="200"/>
        <w:rPr>
          <w:color w:val="auto"/>
          <w:highlight w:val="none"/>
          <w:shd w:val="clear" w:color="auto" w:fill="FFFFFF" w:themeFill="background1"/>
        </w:rPr>
      </w:pPr>
      <w:bookmarkStart w:id="166" w:name="_Toc335660854"/>
      <w:r>
        <w:rPr>
          <w:color w:val="auto"/>
          <w:highlight w:val="none"/>
          <w:shd w:val="clear" w:color="auto" w:fill="FFFFFF" w:themeFill="background1"/>
        </w:rPr>
        <w:t>1.</w:t>
      </w:r>
      <w:r>
        <w:rPr>
          <w:rFonts w:hint="eastAsia"/>
          <w:color w:val="auto"/>
          <w:highlight w:val="none"/>
          <w:shd w:val="clear" w:color="auto" w:fill="FFFFFF" w:themeFill="background1"/>
        </w:rPr>
        <w:t>9项目需求及要求</w:t>
      </w:r>
      <w:r>
        <w:rPr>
          <w:color w:val="auto"/>
          <w:highlight w:val="none"/>
          <w:shd w:val="clear" w:color="auto" w:fill="FFFFFF" w:themeFill="background1"/>
        </w:rPr>
        <w:t>:是勘察</w:t>
      </w:r>
      <w:r>
        <w:rPr>
          <w:rFonts w:hint="eastAsia"/>
          <w:color w:val="auto"/>
          <w:highlight w:val="none"/>
          <w:shd w:val="clear" w:color="auto" w:fill="FFFFFF" w:themeFill="background1"/>
        </w:rPr>
        <w:t>、可研编制</w:t>
      </w:r>
      <w:r>
        <w:rPr>
          <w:color w:val="auto"/>
          <w:highlight w:val="none"/>
          <w:shd w:val="clear" w:color="auto" w:fill="FFFFFF" w:themeFill="background1"/>
        </w:rPr>
        <w:t>工作的依据，指国家和交通运输部相关标准以及发包人有关勘察</w:t>
      </w:r>
      <w:r>
        <w:rPr>
          <w:rFonts w:hint="eastAsia"/>
          <w:color w:val="auto"/>
          <w:highlight w:val="none"/>
          <w:shd w:val="clear" w:color="auto" w:fill="FFFFFF" w:themeFill="background1"/>
        </w:rPr>
        <w:t>、可研编制</w:t>
      </w:r>
      <w:r>
        <w:rPr>
          <w:color w:val="auto"/>
          <w:highlight w:val="none"/>
          <w:shd w:val="clear" w:color="auto" w:fill="FFFFFF" w:themeFill="background1"/>
        </w:rPr>
        <w:t>的其他书面要求。</w:t>
      </w:r>
      <w:bookmarkEnd w:id="166"/>
    </w:p>
    <w:p w14:paraId="521C7BFA">
      <w:pPr>
        <w:spacing w:line="460" w:lineRule="exact"/>
        <w:ind w:firstLine="420" w:firstLineChars="200"/>
        <w:rPr>
          <w:color w:val="auto"/>
          <w:highlight w:val="none"/>
          <w:shd w:val="clear" w:color="auto" w:fill="FFFFFF" w:themeFill="background1"/>
        </w:rPr>
      </w:pPr>
      <w:bookmarkStart w:id="167" w:name="_Toc335660855"/>
      <w:r>
        <w:rPr>
          <w:color w:val="auto"/>
          <w:highlight w:val="none"/>
          <w:shd w:val="clear" w:color="auto" w:fill="FFFFFF" w:themeFill="background1"/>
        </w:rPr>
        <w:t>1.</w:t>
      </w:r>
      <w:r>
        <w:rPr>
          <w:rFonts w:hint="eastAsia"/>
          <w:color w:val="auto"/>
          <w:highlight w:val="none"/>
          <w:shd w:val="clear" w:color="auto" w:fill="FFFFFF" w:themeFill="background1"/>
        </w:rPr>
        <w:t>10</w:t>
      </w:r>
      <w:r>
        <w:rPr>
          <w:color w:val="auto"/>
          <w:highlight w:val="none"/>
          <w:shd w:val="clear" w:color="auto" w:fill="FFFFFF" w:themeFill="background1"/>
        </w:rPr>
        <w:t xml:space="preserve"> 勘察:指</w:t>
      </w:r>
      <w:r>
        <w:rPr>
          <w:rFonts w:hint="eastAsia"/>
          <w:color w:val="auto"/>
          <w:highlight w:val="none"/>
          <w:shd w:val="clear" w:color="auto" w:fill="FFFFFF" w:themeFill="background1"/>
        </w:rPr>
        <w:t>承包人</w:t>
      </w:r>
      <w:r>
        <w:rPr>
          <w:color w:val="auto"/>
          <w:highlight w:val="none"/>
          <w:shd w:val="clear" w:color="auto" w:fill="FFFFFF" w:themeFill="background1"/>
        </w:rPr>
        <w:t>按合同的规定进行的有关工程测量、岩土工程与工程地质勘察、必要的科学研究试验等工作。本合同包括的具体勘察内容在专用合同条款中约定。</w:t>
      </w:r>
      <w:bookmarkEnd w:id="167"/>
    </w:p>
    <w:p w14:paraId="3B14CFAC">
      <w:pPr>
        <w:spacing w:line="460" w:lineRule="exact"/>
        <w:ind w:firstLine="420" w:firstLineChars="200"/>
        <w:rPr>
          <w:color w:val="auto"/>
          <w:highlight w:val="none"/>
          <w:shd w:val="clear" w:color="auto" w:fill="FFFFFF" w:themeFill="background1"/>
        </w:rPr>
      </w:pPr>
      <w:bookmarkStart w:id="168" w:name="_Toc335660856"/>
      <w:r>
        <w:rPr>
          <w:color w:val="auto"/>
          <w:highlight w:val="none"/>
          <w:shd w:val="clear" w:color="auto" w:fill="FFFFFF" w:themeFill="background1"/>
        </w:rPr>
        <w:t>1.1</w:t>
      </w:r>
      <w:r>
        <w:rPr>
          <w:rFonts w:hint="eastAsia"/>
          <w:color w:val="auto"/>
          <w:highlight w:val="none"/>
          <w:shd w:val="clear" w:color="auto" w:fill="FFFFFF" w:themeFill="background1"/>
        </w:rPr>
        <w:t>1</w:t>
      </w:r>
      <w:r>
        <w:rPr>
          <w:color w:val="auto"/>
          <w:highlight w:val="none"/>
          <w:shd w:val="clear" w:color="auto" w:fill="FFFFFF" w:themeFill="background1"/>
        </w:rPr>
        <w:t xml:space="preserve"> 勘察报告：指</w:t>
      </w:r>
      <w:r>
        <w:rPr>
          <w:rFonts w:hint="eastAsia"/>
          <w:color w:val="auto"/>
          <w:highlight w:val="none"/>
          <w:shd w:val="clear" w:color="auto" w:fill="FFFFFF" w:themeFill="background1"/>
        </w:rPr>
        <w:t>承包人</w:t>
      </w:r>
      <w:r>
        <w:rPr>
          <w:color w:val="auto"/>
          <w:highlight w:val="none"/>
          <w:shd w:val="clear" w:color="auto" w:fill="FFFFFF" w:themeFill="background1"/>
        </w:rPr>
        <w:t>按国家和交通运输部相关标准提交的勘察成果。本合同包括的具体勘察报告内容在专用合同条款中约定。</w:t>
      </w:r>
      <w:bookmarkEnd w:id="168"/>
    </w:p>
    <w:p w14:paraId="0A6B4FB2">
      <w:pPr>
        <w:spacing w:line="460" w:lineRule="exact"/>
        <w:ind w:firstLine="420" w:firstLineChars="200"/>
        <w:rPr>
          <w:color w:val="auto"/>
          <w:highlight w:val="none"/>
          <w:shd w:val="clear" w:color="auto" w:fill="FFFFFF" w:themeFill="background1"/>
        </w:rPr>
      </w:pPr>
      <w:bookmarkStart w:id="169" w:name="_Toc335660857"/>
      <w:r>
        <w:rPr>
          <w:color w:val="auto"/>
          <w:highlight w:val="none"/>
          <w:shd w:val="clear" w:color="auto" w:fill="FFFFFF" w:themeFill="background1"/>
        </w:rPr>
        <w:t>1.1</w:t>
      </w:r>
      <w:r>
        <w:rPr>
          <w:rFonts w:hint="eastAsia"/>
          <w:color w:val="auto"/>
          <w:highlight w:val="none"/>
          <w:shd w:val="clear" w:color="auto" w:fill="FFFFFF" w:themeFill="background1"/>
        </w:rPr>
        <w:t>2可研编制成果</w:t>
      </w:r>
      <w:r>
        <w:rPr>
          <w:color w:val="auto"/>
          <w:highlight w:val="none"/>
          <w:shd w:val="clear" w:color="auto" w:fill="FFFFFF" w:themeFill="background1"/>
        </w:rPr>
        <w:t>文件:指</w:t>
      </w:r>
      <w:r>
        <w:rPr>
          <w:rFonts w:hint="eastAsia"/>
          <w:color w:val="auto"/>
          <w:highlight w:val="none"/>
          <w:shd w:val="clear" w:color="auto" w:fill="FFFFFF" w:themeFill="background1"/>
        </w:rPr>
        <w:t>承包人</w:t>
      </w:r>
      <w:r>
        <w:rPr>
          <w:color w:val="auto"/>
          <w:highlight w:val="none"/>
          <w:shd w:val="clear" w:color="auto" w:fill="FFFFFF" w:themeFill="background1"/>
        </w:rPr>
        <w:t>按国家和交通运输部相关标准提交的</w:t>
      </w:r>
      <w:r>
        <w:rPr>
          <w:rFonts w:hint="eastAsia"/>
          <w:color w:val="auto"/>
          <w:highlight w:val="none"/>
          <w:shd w:val="clear" w:color="auto" w:fill="FFFFFF" w:themeFill="background1"/>
        </w:rPr>
        <w:t>可研编制</w:t>
      </w:r>
      <w:r>
        <w:rPr>
          <w:color w:val="auto"/>
          <w:highlight w:val="none"/>
          <w:shd w:val="clear" w:color="auto" w:fill="FFFFFF" w:themeFill="background1"/>
        </w:rPr>
        <w:t>成果，本合同包括的具体</w:t>
      </w:r>
      <w:r>
        <w:rPr>
          <w:rFonts w:hint="eastAsia"/>
          <w:color w:val="auto"/>
          <w:highlight w:val="none"/>
          <w:shd w:val="clear" w:color="auto" w:fill="FFFFFF" w:themeFill="background1"/>
        </w:rPr>
        <w:t>可研编制成果</w:t>
      </w:r>
      <w:r>
        <w:rPr>
          <w:color w:val="auto"/>
          <w:highlight w:val="none"/>
          <w:shd w:val="clear" w:color="auto" w:fill="FFFFFF" w:themeFill="background1"/>
        </w:rPr>
        <w:t>文件在专用合同条款中约定。</w:t>
      </w:r>
      <w:bookmarkEnd w:id="169"/>
    </w:p>
    <w:p w14:paraId="12026AD2">
      <w:pPr>
        <w:spacing w:line="460" w:lineRule="exact"/>
        <w:ind w:firstLine="420" w:firstLineChars="200"/>
        <w:rPr>
          <w:color w:val="auto"/>
          <w:highlight w:val="none"/>
          <w:shd w:val="clear" w:color="auto" w:fill="FFFFFF" w:themeFill="background1"/>
        </w:rPr>
      </w:pPr>
      <w:bookmarkStart w:id="170" w:name="_Toc335660858"/>
      <w:r>
        <w:rPr>
          <w:color w:val="auto"/>
          <w:highlight w:val="none"/>
          <w:shd w:val="clear" w:color="auto" w:fill="FFFFFF" w:themeFill="background1"/>
        </w:rPr>
        <w:t>1.1</w:t>
      </w:r>
      <w:r>
        <w:rPr>
          <w:rFonts w:hint="eastAsia"/>
          <w:color w:val="auto"/>
          <w:highlight w:val="none"/>
          <w:shd w:val="clear" w:color="auto" w:fill="FFFFFF" w:themeFill="background1"/>
        </w:rPr>
        <w:t>3</w:t>
      </w:r>
      <w:r>
        <w:rPr>
          <w:color w:val="auto"/>
          <w:highlight w:val="none"/>
          <w:shd w:val="clear" w:color="auto" w:fill="FFFFFF" w:themeFill="background1"/>
        </w:rPr>
        <w:t xml:space="preserve"> 合同价格：指</w:t>
      </w:r>
      <w:r>
        <w:rPr>
          <w:rFonts w:hint="eastAsia"/>
          <w:color w:val="auto"/>
          <w:highlight w:val="none"/>
          <w:shd w:val="clear" w:color="auto" w:fill="FFFFFF" w:themeFill="background1"/>
        </w:rPr>
        <w:t>承包人</w:t>
      </w:r>
      <w:r>
        <w:rPr>
          <w:color w:val="auto"/>
          <w:highlight w:val="none"/>
          <w:shd w:val="clear" w:color="auto" w:fill="FFFFFF" w:themeFill="background1"/>
        </w:rPr>
        <w:t>按合同约定完成所要求的勘察</w:t>
      </w:r>
      <w:r>
        <w:rPr>
          <w:rFonts w:hint="eastAsia"/>
          <w:color w:val="auto"/>
          <w:highlight w:val="none"/>
          <w:shd w:val="clear" w:color="auto" w:fill="FFFFFF" w:themeFill="background1"/>
        </w:rPr>
        <w:t>、可研编制</w:t>
      </w:r>
      <w:r>
        <w:rPr>
          <w:color w:val="auto"/>
          <w:highlight w:val="none"/>
          <w:shd w:val="clear" w:color="auto" w:fill="FFFFFF" w:themeFill="background1"/>
        </w:rPr>
        <w:t>工作，发包人应付给</w:t>
      </w:r>
      <w:r>
        <w:rPr>
          <w:rFonts w:hint="eastAsia"/>
          <w:color w:val="auto"/>
          <w:highlight w:val="none"/>
          <w:shd w:val="clear" w:color="auto" w:fill="FFFFFF" w:themeFill="background1"/>
        </w:rPr>
        <w:t>承包人</w:t>
      </w:r>
      <w:r>
        <w:rPr>
          <w:color w:val="auto"/>
          <w:highlight w:val="none"/>
          <w:shd w:val="clear" w:color="auto" w:fill="FFFFFF" w:themeFill="background1"/>
        </w:rPr>
        <w:t>报酬的金额。</w:t>
      </w:r>
      <w:bookmarkEnd w:id="170"/>
    </w:p>
    <w:p w14:paraId="043DB81E">
      <w:pPr>
        <w:spacing w:line="460" w:lineRule="exact"/>
        <w:ind w:firstLine="420" w:firstLineChars="200"/>
        <w:rPr>
          <w:color w:val="auto"/>
          <w:highlight w:val="none"/>
          <w:shd w:val="clear" w:color="auto" w:fill="FFFFFF" w:themeFill="background1"/>
        </w:rPr>
      </w:pPr>
      <w:bookmarkStart w:id="171" w:name="_Toc335660859"/>
      <w:r>
        <w:rPr>
          <w:color w:val="auto"/>
          <w:highlight w:val="none"/>
          <w:shd w:val="clear" w:color="auto" w:fill="FFFFFF" w:themeFill="background1"/>
        </w:rPr>
        <w:t>1.1</w:t>
      </w:r>
      <w:r>
        <w:rPr>
          <w:rFonts w:hint="eastAsia"/>
          <w:color w:val="auto"/>
          <w:highlight w:val="none"/>
          <w:shd w:val="clear" w:color="auto" w:fill="FFFFFF" w:themeFill="background1"/>
        </w:rPr>
        <w:t>4</w:t>
      </w:r>
      <w:r>
        <w:rPr>
          <w:color w:val="auto"/>
          <w:highlight w:val="none"/>
          <w:shd w:val="clear" w:color="auto" w:fill="FFFFFF" w:themeFill="background1"/>
        </w:rPr>
        <w:t xml:space="preserve"> 暂列金额：指暂时未定的，包含在合同中，并在报价中以此名称表明的金额，用于进行本项目可能发生的额外勘察</w:t>
      </w:r>
      <w:r>
        <w:rPr>
          <w:rFonts w:hint="eastAsia"/>
          <w:color w:val="auto"/>
          <w:highlight w:val="none"/>
          <w:shd w:val="clear" w:color="auto" w:fill="FFFFFF" w:themeFill="background1"/>
        </w:rPr>
        <w:t>、可研编制</w:t>
      </w:r>
      <w:r>
        <w:rPr>
          <w:color w:val="auto"/>
          <w:highlight w:val="none"/>
          <w:shd w:val="clear" w:color="auto" w:fill="FFFFFF" w:themeFill="background1"/>
        </w:rPr>
        <w:t>工作或作为不可预见费用。</w:t>
      </w:r>
      <w:bookmarkEnd w:id="171"/>
    </w:p>
    <w:p w14:paraId="47FF4285">
      <w:pPr>
        <w:spacing w:line="460" w:lineRule="exact"/>
        <w:ind w:firstLine="420" w:firstLineChars="200"/>
        <w:rPr>
          <w:color w:val="auto"/>
          <w:highlight w:val="none"/>
          <w:shd w:val="clear" w:color="auto" w:fill="FFFFFF" w:themeFill="background1"/>
        </w:rPr>
      </w:pPr>
      <w:bookmarkStart w:id="172" w:name="_Toc335660860"/>
      <w:r>
        <w:rPr>
          <w:color w:val="auto"/>
          <w:highlight w:val="none"/>
          <w:shd w:val="clear" w:color="auto" w:fill="FFFFFF" w:themeFill="background1"/>
        </w:rPr>
        <w:t>1.1</w:t>
      </w:r>
      <w:r>
        <w:rPr>
          <w:rFonts w:hint="eastAsia"/>
          <w:color w:val="auto"/>
          <w:highlight w:val="none"/>
          <w:shd w:val="clear" w:color="auto" w:fill="FFFFFF" w:themeFill="background1"/>
        </w:rPr>
        <w:t>5</w:t>
      </w:r>
      <w:r>
        <w:rPr>
          <w:color w:val="auto"/>
          <w:highlight w:val="none"/>
          <w:shd w:val="clear" w:color="auto" w:fill="FFFFFF" w:themeFill="background1"/>
        </w:rPr>
        <w:t>勘察</w:t>
      </w:r>
      <w:r>
        <w:rPr>
          <w:rFonts w:hint="eastAsia"/>
          <w:color w:val="auto"/>
          <w:highlight w:val="none"/>
          <w:shd w:val="clear" w:color="auto" w:fill="FFFFFF" w:themeFill="background1"/>
        </w:rPr>
        <w:t>、可研编制</w:t>
      </w:r>
      <w:r>
        <w:rPr>
          <w:color w:val="auto"/>
          <w:highlight w:val="none"/>
          <w:shd w:val="clear" w:color="auto" w:fill="FFFFFF" w:themeFill="background1"/>
        </w:rPr>
        <w:t>工作质量事故：指由于</w:t>
      </w:r>
      <w:r>
        <w:rPr>
          <w:rFonts w:hint="eastAsia"/>
          <w:color w:val="auto"/>
          <w:highlight w:val="none"/>
          <w:shd w:val="clear" w:color="auto" w:fill="FFFFFF" w:themeFill="background1"/>
        </w:rPr>
        <w:t>承包人</w:t>
      </w:r>
      <w:r>
        <w:rPr>
          <w:color w:val="auto"/>
          <w:highlight w:val="none"/>
          <w:shd w:val="clear" w:color="auto" w:fill="FFFFFF" w:themeFill="background1"/>
        </w:rPr>
        <w:t>的责任过失使工程在施工过程中和设计使用年限内遭受损毁或产生不可弥补的本质缺陷，而需要对工程或设施、设备进行更新、补强、返工修复的事故。</w:t>
      </w:r>
      <w:bookmarkEnd w:id="172"/>
    </w:p>
    <w:p w14:paraId="14C8F827">
      <w:pPr>
        <w:spacing w:line="460" w:lineRule="exact"/>
        <w:ind w:firstLine="420" w:firstLineChars="200"/>
        <w:rPr>
          <w:color w:val="auto"/>
          <w:highlight w:val="none"/>
          <w:shd w:val="clear" w:color="auto" w:fill="FFFFFF" w:themeFill="background1"/>
        </w:rPr>
      </w:pPr>
      <w:bookmarkStart w:id="173" w:name="_Toc335660861"/>
      <w:r>
        <w:rPr>
          <w:color w:val="auto"/>
          <w:highlight w:val="none"/>
          <w:shd w:val="clear" w:color="auto" w:fill="FFFFFF" w:themeFill="background1"/>
        </w:rPr>
        <w:t>1.1</w:t>
      </w:r>
      <w:r>
        <w:rPr>
          <w:rFonts w:hint="eastAsia"/>
          <w:color w:val="auto"/>
          <w:highlight w:val="none"/>
          <w:shd w:val="clear" w:color="auto" w:fill="FFFFFF" w:themeFill="background1"/>
        </w:rPr>
        <w:t>6</w:t>
      </w:r>
      <w:r>
        <w:rPr>
          <w:color w:val="auto"/>
          <w:highlight w:val="none"/>
          <w:shd w:val="clear" w:color="auto" w:fill="FFFFFF" w:themeFill="background1"/>
        </w:rPr>
        <w:t xml:space="preserve"> 不可抗力：指发包人与</w:t>
      </w:r>
      <w:r>
        <w:rPr>
          <w:rFonts w:hint="eastAsia"/>
          <w:color w:val="auto"/>
          <w:highlight w:val="none"/>
          <w:shd w:val="clear" w:color="auto" w:fill="FFFFFF" w:themeFill="background1"/>
        </w:rPr>
        <w:t>承包人</w:t>
      </w:r>
      <w:r>
        <w:rPr>
          <w:color w:val="auto"/>
          <w:highlight w:val="none"/>
          <w:shd w:val="clear" w:color="auto" w:fill="FFFFFF" w:themeFill="background1"/>
        </w:rPr>
        <w:t>不能预见、或不能采取措施避免并不能克服的自然灾害或社会政治因素等。</w:t>
      </w:r>
      <w:bookmarkEnd w:id="173"/>
    </w:p>
    <w:p w14:paraId="3FED6D09">
      <w:pPr>
        <w:spacing w:line="460" w:lineRule="exact"/>
        <w:ind w:firstLine="420" w:firstLineChars="200"/>
        <w:rPr>
          <w:color w:val="auto"/>
          <w:highlight w:val="none"/>
          <w:shd w:val="clear" w:color="auto" w:fill="FFFFFF" w:themeFill="background1"/>
        </w:rPr>
      </w:pPr>
      <w:bookmarkStart w:id="174" w:name="_Toc335660862"/>
      <w:r>
        <w:rPr>
          <w:color w:val="auto"/>
          <w:highlight w:val="none"/>
          <w:shd w:val="clear" w:color="auto" w:fill="FFFFFF" w:themeFill="background1"/>
        </w:rPr>
        <w:t>1.1</w:t>
      </w:r>
      <w:r>
        <w:rPr>
          <w:rFonts w:hint="eastAsia"/>
          <w:color w:val="auto"/>
          <w:highlight w:val="none"/>
          <w:shd w:val="clear" w:color="auto" w:fill="FFFFFF" w:themeFill="background1"/>
        </w:rPr>
        <w:t>7</w:t>
      </w:r>
      <w:r>
        <w:rPr>
          <w:color w:val="auto"/>
          <w:highlight w:val="none"/>
          <w:shd w:val="clear" w:color="auto" w:fill="FFFFFF" w:themeFill="background1"/>
        </w:rPr>
        <w:t xml:space="preserve"> 天</w:t>
      </w:r>
      <w:r>
        <w:rPr>
          <w:rFonts w:hint="eastAsia"/>
          <w:color w:val="auto"/>
          <w:highlight w:val="none"/>
          <w:shd w:val="clear" w:color="auto" w:fill="FFFFFF" w:themeFill="background1"/>
        </w:rPr>
        <w:t>或日</w:t>
      </w:r>
      <w:r>
        <w:rPr>
          <w:color w:val="auto"/>
          <w:highlight w:val="none"/>
          <w:shd w:val="clear" w:color="auto" w:fill="FFFFFF" w:themeFill="background1"/>
        </w:rPr>
        <w:t>：除特别指明外，指日历天。</w:t>
      </w:r>
      <w:bookmarkEnd w:id="174"/>
    </w:p>
    <w:p w14:paraId="2F95FEFD">
      <w:pPr>
        <w:pStyle w:val="372"/>
        <w:spacing w:beforeLines="0" w:afterLines="0"/>
        <w:ind w:firstLine="562"/>
        <w:outlineLvl w:val="1"/>
        <w:rPr>
          <w:rFonts w:hAnsi="宋体"/>
          <w:b/>
          <w:color w:val="auto"/>
          <w:highlight w:val="none"/>
          <w:shd w:val="clear" w:color="auto" w:fill="FFFFFF" w:themeFill="background1"/>
        </w:rPr>
      </w:pPr>
      <w:bookmarkStart w:id="175" w:name="_Toc326241902"/>
      <w:bookmarkStart w:id="176" w:name="_Toc5738"/>
      <w:bookmarkStart w:id="177" w:name="_Toc89866134"/>
      <w:bookmarkStart w:id="178" w:name="_Toc446919469"/>
      <w:bookmarkStart w:id="179" w:name="_Toc335660863"/>
      <w:bookmarkStart w:id="180" w:name="_Toc3366"/>
      <w:bookmarkStart w:id="181" w:name="_Toc346269489"/>
      <w:bookmarkStart w:id="182" w:name="_Toc335721987"/>
      <w:bookmarkStart w:id="183" w:name="_Toc346269069"/>
      <w:bookmarkStart w:id="184" w:name="_Toc1568"/>
      <w:r>
        <w:rPr>
          <w:rFonts w:hAnsi="宋体"/>
          <w:b/>
          <w:color w:val="auto"/>
          <w:highlight w:val="none"/>
          <w:shd w:val="clear" w:color="auto" w:fill="FFFFFF" w:themeFill="background1"/>
        </w:rPr>
        <w:t>2. 发包人的责任</w:t>
      </w:r>
      <w:bookmarkEnd w:id="175"/>
      <w:r>
        <w:rPr>
          <w:rFonts w:hint="eastAsia" w:hAnsi="宋体"/>
          <w:b/>
          <w:color w:val="auto"/>
          <w:highlight w:val="none"/>
          <w:shd w:val="clear" w:color="auto" w:fill="FFFFFF" w:themeFill="background1"/>
        </w:rPr>
        <w:t>与义务</w:t>
      </w:r>
      <w:bookmarkEnd w:id="176"/>
      <w:bookmarkEnd w:id="177"/>
      <w:bookmarkEnd w:id="178"/>
      <w:bookmarkEnd w:id="179"/>
      <w:bookmarkEnd w:id="180"/>
      <w:bookmarkEnd w:id="181"/>
      <w:bookmarkEnd w:id="182"/>
      <w:bookmarkEnd w:id="183"/>
      <w:bookmarkEnd w:id="184"/>
    </w:p>
    <w:p w14:paraId="405E6EFB">
      <w:pPr>
        <w:spacing w:line="460" w:lineRule="exact"/>
        <w:ind w:firstLine="420" w:firstLineChars="200"/>
        <w:rPr>
          <w:color w:val="auto"/>
          <w:highlight w:val="none"/>
          <w:shd w:val="clear" w:color="auto" w:fill="FFFFFF" w:themeFill="background1"/>
        </w:rPr>
      </w:pPr>
      <w:bookmarkStart w:id="185" w:name="_Toc335660864"/>
      <w:r>
        <w:rPr>
          <w:color w:val="auto"/>
          <w:highlight w:val="none"/>
          <w:shd w:val="clear" w:color="auto" w:fill="FFFFFF" w:themeFill="background1"/>
        </w:rPr>
        <w:t>2.1 发包人应根据本项目的具体情况和技术要求，确定合理的</w:t>
      </w:r>
      <w:r>
        <w:rPr>
          <w:rFonts w:hint="eastAsia"/>
          <w:color w:val="auto"/>
          <w:highlight w:val="none"/>
          <w:shd w:val="clear" w:color="auto" w:fill="FFFFFF" w:themeFill="background1"/>
        </w:rPr>
        <w:t>勘察、 可研编制</w:t>
      </w:r>
      <w:r>
        <w:rPr>
          <w:color w:val="auto"/>
          <w:highlight w:val="none"/>
          <w:shd w:val="clear" w:color="auto" w:fill="FFFFFF" w:themeFill="background1"/>
        </w:rPr>
        <w:t>工作量及合理的</w:t>
      </w:r>
      <w:r>
        <w:rPr>
          <w:rFonts w:hint="eastAsia"/>
          <w:color w:val="auto"/>
          <w:highlight w:val="none"/>
          <w:shd w:val="clear" w:color="auto" w:fill="FFFFFF" w:themeFill="background1"/>
        </w:rPr>
        <w:t>工作服务</w:t>
      </w:r>
      <w:r>
        <w:rPr>
          <w:color w:val="auto"/>
          <w:highlight w:val="none"/>
          <w:shd w:val="clear" w:color="auto" w:fill="FFFFFF" w:themeFill="background1"/>
        </w:rPr>
        <w:t>周期，并按本合同有关规定及时支付</w:t>
      </w:r>
      <w:r>
        <w:rPr>
          <w:rFonts w:hint="eastAsia"/>
          <w:color w:val="auto"/>
          <w:highlight w:val="none"/>
          <w:shd w:val="clear" w:color="auto" w:fill="FFFFFF" w:themeFill="background1"/>
        </w:rPr>
        <w:t>合同价款</w:t>
      </w:r>
      <w:r>
        <w:rPr>
          <w:color w:val="auto"/>
          <w:highlight w:val="none"/>
          <w:shd w:val="clear" w:color="auto" w:fill="FFFFFF" w:themeFill="background1"/>
        </w:rPr>
        <w:t>。</w:t>
      </w:r>
      <w:bookmarkEnd w:id="185"/>
      <w:r>
        <w:rPr>
          <w:color w:val="auto"/>
          <w:highlight w:val="none"/>
          <w:shd w:val="clear" w:color="auto" w:fill="FFFFFF" w:themeFill="background1"/>
        </w:rPr>
        <w:t>发包人不应随意压缩合同规定的</w:t>
      </w:r>
      <w:r>
        <w:rPr>
          <w:rFonts w:hint="eastAsia"/>
          <w:color w:val="auto"/>
          <w:highlight w:val="none"/>
          <w:shd w:val="clear" w:color="auto" w:fill="FFFFFF" w:themeFill="background1"/>
        </w:rPr>
        <w:t>成果文件交付时间</w:t>
      </w:r>
      <w:r>
        <w:rPr>
          <w:color w:val="auto"/>
          <w:highlight w:val="none"/>
          <w:shd w:val="clear" w:color="auto" w:fill="FFFFFF" w:themeFill="background1"/>
        </w:rPr>
        <w:t>。</w:t>
      </w:r>
    </w:p>
    <w:p w14:paraId="744C0A9A">
      <w:pPr>
        <w:spacing w:line="460" w:lineRule="exact"/>
        <w:ind w:firstLine="420" w:firstLineChars="200"/>
        <w:rPr>
          <w:color w:val="auto"/>
          <w:highlight w:val="none"/>
          <w:shd w:val="clear" w:color="auto" w:fill="FFFFFF" w:themeFill="background1"/>
        </w:rPr>
      </w:pPr>
      <w:bookmarkStart w:id="186" w:name="_Toc335660865"/>
      <w:r>
        <w:rPr>
          <w:rFonts w:hint="eastAsia"/>
          <w:color w:val="auto"/>
          <w:highlight w:val="none"/>
          <w:shd w:val="clear" w:color="auto" w:fill="FFFFFF" w:themeFill="background1"/>
        </w:rPr>
        <w:t>2.2 法律规定和（或）合同约定由发包人负责办理的工程建设项目必须履行的各类审批、核准或备案手续，发包人应当按时办理，承包人应给予必要的协助。</w:t>
      </w:r>
    </w:p>
    <w:p w14:paraId="123C32EB">
      <w:pPr>
        <w:spacing w:line="460" w:lineRule="exact"/>
        <w:ind w:firstLine="420" w:firstLineChars="200"/>
        <w:rPr>
          <w:color w:val="auto"/>
          <w:highlight w:val="none"/>
          <w:shd w:val="clear" w:color="auto" w:fill="FFFFFF" w:themeFill="background1"/>
        </w:rPr>
      </w:pPr>
      <w:r>
        <w:rPr>
          <w:rFonts w:hint="eastAsia"/>
          <w:color w:val="auto"/>
          <w:highlight w:val="none"/>
          <w:shd w:val="clear" w:color="auto" w:fill="FFFFFF" w:themeFill="background1"/>
        </w:rPr>
        <w:t>2.3 法律规定和（或）合同约定由承包人负责办理的勘察所需的证件和批件，发包人应给予必要的协助。</w:t>
      </w:r>
    </w:p>
    <w:bookmarkEnd w:id="186"/>
    <w:p w14:paraId="02DD3353">
      <w:pPr>
        <w:spacing w:line="460" w:lineRule="exact"/>
        <w:ind w:firstLine="420" w:firstLineChars="200"/>
        <w:rPr>
          <w:color w:val="auto"/>
          <w:highlight w:val="none"/>
          <w:shd w:val="clear" w:color="auto" w:fill="FFFFFF" w:themeFill="background1"/>
        </w:rPr>
      </w:pPr>
      <w:bookmarkStart w:id="187" w:name="_Toc335660867"/>
      <w:r>
        <w:rPr>
          <w:color w:val="auto"/>
          <w:highlight w:val="none"/>
          <w:shd w:val="clear" w:color="auto" w:fill="FFFFFF" w:themeFill="background1"/>
        </w:rPr>
        <w:t>2.4 发包人负责组织专家或委托</w:t>
      </w:r>
      <w:r>
        <w:rPr>
          <w:rFonts w:hint="eastAsia"/>
          <w:color w:val="auto"/>
          <w:highlight w:val="none"/>
          <w:shd w:val="clear" w:color="auto" w:fill="FFFFFF" w:themeFill="background1"/>
        </w:rPr>
        <w:t>咨询单位</w:t>
      </w:r>
      <w:r>
        <w:rPr>
          <w:color w:val="auto"/>
          <w:highlight w:val="none"/>
          <w:shd w:val="clear" w:color="auto" w:fill="FFFFFF" w:themeFill="background1"/>
        </w:rPr>
        <w:t>对勘察成果、</w:t>
      </w:r>
      <w:r>
        <w:rPr>
          <w:rFonts w:hint="eastAsia"/>
          <w:color w:val="auto"/>
          <w:highlight w:val="none"/>
          <w:shd w:val="clear" w:color="auto" w:fill="FFFFFF" w:themeFill="background1"/>
        </w:rPr>
        <w:t>可研编制成果</w:t>
      </w:r>
      <w:r>
        <w:rPr>
          <w:color w:val="auto"/>
          <w:highlight w:val="none"/>
          <w:shd w:val="clear" w:color="auto" w:fill="FFFFFF" w:themeFill="background1"/>
        </w:rPr>
        <w:t>文件和为了满足勘察、</w:t>
      </w:r>
      <w:r>
        <w:rPr>
          <w:rFonts w:hint="eastAsia"/>
          <w:color w:val="auto"/>
          <w:highlight w:val="none"/>
          <w:shd w:val="clear" w:color="auto" w:fill="FFFFFF" w:themeFill="background1"/>
        </w:rPr>
        <w:t>可研编制</w:t>
      </w:r>
      <w:r>
        <w:rPr>
          <w:color w:val="auto"/>
          <w:highlight w:val="none"/>
          <w:shd w:val="clear" w:color="auto" w:fill="FFFFFF" w:themeFill="background1"/>
        </w:rPr>
        <w:t>需要而进行的各种研究试验成果进行审查，并负责</w:t>
      </w:r>
      <w:r>
        <w:rPr>
          <w:rFonts w:hint="eastAsia"/>
          <w:color w:val="auto"/>
          <w:highlight w:val="none"/>
          <w:shd w:val="clear" w:color="auto" w:fill="FFFFFF" w:themeFill="background1"/>
        </w:rPr>
        <w:t>成果</w:t>
      </w:r>
      <w:r>
        <w:rPr>
          <w:color w:val="auto"/>
          <w:highlight w:val="none"/>
          <w:shd w:val="clear" w:color="auto" w:fill="FFFFFF" w:themeFill="background1"/>
        </w:rPr>
        <w:t>文件的报审工作。</w:t>
      </w:r>
      <w:bookmarkEnd w:id="187"/>
    </w:p>
    <w:p w14:paraId="1D9F1FE0">
      <w:pPr>
        <w:spacing w:line="460" w:lineRule="exact"/>
        <w:ind w:firstLine="420" w:firstLineChars="200"/>
        <w:rPr>
          <w:color w:val="auto"/>
          <w:highlight w:val="none"/>
          <w:shd w:val="clear" w:color="auto" w:fill="FFFFFF" w:themeFill="background1"/>
        </w:rPr>
      </w:pPr>
      <w:bookmarkStart w:id="188" w:name="_Toc335660868"/>
      <w:r>
        <w:rPr>
          <w:color w:val="auto"/>
          <w:highlight w:val="none"/>
          <w:shd w:val="clear" w:color="auto" w:fill="FFFFFF" w:themeFill="background1"/>
        </w:rPr>
        <w:t>2.5 除合同另有规定外，发包人应保护承包人的投标函、</w:t>
      </w:r>
      <w:r>
        <w:rPr>
          <w:rFonts w:hint="eastAsia"/>
          <w:color w:val="auto"/>
          <w:highlight w:val="none"/>
          <w:shd w:val="clear" w:color="auto" w:fill="FFFFFF" w:themeFill="background1"/>
        </w:rPr>
        <w:t>可研编制</w:t>
      </w:r>
      <w:r>
        <w:rPr>
          <w:color w:val="auto"/>
          <w:highlight w:val="none"/>
          <w:shd w:val="clear" w:color="auto" w:fill="FFFFFF" w:themeFill="background1"/>
        </w:rPr>
        <w:t>方案、计算软件和专利技术。未经承包人同意，发包人对承包人交付的</w:t>
      </w:r>
      <w:r>
        <w:rPr>
          <w:rFonts w:hint="eastAsia"/>
          <w:color w:val="auto"/>
          <w:highlight w:val="none"/>
          <w:shd w:val="clear" w:color="auto" w:fill="FFFFFF" w:themeFill="background1"/>
        </w:rPr>
        <w:t>勘察、 可研编制</w:t>
      </w:r>
      <w:r>
        <w:rPr>
          <w:color w:val="auto"/>
          <w:highlight w:val="none"/>
          <w:shd w:val="clear" w:color="auto" w:fill="FFFFFF" w:themeFill="background1"/>
        </w:rPr>
        <w:t>资料及文件不得擅自修改、复制或向第三人转让或用于本合同以外的项目。</w:t>
      </w:r>
      <w:bookmarkEnd w:id="188"/>
    </w:p>
    <w:p w14:paraId="65C9B5E3">
      <w:pPr>
        <w:spacing w:line="460" w:lineRule="exact"/>
        <w:ind w:firstLine="420" w:firstLineChars="200"/>
        <w:rPr>
          <w:color w:val="auto"/>
          <w:highlight w:val="none"/>
          <w:shd w:val="clear" w:color="auto" w:fill="FFFFFF" w:themeFill="background1"/>
        </w:rPr>
      </w:pPr>
      <w:bookmarkStart w:id="189" w:name="_Toc335660869"/>
      <w:r>
        <w:rPr>
          <w:color w:val="auto"/>
          <w:highlight w:val="none"/>
          <w:shd w:val="clear" w:color="auto" w:fill="FFFFFF" w:themeFill="background1"/>
        </w:rPr>
        <w:t>2.6 发包人不应对承包人提出不符合国家有关法律、法规和工程建设强制性标准的</w:t>
      </w:r>
      <w:r>
        <w:rPr>
          <w:rFonts w:hint="eastAsia"/>
          <w:color w:val="auto"/>
          <w:highlight w:val="none"/>
          <w:shd w:val="clear" w:color="auto" w:fill="FFFFFF" w:themeFill="background1"/>
        </w:rPr>
        <w:t>有关</w:t>
      </w:r>
      <w:r>
        <w:rPr>
          <w:color w:val="auto"/>
          <w:highlight w:val="none"/>
          <w:shd w:val="clear" w:color="auto" w:fill="FFFFFF" w:themeFill="background1"/>
        </w:rPr>
        <w:t>要求。</w:t>
      </w:r>
    </w:p>
    <w:bookmarkEnd w:id="189"/>
    <w:p w14:paraId="31F5A25A">
      <w:pPr>
        <w:spacing w:line="460" w:lineRule="exact"/>
        <w:ind w:firstLine="420" w:firstLineChars="200"/>
        <w:rPr>
          <w:color w:val="auto"/>
          <w:highlight w:val="none"/>
          <w:shd w:val="clear" w:color="auto" w:fill="FFFFFF" w:themeFill="background1"/>
        </w:rPr>
      </w:pPr>
      <w:bookmarkStart w:id="190" w:name="_Toc335660870"/>
      <w:r>
        <w:rPr>
          <w:color w:val="auto"/>
          <w:highlight w:val="none"/>
          <w:shd w:val="clear" w:color="auto" w:fill="FFFFFF" w:themeFill="background1"/>
        </w:rPr>
        <w:t>2.7 由于发包人原因造成本项目出现重大变更导致承包人返工时，发包人应按有关合同条款调整合同价格。</w:t>
      </w:r>
      <w:bookmarkEnd w:id="190"/>
    </w:p>
    <w:p w14:paraId="41EC72AD">
      <w:pPr>
        <w:spacing w:line="460" w:lineRule="exact"/>
        <w:ind w:firstLine="420" w:firstLineChars="200"/>
        <w:rPr>
          <w:color w:val="auto"/>
          <w:highlight w:val="none"/>
          <w:shd w:val="clear" w:color="auto" w:fill="FFFFFF" w:themeFill="background1"/>
        </w:rPr>
      </w:pPr>
      <w:bookmarkStart w:id="191" w:name="_Toc335660871"/>
      <w:r>
        <w:rPr>
          <w:color w:val="auto"/>
          <w:highlight w:val="none"/>
          <w:shd w:val="clear" w:color="auto" w:fill="FFFFFF" w:themeFill="background1"/>
        </w:rPr>
        <w:t>2.8 发包人应履行专用合同条款约定的其他责任</w:t>
      </w:r>
      <w:bookmarkEnd w:id="191"/>
      <w:r>
        <w:rPr>
          <w:rFonts w:hint="eastAsia"/>
          <w:color w:val="auto"/>
          <w:highlight w:val="none"/>
          <w:shd w:val="clear" w:color="auto" w:fill="FFFFFF" w:themeFill="background1"/>
        </w:rPr>
        <w:t>。</w:t>
      </w:r>
    </w:p>
    <w:p w14:paraId="6213CDF2">
      <w:pPr>
        <w:rPr>
          <w:rFonts w:hAnsi="宋体"/>
          <w:b/>
          <w:color w:val="auto"/>
          <w:highlight w:val="none"/>
          <w:shd w:val="clear" w:color="auto" w:fill="FFFFFF" w:themeFill="background1"/>
        </w:rPr>
      </w:pPr>
      <w:bookmarkStart w:id="192" w:name="_Toc326241903"/>
      <w:bookmarkStart w:id="193" w:name="_Toc31736"/>
      <w:bookmarkStart w:id="194" w:name="_Toc335721988"/>
      <w:bookmarkStart w:id="195" w:name="_Toc9258"/>
      <w:bookmarkStart w:id="196" w:name="_Toc446919470"/>
      <w:bookmarkStart w:id="197" w:name="_Toc346269070"/>
      <w:bookmarkStart w:id="198" w:name="_Toc335660872"/>
      <w:bookmarkStart w:id="199" w:name="_Toc89866135"/>
      <w:bookmarkStart w:id="200" w:name="_Toc4518"/>
      <w:bookmarkStart w:id="201" w:name="_Toc346269490"/>
      <w:r>
        <w:rPr>
          <w:rFonts w:hAnsi="宋体"/>
          <w:b/>
          <w:color w:val="auto"/>
          <w:highlight w:val="none"/>
          <w:shd w:val="clear" w:color="auto" w:fill="FFFFFF" w:themeFill="background1"/>
        </w:rPr>
        <w:br w:type="page"/>
      </w:r>
    </w:p>
    <w:p w14:paraId="16570DBE">
      <w:pPr>
        <w:pStyle w:val="372"/>
        <w:spacing w:beforeLines="0" w:afterLines="0"/>
        <w:ind w:firstLine="562"/>
        <w:outlineLvl w:val="1"/>
        <w:rPr>
          <w:rFonts w:hAnsi="宋体"/>
          <w:b/>
          <w:color w:val="auto"/>
          <w:highlight w:val="none"/>
          <w:shd w:val="clear" w:color="auto" w:fill="FFFFFF" w:themeFill="background1"/>
        </w:rPr>
      </w:pPr>
      <w:r>
        <w:rPr>
          <w:rFonts w:hAnsi="宋体"/>
          <w:b/>
          <w:color w:val="auto"/>
          <w:highlight w:val="none"/>
          <w:shd w:val="clear" w:color="auto" w:fill="FFFFFF" w:themeFill="background1"/>
        </w:rPr>
        <w:t xml:space="preserve">3. </w:t>
      </w:r>
      <w:r>
        <w:rPr>
          <w:rFonts w:hint="eastAsia" w:hAnsi="宋体"/>
          <w:b/>
          <w:color w:val="auto"/>
          <w:highlight w:val="none"/>
          <w:shd w:val="clear" w:color="auto" w:fill="FFFFFF" w:themeFill="background1"/>
        </w:rPr>
        <w:t>承包人</w:t>
      </w:r>
      <w:r>
        <w:rPr>
          <w:rFonts w:hAnsi="宋体"/>
          <w:b/>
          <w:color w:val="auto"/>
          <w:highlight w:val="none"/>
          <w:shd w:val="clear" w:color="auto" w:fill="FFFFFF" w:themeFill="background1"/>
        </w:rPr>
        <w:t>的责任</w:t>
      </w:r>
      <w:bookmarkEnd w:id="192"/>
      <w:r>
        <w:rPr>
          <w:rFonts w:hint="eastAsia" w:hAnsi="宋体"/>
          <w:b/>
          <w:color w:val="auto"/>
          <w:highlight w:val="none"/>
          <w:shd w:val="clear" w:color="auto" w:fill="FFFFFF" w:themeFill="background1"/>
        </w:rPr>
        <w:t>与义务</w:t>
      </w:r>
      <w:bookmarkEnd w:id="193"/>
      <w:bookmarkEnd w:id="194"/>
      <w:bookmarkEnd w:id="195"/>
      <w:bookmarkEnd w:id="196"/>
      <w:bookmarkEnd w:id="197"/>
      <w:bookmarkEnd w:id="198"/>
      <w:bookmarkEnd w:id="199"/>
      <w:bookmarkEnd w:id="200"/>
      <w:bookmarkEnd w:id="201"/>
    </w:p>
    <w:p w14:paraId="34305207">
      <w:pPr>
        <w:spacing w:line="360" w:lineRule="auto"/>
        <w:ind w:firstLine="420" w:firstLineChars="200"/>
        <w:jc w:val="left"/>
        <w:rPr>
          <w:rFonts w:ascii="宋体" w:hAnsi="宋体" w:cs="宋体"/>
          <w:color w:val="auto"/>
          <w:szCs w:val="21"/>
          <w:highlight w:val="none"/>
          <w:shd w:val="clear" w:color="auto" w:fill="FFFFFF" w:themeFill="background1"/>
        </w:rPr>
      </w:pPr>
      <w:bookmarkStart w:id="202" w:name="_Toc335660873"/>
      <w:r>
        <w:rPr>
          <w:rFonts w:hint="eastAsia" w:ascii="宋体" w:hAnsi="宋体" w:cs="宋体"/>
          <w:color w:val="auto"/>
          <w:szCs w:val="21"/>
          <w:highlight w:val="none"/>
          <w:shd w:val="clear" w:color="auto" w:fill="FFFFFF" w:themeFill="background1"/>
        </w:rPr>
        <w:t>3.1 承包人的一般义务</w:t>
      </w:r>
    </w:p>
    <w:p w14:paraId="4249CEE3">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3.1.1 承包人在履行合同过程中应遵守法律，并保证发包人免于承担因承包人违反法律而引起的任何责任。</w:t>
      </w:r>
    </w:p>
    <w:p w14:paraId="59571126">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3.1.2 承包人应按有关法律规定纳税，应缴纳的税金（含增值税）包括在合同价格之中。</w:t>
      </w:r>
    </w:p>
    <w:p w14:paraId="6128053D">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3.1.3 承包人应按合同约定以及发包人要求，根据本项目的具体情况，按国家和交通运输部相关标准的有关要求，完成合同约定的全部工作，并对工作中的任何缺陷进行整改、完善和修补，使其满足合同约定的目的。承包人应按合同约定提供勘察文件、可行性研究（含各专题）文件及相关服务等。</w:t>
      </w:r>
    </w:p>
    <w:p w14:paraId="2FD9EA40">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3.1.4 承包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14:paraId="3CF1349C">
      <w:pPr>
        <w:tabs>
          <w:tab w:val="left" w:pos="7560"/>
        </w:tabs>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3.1.5 承包人在进行合同约定的各项工作时，不得侵害发包人与他人使用公用道路、水源、市政管网等公共设施的权利，避免对邻近的公共设施产生干扰，保证勘探场地的周边设施、建构筑物、地下管线、架空线和其他物体的安全运行。承包人占用或使用他人的施工场地，影响他人作业或生活的，应承担相应责任。</w:t>
      </w:r>
    </w:p>
    <w:p w14:paraId="62B610AD">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3.2 承包人应做好可行性研究（含专题）和勘察设计的质量管理工作，建立健全可行性研究（含专题）和勘察设计质量保证体系，加强可行性研究（含专题）和勘察设计全过程的质量控制，建立完整的可行性研究（含专题）编制、复核、审核、会签和批准制度，明确各阶段的责任人，并对本项目的可行性研究（含专题）和勘察质量负责。</w:t>
      </w:r>
    </w:p>
    <w:p w14:paraId="58A9C649">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3.3 承包人在进行可行性研究（含专题）和勘察时，应采取相应的安全、保卫和环境保护措施，因承包人未能采取有效措施而发生的与可行性研究（含专题）和勘察活动有关的人身伤亡、罚款、索赔、损失赔偿、诉讼费用及其他一切责任应由承包人负责。</w:t>
      </w:r>
    </w:p>
    <w:p w14:paraId="20580C68">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3.4 承包人在可行性研究（含专题）和勘察过程中，提供的成果文件不应侵犯任何第三方的专利权、版权、及其他知识产权，否则由此而引起索赔或诉讼，承包人应承担全部责任，并保障发包人免于承担由此造成的一切损害和损失。</w:t>
      </w:r>
    </w:p>
    <w:p w14:paraId="20C18C6F">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3.5 承包人提交的成果文件必须接受发包人委托的咨询审查单位及发包人上级主管部门的审查，并按照审查意见修改完善。</w:t>
      </w:r>
    </w:p>
    <w:p w14:paraId="74CC7E69">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 人员管理</w:t>
      </w:r>
    </w:p>
    <w:p w14:paraId="58B6F41D">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承包人应对其项目负责人和其他人员进行有效管理。发包人要求撤换不能胜任本职工作、行为不端或玩忽职守的项目负责人和其他人员的，承包人应予以撤换。</w:t>
      </w:r>
    </w:p>
    <w:p w14:paraId="061B3C8E">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3.6.1 项目负责人</w:t>
      </w:r>
    </w:p>
    <w:p w14:paraId="238E5C5C">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3.6.1.1 承包人应按合同协议书的约定指派项目负责人，并在约定的期限内到职。承包人更换项目负责人应事先征得发包人同意，并应在更换14天前将拟更换的项目负责人的姓名和详细资料提交发包人。项目负责人2天内不能履行职责的，应事先征得发包人同意，并委派代表代行其职责。</w:t>
      </w:r>
    </w:p>
    <w:p w14:paraId="37D5652E">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3.6.1.2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27CB18E1">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3.6.1.3 承包人为履行合同发出的一切函件均应盖有承包人单位章，并由承包人的项目负责人签字确认。</w:t>
      </w:r>
    </w:p>
    <w:p w14:paraId="2C4A7DB8">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3.6.1.4 按照专用合同条款约定，项目负责人可以授权其下属人员履行其某项职责，但事先应将这些人员的姓名和授权范围书面通知发包人。</w:t>
      </w:r>
    </w:p>
    <w:p w14:paraId="579B057F">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3.6.2 其他人员</w:t>
      </w:r>
    </w:p>
    <w:p w14:paraId="45105FCE">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3.6.2.1 承包人应在合同签订之日起7天内，向发包人提交项目机构以及人员安排的报告，其内容应包括项目机构设置、主要勘察、研究、承包人员和作业人员的名单及资格条件。主要人员应相对稳定，更换主要人员的，应取得发包人的同意,并向发包人提交继任人员的资格、管理经验等资料。项目负责人的更换，应按照本章第3.6.1项规定执行。</w:t>
      </w:r>
    </w:p>
    <w:p w14:paraId="15FFD869">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3.6.2.2 除专用合同条款另有约定外，主要人员包括项目负责人、专业负责人、审核人、审定人等；其他人员包括各专业的承包人员、管理人员等。</w:t>
      </w:r>
    </w:p>
    <w:p w14:paraId="6D254BE7">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3.6.2.3 承包人应保证其主要人员（含分包人）在合同期限内的任何时候，都能按时参加发包人组织的工作会议。</w:t>
      </w:r>
    </w:p>
    <w:p w14:paraId="47F3D49F">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3.6.2.4 国家规定应当持证上岗的工作人员均应持有相应的资格证明，发包人有权随时检查。发包人认为有必要时，可以进行现场考核</w:t>
      </w:r>
    </w:p>
    <w:p w14:paraId="659EFB36">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3.6.3 承包人应派驻经验丰富的设计代表做好施工现场服务，并负责解决施工过程中出现的设计问题。</w:t>
      </w:r>
    </w:p>
    <w:p w14:paraId="78972BE1">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3.7 承包人不得将本合同规定的可行性研究（含专题）和勘察任务转包，不得将工程主体、关键性工作分包给第三方，如有分包计划，须经发包人批准。</w:t>
      </w:r>
    </w:p>
    <w:p w14:paraId="132EAADD">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3.8 合同价款应专款专用。发包人按合同约定支付给承包人的各项价款，应专用于合同研究、勘察和设计工作。</w:t>
      </w:r>
    </w:p>
    <w:p w14:paraId="53169109">
      <w:pPr>
        <w:spacing w:line="3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3.9 承包人应履行专用合同条款约定的其他责任。</w:t>
      </w:r>
    </w:p>
    <w:bookmarkEnd w:id="202"/>
    <w:p w14:paraId="12A82A39">
      <w:pPr>
        <w:pStyle w:val="372"/>
        <w:spacing w:beforeLines="0" w:afterLines="0" w:line="360" w:lineRule="auto"/>
        <w:ind w:firstLine="562"/>
        <w:outlineLvl w:val="1"/>
        <w:rPr>
          <w:rFonts w:hAnsi="宋体"/>
          <w:b/>
          <w:color w:val="auto"/>
          <w:highlight w:val="none"/>
          <w:shd w:val="clear" w:color="auto" w:fill="FFFFFF" w:themeFill="background1"/>
        </w:rPr>
      </w:pPr>
      <w:bookmarkStart w:id="203" w:name="_Toc335721989"/>
      <w:bookmarkStart w:id="204" w:name="_Toc446919471"/>
      <w:bookmarkStart w:id="205" w:name="_Toc89866136"/>
      <w:bookmarkStart w:id="206" w:name="_Toc335660882"/>
      <w:bookmarkStart w:id="207" w:name="_Toc18500"/>
      <w:bookmarkStart w:id="208" w:name="_Toc32533"/>
      <w:bookmarkStart w:id="209" w:name="_Toc346269491"/>
      <w:bookmarkStart w:id="210" w:name="_Toc346269071"/>
      <w:bookmarkStart w:id="211" w:name="_Toc19808"/>
      <w:bookmarkStart w:id="212" w:name="_Toc326241904"/>
      <w:r>
        <w:rPr>
          <w:rFonts w:hAnsi="宋体"/>
          <w:b/>
          <w:color w:val="auto"/>
          <w:highlight w:val="none"/>
          <w:shd w:val="clear" w:color="auto" w:fill="FFFFFF" w:themeFill="background1"/>
        </w:rPr>
        <w:t xml:space="preserve">4. </w:t>
      </w:r>
      <w:bookmarkEnd w:id="203"/>
      <w:bookmarkEnd w:id="204"/>
      <w:bookmarkEnd w:id="205"/>
      <w:bookmarkEnd w:id="206"/>
      <w:bookmarkEnd w:id="207"/>
      <w:bookmarkEnd w:id="208"/>
      <w:bookmarkEnd w:id="209"/>
      <w:bookmarkEnd w:id="210"/>
      <w:bookmarkEnd w:id="211"/>
      <w:bookmarkEnd w:id="212"/>
      <w:r>
        <w:rPr>
          <w:rFonts w:hint="eastAsia" w:hAnsi="宋体"/>
          <w:b/>
          <w:color w:val="auto"/>
          <w:highlight w:val="none"/>
          <w:shd w:val="clear" w:color="auto" w:fill="FFFFFF" w:themeFill="background1"/>
        </w:rPr>
        <w:t>工作周期及提交成果</w:t>
      </w:r>
    </w:p>
    <w:p w14:paraId="375D1C6E">
      <w:pPr>
        <w:spacing w:line="360" w:lineRule="auto"/>
        <w:ind w:firstLine="420" w:firstLineChars="200"/>
        <w:rPr>
          <w:color w:val="auto"/>
          <w:highlight w:val="none"/>
          <w:shd w:val="clear" w:color="auto" w:fill="FFFFFF" w:themeFill="background1"/>
        </w:rPr>
      </w:pPr>
      <w:bookmarkStart w:id="213" w:name="_Toc335660883"/>
      <w:r>
        <w:rPr>
          <w:color w:val="auto"/>
          <w:highlight w:val="none"/>
          <w:shd w:val="clear" w:color="auto" w:fill="FFFFFF" w:themeFill="background1"/>
        </w:rPr>
        <w:t xml:space="preserve">4.1 </w:t>
      </w:r>
      <w:bookmarkEnd w:id="213"/>
      <w:r>
        <w:rPr>
          <w:rFonts w:hint="eastAsia"/>
          <w:color w:val="auto"/>
          <w:highlight w:val="none"/>
          <w:shd w:val="clear" w:color="auto" w:fill="FFFFFF" w:themeFill="background1"/>
        </w:rPr>
        <w:t>承包人应根据合同约定提供所需成果文件。本项目服务范围、内容与要求、主要技术标准、工作周期及需提交的工作成果在专用合同条款中约定。</w:t>
      </w:r>
    </w:p>
    <w:p w14:paraId="79928A8D">
      <w:pPr>
        <w:pStyle w:val="372"/>
        <w:spacing w:beforeLines="0" w:afterLines="0" w:line="360" w:lineRule="auto"/>
        <w:ind w:firstLine="562"/>
        <w:outlineLvl w:val="1"/>
        <w:rPr>
          <w:rFonts w:hAnsi="宋体"/>
          <w:b/>
          <w:color w:val="auto"/>
          <w:highlight w:val="none"/>
          <w:shd w:val="clear" w:color="auto" w:fill="FFFFFF" w:themeFill="background1"/>
        </w:rPr>
      </w:pPr>
      <w:bookmarkStart w:id="214" w:name="_Toc89866137"/>
      <w:bookmarkStart w:id="215" w:name="_Toc346269492"/>
      <w:bookmarkStart w:id="216" w:name="_Toc335660884"/>
      <w:bookmarkStart w:id="217" w:name="_Toc326241905"/>
      <w:bookmarkStart w:id="218" w:name="_Toc346269072"/>
      <w:bookmarkStart w:id="219" w:name="_Toc28242"/>
      <w:bookmarkStart w:id="220" w:name="_Toc13822"/>
      <w:bookmarkStart w:id="221" w:name="_Toc446919472"/>
      <w:bookmarkStart w:id="222" w:name="_Toc11887"/>
      <w:bookmarkStart w:id="223" w:name="_Toc335721990"/>
      <w:r>
        <w:rPr>
          <w:rFonts w:hAnsi="宋体"/>
          <w:b/>
          <w:color w:val="auto"/>
          <w:highlight w:val="none"/>
          <w:shd w:val="clear" w:color="auto" w:fill="FFFFFF" w:themeFill="background1"/>
        </w:rPr>
        <w:t>5. 违约与赔偿</w:t>
      </w:r>
      <w:bookmarkEnd w:id="214"/>
      <w:bookmarkEnd w:id="215"/>
      <w:bookmarkEnd w:id="216"/>
      <w:bookmarkEnd w:id="217"/>
      <w:bookmarkEnd w:id="218"/>
      <w:bookmarkEnd w:id="219"/>
      <w:bookmarkEnd w:id="220"/>
      <w:bookmarkEnd w:id="221"/>
      <w:bookmarkEnd w:id="222"/>
      <w:bookmarkEnd w:id="223"/>
    </w:p>
    <w:p w14:paraId="2C688CF7">
      <w:pPr>
        <w:spacing w:line="360" w:lineRule="auto"/>
        <w:ind w:firstLine="420" w:firstLineChars="200"/>
        <w:rPr>
          <w:color w:val="auto"/>
          <w:highlight w:val="none"/>
          <w:shd w:val="clear" w:color="auto" w:fill="FFFFFF" w:themeFill="background1"/>
        </w:rPr>
      </w:pPr>
      <w:bookmarkStart w:id="224" w:name="_Toc330218117"/>
      <w:bookmarkStart w:id="225" w:name="_Toc335660029"/>
      <w:bookmarkStart w:id="226" w:name="_Toc335721539"/>
      <w:bookmarkStart w:id="227" w:name="_Toc330218682"/>
      <w:bookmarkStart w:id="228" w:name="_Toc335721991"/>
      <w:bookmarkStart w:id="229" w:name="_Toc335660442"/>
      <w:bookmarkStart w:id="230" w:name="_Toc335660885"/>
      <w:bookmarkStart w:id="231" w:name="_Toc357066655"/>
      <w:bookmarkStart w:id="232" w:name="_Toc446919473"/>
      <w:r>
        <w:rPr>
          <w:color w:val="auto"/>
          <w:highlight w:val="none"/>
          <w:shd w:val="clear" w:color="auto" w:fill="FFFFFF" w:themeFill="background1"/>
        </w:rPr>
        <w:t>5.1 发包人的违约</w:t>
      </w:r>
      <w:bookmarkEnd w:id="224"/>
      <w:bookmarkEnd w:id="225"/>
      <w:bookmarkEnd w:id="226"/>
      <w:bookmarkEnd w:id="227"/>
      <w:bookmarkEnd w:id="228"/>
      <w:bookmarkEnd w:id="229"/>
      <w:bookmarkEnd w:id="230"/>
      <w:r>
        <w:rPr>
          <w:color w:val="auto"/>
          <w:highlight w:val="none"/>
          <w:shd w:val="clear" w:color="auto" w:fill="FFFFFF" w:themeFill="background1"/>
        </w:rPr>
        <w:t>与赔偿</w:t>
      </w:r>
      <w:bookmarkEnd w:id="231"/>
      <w:bookmarkEnd w:id="232"/>
    </w:p>
    <w:p w14:paraId="2D7EFC34">
      <w:pPr>
        <w:spacing w:line="360" w:lineRule="auto"/>
        <w:ind w:firstLine="420" w:firstLineChars="200"/>
        <w:rPr>
          <w:color w:val="auto"/>
          <w:highlight w:val="none"/>
          <w:shd w:val="clear" w:color="auto" w:fill="FFFFFF" w:themeFill="background1"/>
        </w:rPr>
      </w:pPr>
      <w:bookmarkStart w:id="233" w:name="_Toc335660886"/>
      <w:r>
        <w:rPr>
          <w:color w:val="auto"/>
          <w:highlight w:val="none"/>
          <w:shd w:val="clear" w:color="auto" w:fill="FFFFFF" w:themeFill="background1"/>
        </w:rPr>
        <w:t>5.1.1 由于发包人变更</w:t>
      </w:r>
      <w:r>
        <w:rPr>
          <w:rFonts w:hint="eastAsia"/>
          <w:color w:val="auto"/>
          <w:highlight w:val="none"/>
          <w:shd w:val="clear" w:color="auto" w:fill="FFFFFF" w:themeFill="background1"/>
        </w:rPr>
        <w:t>勘察、 可研编制</w:t>
      </w:r>
      <w:r>
        <w:rPr>
          <w:color w:val="auto"/>
          <w:highlight w:val="none"/>
          <w:shd w:val="clear" w:color="auto" w:fill="FFFFFF" w:themeFill="background1"/>
        </w:rPr>
        <w:t>项目、规模、条件、工期</w:t>
      </w:r>
      <w:r>
        <w:rPr>
          <w:rFonts w:hint="eastAsia"/>
          <w:color w:val="auto"/>
          <w:highlight w:val="none"/>
          <w:shd w:val="clear" w:color="auto" w:fill="FFFFFF" w:themeFill="background1"/>
        </w:rPr>
        <w:t>等</w:t>
      </w:r>
      <w:r>
        <w:rPr>
          <w:color w:val="auto"/>
          <w:highlight w:val="none"/>
          <w:shd w:val="clear" w:color="auto" w:fill="FFFFFF" w:themeFill="background1"/>
        </w:rPr>
        <w:t>，或未按合同规定提供</w:t>
      </w:r>
      <w:r>
        <w:rPr>
          <w:rFonts w:hint="eastAsia"/>
          <w:color w:val="auto"/>
          <w:highlight w:val="none"/>
          <w:shd w:val="clear" w:color="auto" w:fill="FFFFFF" w:themeFill="background1"/>
        </w:rPr>
        <w:t>勘察、 可研编制</w:t>
      </w:r>
      <w:r>
        <w:rPr>
          <w:color w:val="auto"/>
          <w:highlight w:val="none"/>
          <w:shd w:val="clear" w:color="auto" w:fill="FFFFFF" w:themeFill="background1"/>
        </w:rPr>
        <w:t>必需的资料，而造成</w:t>
      </w:r>
      <w:r>
        <w:rPr>
          <w:rFonts w:hint="eastAsia"/>
          <w:color w:val="auto"/>
          <w:highlight w:val="none"/>
          <w:shd w:val="clear" w:color="auto" w:fill="FFFFFF" w:themeFill="background1"/>
        </w:rPr>
        <w:t>勘察、 可研编制</w:t>
      </w:r>
      <w:r>
        <w:rPr>
          <w:color w:val="auto"/>
          <w:highlight w:val="none"/>
          <w:shd w:val="clear" w:color="auto" w:fill="FFFFFF" w:themeFill="background1"/>
        </w:rPr>
        <w:t>的返工、停工、窝工或修改设计，发包人应按承包人实际消耗的工作量增付费用；由于发包人要求提前完成</w:t>
      </w:r>
      <w:r>
        <w:rPr>
          <w:rFonts w:hint="eastAsia"/>
          <w:color w:val="auto"/>
          <w:highlight w:val="none"/>
          <w:shd w:val="clear" w:color="auto" w:fill="FFFFFF" w:themeFill="background1"/>
        </w:rPr>
        <w:t>勘察、 可研编制</w:t>
      </w:r>
      <w:r>
        <w:rPr>
          <w:color w:val="auto"/>
          <w:highlight w:val="none"/>
          <w:shd w:val="clear" w:color="auto" w:fill="FFFFFF" w:themeFill="background1"/>
        </w:rPr>
        <w:t>工作而导致增加的人员和费用，应另行计列。</w:t>
      </w:r>
      <w:bookmarkEnd w:id="233"/>
    </w:p>
    <w:p w14:paraId="7976C494">
      <w:pPr>
        <w:spacing w:line="360" w:lineRule="auto"/>
        <w:ind w:firstLine="420" w:firstLineChars="200"/>
        <w:rPr>
          <w:color w:val="auto"/>
          <w:highlight w:val="none"/>
          <w:shd w:val="clear" w:color="auto" w:fill="FFFFFF" w:themeFill="background1"/>
        </w:rPr>
      </w:pPr>
      <w:bookmarkStart w:id="234" w:name="_Toc335660887"/>
      <w:r>
        <w:rPr>
          <w:color w:val="auto"/>
          <w:highlight w:val="none"/>
          <w:shd w:val="clear" w:color="auto" w:fill="FFFFFF" w:themeFill="background1"/>
        </w:rPr>
        <w:t>5.1.2 发包人超过合同规定的日期支付费用的，应偿付逾期的违约金。偿付办法与金额在合同专用条款中</w:t>
      </w:r>
      <w:r>
        <w:rPr>
          <w:rFonts w:hint="eastAsia"/>
          <w:color w:val="auto"/>
          <w:highlight w:val="none"/>
          <w:shd w:val="clear" w:color="auto" w:fill="FFFFFF" w:themeFill="background1"/>
        </w:rPr>
        <w:t>约定</w:t>
      </w:r>
      <w:r>
        <w:rPr>
          <w:color w:val="auto"/>
          <w:highlight w:val="none"/>
          <w:shd w:val="clear" w:color="auto" w:fill="FFFFFF" w:themeFill="background1"/>
        </w:rPr>
        <w:t>。</w:t>
      </w:r>
      <w:bookmarkEnd w:id="234"/>
    </w:p>
    <w:p w14:paraId="6DD62969">
      <w:pPr>
        <w:spacing w:line="360" w:lineRule="auto"/>
        <w:ind w:firstLine="420" w:firstLineChars="200"/>
        <w:rPr>
          <w:color w:val="auto"/>
          <w:highlight w:val="none"/>
          <w:shd w:val="clear" w:color="auto" w:fill="FFFFFF" w:themeFill="background1"/>
        </w:rPr>
      </w:pPr>
      <w:bookmarkStart w:id="235" w:name="_Toc335660888"/>
      <w:r>
        <w:rPr>
          <w:color w:val="auto"/>
          <w:highlight w:val="none"/>
          <w:shd w:val="clear" w:color="auto" w:fill="FFFFFF" w:themeFill="background1"/>
        </w:rPr>
        <w:t>5.1.3 在合同生效后，发包人要求终止或解除合同的，应根据承包人已进行的实际工作量支付费用，不足一半时，按</w:t>
      </w:r>
      <w:r>
        <w:rPr>
          <w:rFonts w:hint="eastAsia"/>
          <w:color w:val="auto"/>
          <w:highlight w:val="none"/>
          <w:shd w:val="clear" w:color="auto" w:fill="FFFFFF" w:themeFill="background1"/>
        </w:rPr>
        <w:t>剩余合同价的5%向</w:t>
      </w:r>
      <w:r>
        <w:rPr>
          <w:color w:val="auto"/>
          <w:highlight w:val="none"/>
          <w:shd w:val="clear" w:color="auto" w:fill="FFFFFF" w:themeFill="background1"/>
        </w:rPr>
        <w:t>承包人</w:t>
      </w:r>
      <w:r>
        <w:rPr>
          <w:rFonts w:hint="eastAsia"/>
          <w:color w:val="auto"/>
          <w:highlight w:val="none"/>
          <w:shd w:val="clear" w:color="auto" w:fill="FFFFFF" w:themeFill="background1"/>
        </w:rPr>
        <w:t>支付违约金；</w:t>
      </w:r>
      <w:r>
        <w:rPr>
          <w:color w:val="auto"/>
          <w:highlight w:val="none"/>
          <w:shd w:val="clear" w:color="auto" w:fill="FFFFFF" w:themeFill="background1"/>
        </w:rPr>
        <w:t>超过一半时，按</w:t>
      </w:r>
      <w:r>
        <w:rPr>
          <w:rFonts w:hint="eastAsia"/>
          <w:color w:val="auto"/>
          <w:highlight w:val="none"/>
          <w:shd w:val="clear" w:color="auto" w:fill="FFFFFF" w:themeFill="background1"/>
        </w:rPr>
        <w:t>剩余合同价的10%向</w:t>
      </w:r>
      <w:r>
        <w:rPr>
          <w:color w:val="auto"/>
          <w:highlight w:val="none"/>
          <w:shd w:val="clear" w:color="auto" w:fill="FFFFFF" w:themeFill="background1"/>
        </w:rPr>
        <w:t>承包人</w:t>
      </w:r>
      <w:r>
        <w:rPr>
          <w:rFonts w:hint="eastAsia"/>
          <w:color w:val="auto"/>
          <w:highlight w:val="none"/>
          <w:shd w:val="clear" w:color="auto" w:fill="FFFFFF" w:themeFill="background1"/>
        </w:rPr>
        <w:t>支付违约金</w:t>
      </w:r>
      <w:r>
        <w:rPr>
          <w:color w:val="auto"/>
          <w:highlight w:val="none"/>
          <w:shd w:val="clear" w:color="auto" w:fill="FFFFFF" w:themeFill="background1"/>
        </w:rPr>
        <w:t>。</w:t>
      </w:r>
      <w:bookmarkEnd w:id="235"/>
    </w:p>
    <w:p w14:paraId="356E337D">
      <w:pPr>
        <w:spacing w:line="360" w:lineRule="auto"/>
        <w:ind w:firstLine="420" w:firstLineChars="200"/>
        <w:rPr>
          <w:color w:val="auto"/>
          <w:highlight w:val="none"/>
          <w:shd w:val="clear" w:color="auto" w:fill="FFFFFF" w:themeFill="background1"/>
        </w:rPr>
      </w:pPr>
      <w:bookmarkStart w:id="236" w:name="_Toc335660889"/>
      <w:r>
        <w:rPr>
          <w:color w:val="auto"/>
          <w:highlight w:val="none"/>
          <w:shd w:val="clear" w:color="auto" w:fill="FFFFFF" w:themeFill="background1"/>
        </w:rPr>
        <w:t>5.1.4 专用合同条款中约定的发包人其他违约</w:t>
      </w:r>
      <w:r>
        <w:rPr>
          <w:rFonts w:hint="eastAsia"/>
          <w:color w:val="auto"/>
          <w:highlight w:val="none"/>
          <w:shd w:val="clear" w:color="auto" w:fill="FFFFFF" w:themeFill="background1"/>
        </w:rPr>
        <w:t>与赔偿责任</w:t>
      </w:r>
      <w:r>
        <w:rPr>
          <w:color w:val="auto"/>
          <w:highlight w:val="none"/>
          <w:shd w:val="clear" w:color="auto" w:fill="FFFFFF" w:themeFill="background1"/>
        </w:rPr>
        <w:t>。</w:t>
      </w:r>
      <w:bookmarkEnd w:id="236"/>
    </w:p>
    <w:p w14:paraId="345E3EAC">
      <w:pPr>
        <w:spacing w:line="460" w:lineRule="exact"/>
        <w:ind w:firstLine="420" w:firstLineChars="200"/>
        <w:rPr>
          <w:color w:val="auto"/>
          <w:highlight w:val="none"/>
          <w:shd w:val="clear" w:color="auto" w:fill="FFFFFF" w:themeFill="background1"/>
        </w:rPr>
      </w:pPr>
      <w:bookmarkStart w:id="237" w:name="_Toc330218118"/>
      <w:bookmarkStart w:id="238" w:name="_Toc330218683"/>
      <w:bookmarkStart w:id="239" w:name="_Toc335721992"/>
      <w:bookmarkStart w:id="240" w:name="_Toc335660890"/>
      <w:bookmarkStart w:id="241" w:name="_Toc335660030"/>
      <w:bookmarkStart w:id="242" w:name="_Toc335660443"/>
      <w:bookmarkStart w:id="243" w:name="_Toc335721540"/>
      <w:bookmarkStart w:id="244" w:name="_Toc357066656"/>
      <w:bookmarkStart w:id="245" w:name="_Toc446919474"/>
      <w:r>
        <w:rPr>
          <w:color w:val="auto"/>
          <w:highlight w:val="none"/>
          <w:shd w:val="clear" w:color="auto" w:fill="FFFFFF" w:themeFill="background1"/>
        </w:rPr>
        <w:t>5.2 承包人的违约</w:t>
      </w:r>
      <w:bookmarkEnd w:id="237"/>
      <w:bookmarkEnd w:id="238"/>
      <w:bookmarkEnd w:id="239"/>
      <w:bookmarkEnd w:id="240"/>
      <w:bookmarkEnd w:id="241"/>
      <w:bookmarkEnd w:id="242"/>
      <w:bookmarkEnd w:id="243"/>
      <w:r>
        <w:rPr>
          <w:color w:val="auto"/>
          <w:highlight w:val="none"/>
          <w:shd w:val="clear" w:color="auto" w:fill="FFFFFF" w:themeFill="background1"/>
        </w:rPr>
        <w:t>与赔偿</w:t>
      </w:r>
      <w:bookmarkEnd w:id="244"/>
      <w:bookmarkEnd w:id="245"/>
    </w:p>
    <w:p w14:paraId="297D836C">
      <w:pPr>
        <w:spacing w:line="460" w:lineRule="exact"/>
        <w:ind w:firstLine="420" w:firstLineChars="200"/>
        <w:rPr>
          <w:color w:val="auto"/>
          <w:highlight w:val="none"/>
          <w:shd w:val="clear" w:color="auto" w:fill="FFFFFF" w:themeFill="background1"/>
        </w:rPr>
      </w:pPr>
      <w:r>
        <w:rPr>
          <w:rFonts w:hint="eastAsia"/>
          <w:color w:val="auto"/>
          <w:highlight w:val="none"/>
          <w:shd w:val="clear" w:color="auto" w:fill="FFFFFF" w:themeFill="background1"/>
        </w:rPr>
        <w:t>5.2.1 在合同履行过程中发生下列任何一种情况，均属</w:t>
      </w:r>
      <w:r>
        <w:rPr>
          <w:color w:val="auto"/>
          <w:highlight w:val="none"/>
          <w:shd w:val="clear" w:color="auto" w:fill="FFFFFF" w:themeFill="background1"/>
        </w:rPr>
        <w:t>承包人</w:t>
      </w:r>
      <w:r>
        <w:rPr>
          <w:rFonts w:hint="eastAsia"/>
          <w:color w:val="auto"/>
          <w:highlight w:val="none"/>
          <w:shd w:val="clear" w:color="auto" w:fill="FFFFFF" w:themeFill="background1"/>
        </w:rPr>
        <w:t>违约，赔偿责任在专用条款中约定：</w:t>
      </w:r>
    </w:p>
    <w:p w14:paraId="08A57160">
      <w:pPr>
        <w:spacing w:line="460" w:lineRule="exact"/>
        <w:ind w:firstLine="420" w:firstLineChars="200"/>
        <w:rPr>
          <w:color w:val="auto"/>
          <w:highlight w:val="none"/>
          <w:shd w:val="clear" w:color="auto" w:fill="FFFFFF" w:themeFill="background1"/>
        </w:rPr>
      </w:pPr>
      <w:bookmarkStart w:id="246" w:name="_Toc335660891"/>
      <w:r>
        <w:rPr>
          <w:rFonts w:hint="eastAsia"/>
          <w:color w:val="auto"/>
          <w:highlight w:val="none"/>
          <w:shd w:val="clear" w:color="auto" w:fill="FFFFFF" w:themeFill="background1"/>
        </w:rPr>
        <w:t>（1）</w:t>
      </w:r>
      <w:r>
        <w:rPr>
          <w:color w:val="auto"/>
          <w:highlight w:val="none"/>
          <w:shd w:val="clear" w:color="auto" w:fill="FFFFFF" w:themeFill="background1"/>
        </w:rPr>
        <w:t>承包人将</w:t>
      </w:r>
      <w:r>
        <w:rPr>
          <w:rFonts w:hint="eastAsia"/>
          <w:color w:val="auto"/>
          <w:highlight w:val="none"/>
          <w:shd w:val="clear" w:color="auto" w:fill="FFFFFF" w:themeFill="background1"/>
        </w:rPr>
        <w:t>勘察、可研编制</w:t>
      </w:r>
      <w:r>
        <w:rPr>
          <w:color w:val="auto"/>
          <w:highlight w:val="none"/>
          <w:shd w:val="clear" w:color="auto" w:fill="FFFFFF" w:themeFill="background1"/>
        </w:rPr>
        <w:t>任务转包，或未经发包人同意私自分包</w:t>
      </w:r>
      <w:r>
        <w:rPr>
          <w:rFonts w:hint="eastAsia"/>
          <w:color w:val="auto"/>
          <w:highlight w:val="none"/>
          <w:shd w:val="clear" w:color="auto" w:fill="FFFFFF" w:themeFill="background1"/>
        </w:rPr>
        <w:t>的</w:t>
      </w:r>
      <w:r>
        <w:rPr>
          <w:color w:val="auto"/>
          <w:highlight w:val="none"/>
          <w:shd w:val="clear" w:color="auto" w:fill="FFFFFF" w:themeFill="background1"/>
        </w:rPr>
        <w:t>；</w:t>
      </w:r>
      <w:bookmarkEnd w:id="246"/>
    </w:p>
    <w:p w14:paraId="7501C3AA">
      <w:pPr>
        <w:spacing w:line="460" w:lineRule="exact"/>
        <w:ind w:firstLine="420" w:firstLineChars="200"/>
        <w:rPr>
          <w:color w:val="auto"/>
          <w:highlight w:val="none"/>
          <w:shd w:val="clear" w:color="auto" w:fill="FFFFFF" w:themeFill="background1"/>
        </w:rPr>
      </w:pPr>
      <w:bookmarkStart w:id="247" w:name="_Toc335660892"/>
      <w:r>
        <w:rPr>
          <w:rFonts w:hint="eastAsia"/>
          <w:color w:val="auto"/>
          <w:highlight w:val="none"/>
          <w:shd w:val="clear" w:color="auto" w:fill="FFFFFF" w:themeFill="background1"/>
        </w:rPr>
        <w:t>（2）</w:t>
      </w:r>
      <w:r>
        <w:rPr>
          <w:color w:val="auto"/>
          <w:highlight w:val="none"/>
          <w:shd w:val="clear" w:color="auto" w:fill="FFFFFF" w:themeFill="background1"/>
        </w:rPr>
        <w:t>承包人未按照本合同规定的强制性技术标准进行</w:t>
      </w:r>
      <w:r>
        <w:rPr>
          <w:rFonts w:hint="eastAsia"/>
          <w:color w:val="auto"/>
          <w:highlight w:val="none"/>
          <w:shd w:val="clear" w:color="auto" w:fill="FFFFFF" w:themeFill="background1"/>
        </w:rPr>
        <w:t>勘察、可研编制的；</w:t>
      </w:r>
    </w:p>
    <w:p w14:paraId="512F4764">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（3）承包人未根据勘察成果资料进行</w:t>
      </w:r>
      <w:r>
        <w:rPr>
          <w:rFonts w:hint="eastAsia"/>
          <w:color w:val="auto"/>
          <w:highlight w:val="none"/>
          <w:shd w:val="clear" w:color="auto" w:fill="FFFFFF" w:themeFill="background1"/>
        </w:rPr>
        <w:t>可研编制</w:t>
      </w:r>
      <w:r>
        <w:rPr>
          <w:color w:val="auto"/>
          <w:highlight w:val="none"/>
          <w:shd w:val="clear" w:color="auto" w:fill="FFFFFF" w:themeFill="background1"/>
        </w:rPr>
        <w:t>的；</w:t>
      </w:r>
    </w:p>
    <w:p w14:paraId="016BB161">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（4）承包人在</w:t>
      </w:r>
      <w:r>
        <w:rPr>
          <w:rFonts w:hint="eastAsia"/>
          <w:color w:val="auto"/>
          <w:highlight w:val="none"/>
          <w:shd w:val="clear" w:color="auto" w:fill="FFFFFF" w:themeFill="background1"/>
        </w:rPr>
        <w:t>勘察、可研编制</w:t>
      </w:r>
      <w:r>
        <w:rPr>
          <w:color w:val="auto"/>
          <w:highlight w:val="none"/>
          <w:shd w:val="clear" w:color="auto" w:fill="FFFFFF" w:themeFill="background1"/>
        </w:rPr>
        <w:t>文件中指定或变相指定材料或设备生产厂、供应商的；</w:t>
      </w:r>
      <w:bookmarkEnd w:id="247"/>
    </w:p>
    <w:p w14:paraId="740DA2DD">
      <w:pPr>
        <w:spacing w:line="460" w:lineRule="exact"/>
        <w:ind w:firstLine="420" w:firstLineChars="200"/>
        <w:rPr>
          <w:color w:val="auto"/>
          <w:highlight w:val="none"/>
          <w:shd w:val="clear" w:color="auto" w:fill="FFFFFF" w:themeFill="background1"/>
        </w:rPr>
      </w:pPr>
      <w:bookmarkStart w:id="248" w:name="_Toc335660893"/>
      <w:r>
        <w:rPr>
          <w:rFonts w:hint="eastAsia"/>
          <w:color w:val="auto"/>
          <w:highlight w:val="none"/>
          <w:shd w:val="clear" w:color="auto" w:fill="FFFFFF" w:themeFill="background1"/>
        </w:rPr>
        <w:t>（5）</w:t>
      </w:r>
      <w:r>
        <w:rPr>
          <w:color w:val="auto"/>
          <w:highlight w:val="none"/>
          <w:shd w:val="clear" w:color="auto" w:fill="FFFFFF" w:themeFill="background1"/>
        </w:rPr>
        <w:t>承包人由于自身原因，未能按期提交勘察成果、工程可行性研究及各专题文件、专题研究报告</w:t>
      </w:r>
      <w:r>
        <w:rPr>
          <w:rFonts w:hint="eastAsia"/>
          <w:color w:val="auto"/>
          <w:highlight w:val="none"/>
          <w:shd w:val="clear" w:color="auto" w:fill="FFFFFF" w:themeFill="background1"/>
        </w:rPr>
        <w:t>的</w:t>
      </w:r>
      <w:r>
        <w:rPr>
          <w:color w:val="auto"/>
          <w:highlight w:val="none"/>
          <w:shd w:val="clear" w:color="auto" w:fill="FFFFFF" w:themeFill="background1"/>
        </w:rPr>
        <w:t>（发包人同意延长期限的除外）；</w:t>
      </w:r>
      <w:bookmarkEnd w:id="248"/>
    </w:p>
    <w:p w14:paraId="6F39BC83">
      <w:pPr>
        <w:spacing w:line="460" w:lineRule="exact"/>
        <w:ind w:firstLine="420" w:firstLineChars="200"/>
        <w:rPr>
          <w:color w:val="auto"/>
          <w:highlight w:val="none"/>
          <w:shd w:val="clear" w:color="auto" w:fill="FFFFFF" w:themeFill="background1"/>
        </w:rPr>
      </w:pPr>
      <w:bookmarkStart w:id="249" w:name="_Toc335660894"/>
      <w:r>
        <w:rPr>
          <w:rFonts w:hint="eastAsia"/>
          <w:color w:val="auto"/>
          <w:highlight w:val="none"/>
          <w:shd w:val="clear" w:color="auto" w:fill="FFFFFF" w:themeFill="background1"/>
        </w:rPr>
        <w:t>（6）</w:t>
      </w:r>
      <w:r>
        <w:rPr>
          <w:color w:val="auto"/>
          <w:highlight w:val="none"/>
          <w:shd w:val="clear" w:color="auto" w:fill="FFFFFF" w:themeFill="background1"/>
        </w:rPr>
        <w:t>在收到发包人</w:t>
      </w:r>
      <w:r>
        <w:rPr>
          <w:rFonts w:hint="eastAsia"/>
          <w:color w:val="auto"/>
          <w:highlight w:val="none"/>
          <w:shd w:val="clear" w:color="auto" w:fill="FFFFFF" w:themeFill="background1"/>
        </w:rPr>
        <w:t>、</w:t>
      </w:r>
      <w:r>
        <w:rPr>
          <w:color w:val="auto"/>
          <w:highlight w:val="none"/>
          <w:shd w:val="clear" w:color="auto" w:fill="FFFFFF" w:themeFill="background1"/>
        </w:rPr>
        <w:t>承包人或上级主管部门提出的审查意见后，承包人未在专用合同条款规定的期限内完成对勘察成果、工程可行性研究及各专题文件、专题研究报告修改</w:t>
      </w:r>
      <w:r>
        <w:rPr>
          <w:rFonts w:hint="eastAsia"/>
          <w:color w:val="auto"/>
          <w:highlight w:val="none"/>
          <w:shd w:val="clear" w:color="auto" w:fill="FFFFFF" w:themeFill="background1"/>
        </w:rPr>
        <w:t>的</w:t>
      </w:r>
      <w:r>
        <w:rPr>
          <w:color w:val="auto"/>
          <w:highlight w:val="none"/>
          <w:shd w:val="clear" w:color="auto" w:fill="FFFFFF" w:themeFill="background1"/>
        </w:rPr>
        <w:t>；</w:t>
      </w:r>
      <w:bookmarkEnd w:id="249"/>
    </w:p>
    <w:p w14:paraId="4D52D6B6">
      <w:pPr>
        <w:spacing w:line="460" w:lineRule="exact"/>
        <w:ind w:firstLine="420" w:firstLineChars="200"/>
        <w:rPr>
          <w:color w:val="auto"/>
          <w:highlight w:val="none"/>
          <w:shd w:val="clear" w:color="auto" w:fill="FFFFFF" w:themeFill="background1"/>
        </w:rPr>
      </w:pPr>
      <w:bookmarkStart w:id="250" w:name="_Toc335660895"/>
      <w:r>
        <w:rPr>
          <w:rFonts w:hint="eastAsia"/>
          <w:color w:val="auto"/>
          <w:highlight w:val="none"/>
          <w:shd w:val="clear" w:color="auto" w:fill="FFFFFF" w:themeFill="background1"/>
        </w:rPr>
        <w:t>（7）</w:t>
      </w:r>
      <w:r>
        <w:rPr>
          <w:color w:val="auto"/>
          <w:highlight w:val="none"/>
          <w:shd w:val="clear" w:color="auto" w:fill="FFFFFF" w:themeFill="background1"/>
        </w:rPr>
        <w:t>由于承包人的过失或责任引起本项目发生重大设计变更或</w:t>
      </w:r>
      <w:r>
        <w:rPr>
          <w:rFonts w:hint="eastAsia"/>
          <w:color w:val="auto"/>
          <w:highlight w:val="none"/>
          <w:shd w:val="clear" w:color="auto" w:fill="FFFFFF" w:themeFill="background1"/>
        </w:rPr>
        <w:t>设计错误</w:t>
      </w:r>
      <w:r>
        <w:rPr>
          <w:color w:val="auto"/>
          <w:highlight w:val="none"/>
          <w:shd w:val="clear" w:color="auto" w:fill="FFFFFF" w:themeFill="background1"/>
        </w:rPr>
        <w:t>，导致施工工期拖延或给发包人造成经济损失</w:t>
      </w:r>
      <w:r>
        <w:rPr>
          <w:rFonts w:hint="eastAsia"/>
          <w:color w:val="auto"/>
          <w:highlight w:val="none"/>
          <w:shd w:val="clear" w:color="auto" w:fill="FFFFFF" w:themeFill="background1"/>
        </w:rPr>
        <w:t>，</w:t>
      </w:r>
      <w:r>
        <w:rPr>
          <w:color w:val="auto"/>
          <w:highlight w:val="none"/>
          <w:shd w:val="clear" w:color="auto" w:fill="FFFFFF" w:themeFill="background1"/>
        </w:rPr>
        <w:t>承包人</w:t>
      </w:r>
      <w:r>
        <w:rPr>
          <w:rFonts w:hint="eastAsia"/>
          <w:color w:val="auto"/>
          <w:highlight w:val="none"/>
          <w:shd w:val="clear" w:color="auto" w:fill="FFFFFF" w:themeFill="background1"/>
        </w:rPr>
        <w:t>除负责采取补救措施外，应免收受损失部分设计费，并根据损失程度向发包人支付赔偿金。</w:t>
      </w:r>
      <w:bookmarkEnd w:id="250"/>
      <w:bookmarkStart w:id="251" w:name="_Toc335660896"/>
    </w:p>
    <w:p w14:paraId="0D79E08F">
      <w:pPr>
        <w:spacing w:line="460" w:lineRule="exact"/>
        <w:ind w:firstLine="420" w:firstLineChars="200"/>
        <w:rPr>
          <w:color w:val="auto"/>
          <w:highlight w:val="none"/>
          <w:shd w:val="clear" w:color="auto" w:fill="FFFFFF" w:themeFill="background1"/>
        </w:rPr>
      </w:pPr>
      <w:r>
        <w:rPr>
          <w:rFonts w:hint="eastAsia"/>
          <w:color w:val="auto"/>
          <w:highlight w:val="none"/>
          <w:shd w:val="clear" w:color="auto" w:fill="FFFFFF" w:themeFill="background1"/>
        </w:rPr>
        <w:t>（8）</w:t>
      </w:r>
      <w:r>
        <w:rPr>
          <w:color w:val="auto"/>
          <w:highlight w:val="none"/>
          <w:shd w:val="clear" w:color="auto" w:fill="FFFFFF" w:themeFill="background1"/>
        </w:rPr>
        <w:t>承包人在投标文件中承诺投入本项目的主要勘察承包人员未经发包人同意更换</w:t>
      </w:r>
      <w:r>
        <w:rPr>
          <w:rFonts w:hint="eastAsia"/>
          <w:color w:val="auto"/>
          <w:highlight w:val="none"/>
          <w:shd w:val="clear" w:color="auto" w:fill="FFFFFF" w:themeFill="background1"/>
        </w:rPr>
        <w:t>的</w:t>
      </w:r>
      <w:r>
        <w:rPr>
          <w:color w:val="auto"/>
          <w:highlight w:val="none"/>
          <w:shd w:val="clear" w:color="auto" w:fill="FFFFFF" w:themeFill="background1"/>
        </w:rPr>
        <w:t>（但因不可抗力引起的人员变动除外）；</w:t>
      </w:r>
      <w:bookmarkEnd w:id="251"/>
    </w:p>
    <w:p w14:paraId="38C021D4">
      <w:pPr>
        <w:spacing w:line="460" w:lineRule="exact"/>
        <w:ind w:firstLine="420" w:firstLineChars="200"/>
        <w:rPr>
          <w:color w:val="auto"/>
          <w:highlight w:val="none"/>
          <w:shd w:val="clear" w:color="auto" w:fill="FFFFFF" w:themeFill="background1"/>
        </w:rPr>
      </w:pPr>
      <w:bookmarkStart w:id="252" w:name="_Toc335660897"/>
      <w:r>
        <w:rPr>
          <w:color w:val="auto"/>
          <w:highlight w:val="none"/>
          <w:shd w:val="clear" w:color="auto" w:fill="FFFFFF" w:themeFill="background1"/>
        </w:rPr>
        <w:t>5.2.</w:t>
      </w:r>
      <w:r>
        <w:rPr>
          <w:rFonts w:hint="eastAsia"/>
          <w:color w:val="auto"/>
          <w:highlight w:val="none"/>
          <w:shd w:val="clear" w:color="auto" w:fill="FFFFFF" w:themeFill="background1"/>
        </w:rPr>
        <w:t xml:space="preserve">2 </w:t>
      </w:r>
      <w:r>
        <w:rPr>
          <w:color w:val="auto"/>
          <w:highlight w:val="none"/>
          <w:shd w:val="clear" w:color="auto" w:fill="FFFFFF" w:themeFill="background1"/>
        </w:rPr>
        <w:t>专用合同条款中约定的承包人其他违约</w:t>
      </w:r>
      <w:r>
        <w:rPr>
          <w:rFonts w:hint="eastAsia"/>
          <w:color w:val="auto"/>
          <w:highlight w:val="none"/>
          <w:shd w:val="clear" w:color="auto" w:fill="FFFFFF" w:themeFill="background1"/>
        </w:rPr>
        <w:t>与赔偿责任</w:t>
      </w:r>
      <w:r>
        <w:rPr>
          <w:color w:val="auto"/>
          <w:highlight w:val="none"/>
          <w:shd w:val="clear" w:color="auto" w:fill="FFFFFF" w:themeFill="background1"/>
        </w:rPr>
        <w:t>。</w:t>
      </w:r>
      <w:bookmarkEnd w:id="252"/>
    </w:p>
    <w:p w14:paraId="79C80D14">
      <w:pPr>
        <w:pStyle w:val="372"/>
        <w:spacing w:beforeLines="0" w:afterLines="0"/>
        <w:ind w:firstLine="562"/>
        <w:outlineLvl w:val="1"/>
        <w:rPr>
          <w:rFonts w:hAnsi="宋体"/>
          <w:b/>
          <w:color w:val="auto"/>
          <w:highlight w:val="none"/>
          <w:shd w:val="clear" w:color="auto" w:fill="FFFFFF" w:themeFill="background1"/>
        </w:rPr>
      </w:pPr>
      <w:bookmarkStart w:id="253" w:name="_Toc346269073"/>
      <w:bookmarkStart w:id="254" w:name="_Toc335721993"/>
      <w:bookmarkStart w:id="255" w:name="_Toc335660898"/>
      <w:bookmarkStart w:id="256" w:name="_Toc16056"/>
      <w:bookmarkStart w:id="257" w:name="_Toc89866138"/>
      <w:bookmarkStart w:id="258" w:name="_Toc17910"/>
      <w:bookmarkStart w:id="259" w:name="_Toc5571"/>
      <w:bookmarkStart w:id="260" w:name="_Toc446919475"/>
      <w:bookmarkStart w:id="261" w:name="_Toc346269493"/>
      <w:bookmarkStart w:id="262" w:name="_Toc326241906"/>
      <w:r>
        <w:rPr>
          <w:rFonts w:hAnsi="宋体"/>
          <w:b/>
          <w:color w:val="auto"/>
          <w:highlight w:val="none"/>
          <w:shd w:val="clear" w:color="auto" w:fill="FFFFFF" w:themeFill="background1"/>
        </w:rPr>
        <w:t>6. 合同的生效与终止</w:t>
      </w:r>
      <w:bookmarkEnd w:id="253"/>
      <w:bookmarkEnd w:id="254"/>
      <w:bookmarkEnd w:id="255"/>
      <w:bookmarkEnd w:id="256"/>
      <w:bookmarkEnd w:id="257"/>
      <w:bookmarkEnd w:id="258"/>
      <w:bookmarkEnd w:id="259"/>
      <w:bookmarkEnd w:id="260"/>
      <w:bookmarkEnd w:id="261"/>
      <w:bookmarkEnd w:id="262"/>
    </w:p>
    <w:p w14:paraId="2B700334">
      <w:pPr>
        <w:spacing w:line="460" w:lineRule="exact"/>
        <w:ind w:firstLine="420" w:firstLineChars="200"/>
        <w:rPr>
          <w:color w:val="auto"/>
          <w:highlight w:val="none"/>
          <w:shd w:val="clear" w:color="auto" w:fill="FFFFFF" w:themeFill="background1"/>
        </w:rPr>
      </w:pPr>
      <w:bookmarkStart w:id="263" w:name="_Toc335660899"/>
      <w:r>
        <w:rPr>
          <w:color w:val="auto"/>
          <w:highlight w:val="none"/>
          <w:shd w:val="clear" w:color="auto" w:fill="FFFFFF" w:themeFill="background1"/>
        </w:rPr>
        <w:t>6.1 合同的生效</w:t>
      </w:r>
      <w:bookmarkEnd w:id="263"/>
    </w:p>
    <w:p w14:paraId="16C09AC4">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合同文件自双方在合同协议书上签字盖单位章后生效。承包人工作的开始和完成时间应按合同文件的规定执行。</w:t>
      </w:r>
    </w:p>
    <w:p w14:paraId="096809D9">
      <w:pPr>
        <w:spacing w:line="460" w:lineRule="exact"/>
        <w:ind w:firstLine="420" w:firstLineChars="200"/>
        <w:rPr>
          <w:color w:val="auto"/>
          <w:highlight w:val="none"/>
          <w:shd w:val="clear" w:color="auto" w:fill="FFFFFF" w:themeFill="background1"/>
        </w:rPr>
      </w:pPr>
      <w:bookmarkStart w:id="264" w:name="_Toc335660900"/>
      <w:r>
        <w:rPr>
          <w:color w:val="auto"/>
          <w:highlight w:val="none"/>
          <w:shd w:val="clear" w:color="auto" w:fill="FFFFFF" w:themeFill="background1"/>
        </w:rPr>
        <w:t>6.2 合同的终止</w:t>
      </w:r>
      <w:bookmarkEnd w:id="264"/>
    </w:p>
    <w:p w14:paraId="14F6BA3D">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合同双方履行完合同规定的义务后，本合同即行终止。</w:t>
      </w:r>
    </w:p>
    <w:p w14:paraId="76C81694">
      <w:pPr>
        <w:spacing w:line="460" w:lineRule="exact"/>
        <w:ind w:firstLine="420" w:firstLineChars="200"/>
        <w:rPr>
          <w:color w:val="auto"/>
          <w:highlight w:val="none"/>
          <w:shd w:val="clear" w:color="auto" w:fill="FFFFFF" w:themeFill="background1"/>
        </w:rPr>
      </w:pPr>
      <w:bookmarkStart w:id="265" w:name="_Toc335660901"/>
      <w:r>
        <w:rPr>
          <w:color w:val="auto"/>
          <w:highlight w:val="none"/>
          <w:shd w:val="clear" w:color="auto" w:fill="FFFFFF" w:themeFill="background1"/>
        </w:rPr>
        <w:t xml:space="preserve">6.3 </w:t>
      </w:r>
      <w:r>
        <w:rPr>
          <w:rFonts w:hint="eastAsia"/>
          <w:color w:val="auto"/>
          <w:highlight w:val="none"/>
          <w:shd w:val="clear" w:color="auto" w:fill="FFFFFF" w:themeFill="background1"/>
        </w:rPr>
        <w:t>由于不可抗力因素致使合同无法履行时，双方应协商解决，不论何种原因，本合同的终止不应损害和影响各方应有的权利、索赔要求和应负的责任</w:t>
      </w:r>
      <w:r>
        <w:rPr>
          <w:color w:val="auto"/>
          <w:highlight w:val="none"/>
          <w:shd w:val="clear" w:color="auto" w:fill="FFFFFF" w:themeFill="background1"/>
        </w:rPr>
        <w:t>。</w:t>
      </w:r>
      <w:bookmarkEnd w:id="265"/>
    </w:p>
    <w:p w14:paraId="6CEA5D85">
      <w:pPr>
        <w:pStyle w:val="372"/>
        <w:spacing w:beforeLines="0" w:afterLines="0"/>
        <w:ind w:firstLine="562"/>
        <w:outlineLvl w:val="1"/>
        <w:rPr>
          <w:rFonts w:hAnsi="宋体"/>
          <w:b/>
          <w:color w:val="auto"/>
          <w:highlight w:val="none"/>
          <w:shd w:val="clear" w:color="auto" w:fill="FFFFFF" w:themeFill="background1"/>
        </w:rPr>
      </w:pPr>
      <w:bookmarkStart w:id="266" w:name="_Toc326241907"/>
      <w:bookmarkStart w:id="267" w:name="_Toc335721994"/>
      <w:bookmarkStart w:id="268" w:name="_Toc346269074"/>
      <w:bookmarkStart w:id="269" w:name="_Toc446919476"/>
      <w:bookmarkStart w:id="270" w:name="_Toc8335"/>
      <w:bookmarkStart w:id="271" w:name="_Toc346269494"/>
      <w:bookmarkStart w:id="272" w:name="_Toc22434"/>
      <w:bookmarkStart w:id="273" w:name="_Toc335660902"/>
      <w:bookmarkStart w:id="274" w:name="_Toc25326"/>
      <w:bookmarkStart w:id="275" w:name="_Toc89866139"/>
      <w:r>
        <w:rPr>
          <w:rFonts w:hAnsi="宋体"/>
          <w:b/>
          <w:color w:val="auto"/>
          <w:highlight w:val="none"/>
          <w:shd w:val="clear" w:color="auto" w:fill="FFFFFF" w:themeFill="background1"/>
        </w:rPr>
        <w:t>7. 费用与支付</w:t>
      </w:r>
      <w:bookmarkEnd w:id="266"/>
      <w:bookmarkEnd w:id="267"/>
      <w:bookmarkEnd w:id="268"/>
      <w:bookmarkEnd w:id="269"/>
      <w:bookmarkEnd w:id="270"/>
      <w:bookmarkEnd w:id="271"/>
      <w:bookmarkEnd w:id="272"/>
      <w:bookmarkEnd w:id="273"/>
      <w:bookmarkEnd w:id="274"/>
      <w:bookmarkEnd w:id="275"/>
    </w:p>
    <w:p w14:paraId="11C7D1C7">
      <w:pPr>
        <w:spacing w:line="460" w:lineRule="exact"/>
        <w:ind w:firstLine="420" w:firstLineChars="200"/>
        <w:rPr>
          <w:rFonts w:hint="eastAsia"/>
          <w:color w:val="auto"/>
          <w:highlight w:val="none"/>
          <w:shd w:val="clear" w:color="auto" w:fill="FFFFFF" w:themeFill="background1"/>
        </w:rPr>
      </w:pPr>
      <w:bookmarkStart w:id="276" w:name="_Toc335660903"/>
      <w:r>
        <w:rPr>
          <w:color w:val="auto"/>
          <w:highlight w:val="none"/>
          <w:shd w:val="clear" w:color="auto" w:fill="FFFFFF" w:themeFill="background1"/>
        </w:rPr>
        <w:t>7.1</w:t>
      </w:r>
      <w:bookmarkEnd w:id="276"/>
      <w:r>
        <w:rPr>
          <w:rFonts w:hint="eastAsia"/>
          <w:color w:val="auto"/>
          <w:highlight w:val="none"/>
          <w:shd w:val="clear" w:color="auto" w:fill="FFFFFF" w:themeFill="background1"/>
        </w:rPr>
        <w:t>合同价格是完成合同所规定责任的总费用，包括收集资料，踏勘现场，制订纲要，进行测绘、分析、研究、评估、审查、配合审查（审批）等，编制勘察咨询文件，后续服务，青苗和园林绿化补偿，占地补偿，扰民及民扰，占道施工，安全防护、文明施工、环境保护，农民工工伤保险等全部费用和国家规定的增值税税金，由承包人人包干使用，本合同的合同价款确定方式在专用条款中约定。</w:t>
      </w:r>
    </w:p>
    <w:p w14:paraId="658E39FE">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7.1.1</w:t>
      </w:r>
      <w:r>
        <w:rPr>
          <w:rFonts w:hint="eastAsia"/>
          <w:color w:val="auto"/>
          <w:highlight w:val="none"/>
          <w:shd w:val="clear" w:color="auto" w:fill="FFFFFF" w:themeFill="background1"/>
        </w:rPr>
        <w:t>发包人应按合同规定向承包人支付勘察咨询服务费用</w:t>
      </w:r>
      <w:r>
        <w:rPr>
          <w:color w:val="auto"/>
          <w:highlight w:val="none"/>
          <w:shd w:val="clear" w:color="auto" w:fill="FFFFFF" w:themeFill="background1"/>
        </w:rPr>
        <w:t>。</w:t>
      </w:r>
    </w:p>
    <w:p w14:paraId="21283D14">
      <w:pPr>
        <w:spacing w:line="460" w:lineRule="exact"/>
        <w:ind w:firstLine="420" w:firstLineChars="200"/>
        <w:rPr>
          <w:rFonts w:hint="eastAsia"/>
          <w:color w:val="auto"/>
          <w:highlight w:val="none"/>
          <w:shd w:val="clear" w:color="auto" w:fill="FFFFFF" w:themeFill="background1"/>
        </w:rPr>
      </w:pPr>
      <w:bookmarkStart w:id="277" w:name="_Toc357066659"/>
      <w:bookmarkStart w:id="278" w:name="_Toc335660905"/>
      <w:bookmarkStart w:id="279" w:name="_Toc446919477"/>
      <w:r>
        <w:rPr>
          <w:rFonts w:hint="eastAsia"/>
          <w:color w:val="auto"/>
          <w:highlight w:val="none"/>
          <w:shd w:val="clear" w:color="auto" w:fill="FFFFFF" w:themeFill="background1"/>
        </w:rPr>
        <w:t>7.1.2承包人为联合体时，则发包人应根据勘察咨询服务工作进展分批向联合体牵头人支付勘察咨询服务费用。联合体牵头人提出书面申请时，发包人可分别向联合体各成员支付合同款。</w:t>
      </w:r>
    </w:p>
    <w:p w14:paraId="61E90AD7">
      <w:pPr>
        <w:spacing w:line="460" w:lineRule="exact"/>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7.2. 费用支付方式</w:t>
      </w:r>
    </w:p>
    <w:p w14:paraId="441846DD">
      <w:pPr>
        <w:spacing w:line="460" w:lineRule="exact"/>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7.2.1发包人按进度分期支付费用，本合同的合同价及支付办法在专用条款中约定。</w:t>
      </w:r>
    </w:p>
    <w:p w14:paraId="24886502">
      <w:pPr>
        <w:spacing w:line="460" w:lineRule="exact"/>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7.2.2费用支付涉及政府投资资金的，按照国库集中支付等国家相关规定和专用合同条款的约定执行。承包人应预见并承担政府投资资金有可能不及时到位支付的风险。</w:t>
      </w:r>
    </w:p>
    <w:p w14:paraId="512FAB73">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7.3 暂列金额</w:t>
      </w:r>
      <w:bookmarkEnd w:id="277"/>
      <w:bookmarkEnd w:id="278"/>
      <w:bookmarkEnd w:id="279"/>
    </w:p>
    <w:p w14:paraId="0B797EB9">
      <w:pPr>
        <w:spacing w:line="460" w:lineRule="exact"/>
        <w:ind w:firstLine="420" w:firstLineChars="200"/>
        <w:rPr>
          <w:color w:val="auto"/>
          <w:highlight w:val="none"/>
          <w:shd w:val="clear" w:color="auto" w:fill="FFFFFF" w:themeFill="background1"/>
        </w:rPr>
      </w:pPr>
      <w:r>
        <w:rPr>
          <w:color w:val="auto"/>
          <w:highlight w:val="none"/>
          <w:shd w:val="clear" w:color="auto" w:fill="FFFFFF" w:themeFill="background1"/>
        </w:rPr>
        <w:t>本合同的暂列金额在专用合同条款中约定。暂列金额应按发包人的书面指示使用。</w:t>
      </w:r>
    </w:p>
    <w:p w14:paraId="69A202C2">
      <w:pPr>
        <w:spacing w:line="460" w:lineRule="exact"/>
        <w:ind w:firstLine="420" w:firstLineChars="200"/>
        <w:rPr>
          <w:rFonts w:hint="eastAsia"/>
          <w:color w:val="auto"/>
          <w:highlight w:val="none"/>
          <w:shd w:val="clear" w:color="auto" w:fill="FFFFFF" w:themeFill="background1"/>
        </w:rPr>
      </w:pPr>
      <w:bookmarkStart w:id="280" w:name="_Toc446919478"/>
      <w:bookmarkStart w:id="281" w:name="_Toc357066660"/>
      <w:bookmarkStart w:id="282" w:name="_Toc335660906"/>
      <w:r>
        <w:rPr>
          <w:color w:val="auto"/>
          <w:highlight w:val="none"/>
          <w:shd w:val="clear" w:color="auto" w:fill="FFFFFF" w:themeFill="background1"/>
        </w:rPr>
        <w:t xml:space="preserve">7.4 </w:t>
      </w:r>
      <w:bookmarkEnd w:id="280"/>
      <w:bookmarkEnd w:id="281"/>
      <w:bookmarkEnd w:id="282"/>
      <w:r>
        <w:rPr>
          <w:rFonts w:hint="eastAsia"/>
          <w:color w:val="auto"/>
          <w:highlight w:val="none"/>
          <w:shd w:val="clear" w:color="auto" w:fill="FFFFFF" w:themeFill="background1"/>
        </w:rPr>
        <w:t>费用的调整</w:t>
      </w:r>
    </w:p>
    <w:p w14:paraId="4BE3CC72">
      <w:pPr>
        <w:spacing w:line="460" w:lineRule="exact"/>
        <w:ind w:firstLine="420" w:firstLineChars="200"/>
        <w:rPr>
          <w:rFonts w:hint="eastAsia"/>
          <w:color w:val="auto"/>
          <w:highlight w:val="none"/>
          <w:shd w:val="clear" w:color="auto" w:fill="FFFFFF" w:themeFill="background1"/>
        </w:rPr>
      </w:pPr>
      <w:r>
        <w:rPr>
          <w:rFonts w:hint="eastAsia"/>
          <w:color w:val="auto"/>
          <w:highlight w:val="none"/>
          <w:shd w:val="clear" w:color="auto" w:fill="FFFFFF" w:themeFill="background1"/>
        </w:rPr>
        <w:t>在合同实施期间，由于国家政策调整或新颁法律、法规、标准，或市场因素变化导致本项目勘察咨询费用的变化，按专用合同条款中相应规定执行。</w:t>
      </w:r>
    </w:p>
    <w:p w14:paraId="25315DD5">
      <w:pPr>
        <w:spacing w:line="460" w:lineRule="exact"/>
        <w:ind w:firstLine="420" w:firstLineChars="200"/>
        <w:rPr>
          <w:color w:val="auto"/>
          <w:highlight w:val="none"/>
          <w:shd w:val="clear" w:color="auto" w:fill="FFFFFF" w:themeFill="background1"/>
        </w:rPr>
      </w:pPr>
      <w:bookmarkStart w:id="283" w:name="_Toc335660907"/>
      <w:r>
        <w:rPr>
          <w:color w:val="auto"/>
          <w:highlight w:val="none"/>
          <w:shd w:val="clear" w:color="auto" w:fill="FFFFFF" w:themeFill="background1"/>
        </w:rPr>
        <w:t>7.5 如专用合同条款要求承包人提交履约担保的，在签订合同前，承包人应按专用合同条款中规定的金额和形式向发包人提交履约担保，担保期满后，发包人应及时退还。</w:t>
      </w:r>
    </w:p>
    <w:p w14:paraId="7A56C314">
      <w:pPr>
        <w:spacing w:line="460" w:lineRule="exact"/>
        <w:ind w:firstLine="420" w:firstLineChars="200"/>
        <w:rPr>
          <w:color w:val="auto"/>
          <w:highlight w:val="none"/>
          <w:shd w:val="clear" w:color="auto" w:fill="FFFFFF" w:themeFill="background1"/>
        </w:rPr>
      </w:pPr>
      <w:bookmarkStart w:id="284" w:name="_Toc446919479"/>
      <w:bookmarkStart w:id="285" w:name="_Toc357066661"/>
      <w:r>
        <w:rPr>
          <w:color w:val="auto"/>
          <w:highlight w:val="none"/>
          <w:shd w:val="clear" w:color="auto" w:fill="FFFFFF" w:themeFill="background1"/>
        </w:rPr>
        <w:t>7.6 税费</w:t>
      </w:r>
      <w:bookmarkEnd w:id="283"/>
      <w:bookmarkEnd w:id="284"/>
      <w:bookmarkEnd w:id="285"/>
    </w:p>
    <w:p w14:paraId="798D3D64">
      <w:pPr>
        <w:spacing w:line="460" w:lineRule="exact"/>
        <w:ind w:firstLine="420" w:firstLineChars="200"/>
        <w:rPr>
          <w:color w:val="auto"/>
          <w:highlight w:val="none"/>
          <w:shd w:val="clear" w:color="auto" w:fill="FFFFFF" w:themeFill="background1"/>
        </w:rPr>
      </w:pPr>
      <w:r>
        <w:rPr>
          <w:rFonts w:hint="eastAsia"/>
          <w:color w:val="auto"/>
          <w:highlight w:val="none"/>
          <w:shd w:val="clear" w:color="auto" w:fill="FFFFFF" w:themeFill="background1"/>
        </w:rPr>
        <w:t>承包人应自行承担完成本项目勘察咨询工作需缴纳的一切税费，并包括在报价清单各项目报价之内，发包人不另行支付。</w:t>
      </w:r>
    </w:p>
    <w:p w14:paraId="1F133582">
      <w:pPr>
        <w:pStyle w:val="372"/>
        <w:spacing w:beforeLines="0" w:afterLines="0"/>
        <w:ind w:firstLine="562"/>
        <w:outlineLvl w:val="1"/>
        <w:rPr>
          <w:rFonts w:hAnsi="宋体"/>
          <w:b/>
          <w:color w:val="auto"/>
          <w:highlight w:val="none"/>
          <w:shd w:val="clear" w:color="auto" w:fill="FFFFFF" w:themeFill="background1"/>
        </w:rPr>
      </w:pPr>
      <w:bookmarkStart w:id="286" w:name="_Toc326241908"/>
      <w:bookmarkStart w:id="287" w:name="_Toc335660908"/>
      <w:bookmarkStart w:id="288" w:name="_Toc335721995"/>
      <w:bookmarkStart w:id="289" w:name="_Toc346269495"/>
      <w:bookmarkStart w:id="290" w:name="_Toc21244"/>
      <w:bookmarkStart w:id="291" w:name="_Toc26826"/>
      <w:bookmarkStart w:id="292" w:name="_Toc346269075"/>
      <w:bookmarkStart w:id="293" w:name="_Toc32469"/>
      <w:bookmarkStart w:id="294" w:name="_Toc89866140"/>
      <w:bookmarkStart w:id="295" w:name="_Toc446919480"/>
      <w:r>
        <w:rPr>
          <w:rFonts w:hAnsi="宋体"/>
          <w:b/>
          <w:color w:val="auto"/>
          <w:highlight w:val="none"/>
          <w:shd w:val="clear" w:color="auto" w:fill="FFFFFF" w:themeFill="background1"/>
        </w:rPr>
        <w:t xml:space="preserve">8. </w:t>
      </w:r>
      <w:bookmarkEnd w:id="286"/>
      <w:bookmarkEnd w:id="287"/>
      <w:bookmarkEnd w:id="288"/>
      <w:r>
        <w:rPr>
          <w:rFonts w:hAnsi="宋体"/>
          <w:b/>
          <w:color w:val="auto"/>
          <w:highlight w:val="none"/>
          <w:shd w:val="clear" w:color="auto" w:fill="FFFFFF" w:themeFill="background1"/>
        </w:rPr>
        <w:t>其他</w:t>
      </w:r>
      <w:bookmarkEnd w:id="289"/>
      <w:bookmarkEnd w:id="290"/>
      <w:bookmarkEnd w:id="291"/>
      <w:bookmarkEnd w:id="292"/>
      <w:bookmarkEnd w:id="293"/>
      <w:bookmarkEnd w:id="294"/>
      <w:bookmarkEnd w:id="295"/>
    </w:p>
    <w:p w14:paraId="42DE6556">
      <w:pPr>
        <w:spacing w:line="460" w:lineRule="auto"/>
        <w:ind w:firstLine="420" w:firstLineChars="200"/>
        <w:jc w:val="left"/>
        <w:rPr>
          <w:rFonts w:ascii="宋体" w:hAnsi="宋体" w:cs="宋体"/>
          <w:color w:val="auto"/>
          <w:szCs w:val="21"/>
          <w:highlight w:val="none"/>
          <w:shd w:val="clear" w:color="auto" w:fill="FFFFFF" w:themeFill="background1"/>
        </w:rPr>
      </w:pPr>
      <w:bookmarkStart w:id="296" w:name="_Toc446919481"/>
      <w:bookmarkStart w:id="297" w:name="_Toc335660909"/>
      <w:bookmarkStart w:id="298" w:name="_Toc357066663"/>
      <w:r>
        <w:rPr>
          <w:rFonts w:hint="eastAsia" w:ascii="宋体" w:hAnsi="宋体" w:cs="宋体"/>
          <w:color w:val="auto"/>
          <w:szCs w:val="21"/>
          <w:highlight w:val="none"/>
          <w:shd w:val="clear" w:color="auto" w:fill="FFFFFF" w:themeFill="background1"/>
        </w:rPr>
        <w:t>8.1 法律和法规</w:t>
      </w:r>
    </w:p>
    <w:p w14:paraId="716C2699">
      <w:pPr>
        <w:spacing w:line="460" w:lineRule="auto"/>
        <w:ind w:firstLine="420" w:firstLineChars="200"/>
        <w:jc w:val="left"/>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本合同必须服从中华人民共和国现行法律、法规，对合同的解释应以中华人民共和国的现行法律、法规为准。</w:t>
      </w:r>
    </w:p>
    <w:p w14:paraId="74148801">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8.2知识产权</w:t>
      </w:r>
    </w:p>
    <w:p w14:paraId="5B7DD76A">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8.2.1 除专用合同条款另有约定外，承包人完成的勘察咨询服务成果，除署名权以外的著作权和其他知识产权均归发包人享有。</w:t>
      </w:r>
    </w:p>
    <w:p w14:paraId="4B440471">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8.2.2 承包人在从事工程勘察咨询服务活动时，不得侵犯他人的知识产权。因侵犯专利权或其他知识产权所引起的责任，由承包人自行承担。因发包人提供的资料导致侵权的，由发包人承担责任。</w:t>
      </w:r>
    </w:p>
    <w:p w14:paraId="6E1203EA">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8.2.3 承包人在投标文件中采用专利技术、专有技术的，相应的使用费视为已包含在投标报价之中，发包人不另行支付。</w:t>
      </w:r>
    </w:p>
    <w:p w14:paraId="57A00BB4">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8.3 争议的解决</w:t>
      </w:r>
    </w:p>
    <w:p w14:paraId="7934AAA0">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本合同在执行过程中，如发生争议双方协商解决，协商不成按下列一种方式解决：</w:t>
      </w:r>
    </w:p>
    <w:p w14:paraId="1157E2D2">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（1） 向约定的仲裁委员会申请仲裁；</w:t>
      </w:r>
    </w:p>
    <w:p w14:paraId="7C8C8829">
      <w:pPr>
        <w:spacing w:line="460" w:lineRule="exact"/>
        <w:ind w:firstLine="420" w:firstLineChars="200"/>
        <w:jc w:val="left"/>
        <w:rPr>
          <w:color w:val="auto"/>
          <w:highlight w:val="none"/>
          <w:shd w:val="clear" w:color="auto" w:fill="FFFFFF" w:themeFill="background1"/>
        </w:rPr>
      </w:pPr>
      <w:r>
        <w:rPr>
          <w:rFonts w:hint="eastAsia"/>
          <w:color w:val="auto"/>
          <w:highlight w:val="none"/>
          <w:shd w:val="clear" w:color="auto" w:fill="FFFFFF" w:themeFill="background1"/>
        </w:rPr>
        <w:t>（2） 向约定的人民法院提起诉讼。</w:t>
      </w:r>
    </w:p>
    <w:bookmarkEnd w:id="296"/>
    <w:bookmarkEnd w:id="297"/>
    <w:bookmarkEnd w:id="298"/>
    <w:p w14:paraId="5DD4F27C">
      <w:pPr>
        <w:pStyle w:val="372"/>
        <w:spacing w:beforeLines="0" w:afterLines="0" w:line="360" w:lineRule="auto"/>
        <w:ind w:firstLine="562"/>
        <w:outlineLvl w:val="1"/>
        <w:rPr>
          <w:b/>
          <w:snapToGrid w:val="0"/>
          <w:color w:val="auto"/>
          <w:kern w:val="0"/>
          <w:highlight w:val="none"/>
          <w:shd w:val="clear" w:color="auto" w:fill="FFFFFF" w:themeFill="background1"/>
        </w:rPr>
      </w:pPr>
      <w:r>
        <w:rPr>
          <w:snapToGrid w:val="0"/>
          <w:color w:val="auto"/>
          <w:kern w:val="0"/>
          <w:highlight w:val="none"/>
          <w:shd w:val="clear" w:color="auto" w:fill="FFFFFF" w:themeFill="background1"/>
        </w:rPr>
        <w:br w:type="page"/>
      </w:r>
      <w:bookmarkStart w:id="299" w:name="_Toc20940"/>
      <w:bookmarkStart w:id="300" w:name="_Toc346269496"/>
      <w:bookmarkStart w:id="301" w:name="_Toc89866141"/>
      <w:bookmarkStart w:id="302" w:name="_Toc446919484"/>
      <w:bookmarkStart w:id="303" w:name="_Toc346269076"/>
      <w:bookmarkStart w:id="304" w:name="_Toc180"/>
      <w:bookmarkStart w:id="305" w:name="_Toc326241909"/>
      <w:bookmarkStart w:id="306" w:name="_Toc27309"/>
      <w:bookmarkStart w:id="307" w:name="_Toc335660914"/>
      <w:bookmarkStart w:id="308" w:name="_Toc335721996"/>
      <w:r>
        <w:rPr>
          <w:rFonts w:hAnsi="宋体"/>
          <w:b/>
          <w:color w:val="auto"/>
          <w:highlight w:val="none"/>
          <w:shd w:val="clear" w:color="auto" w:fill="FFFFFF" w:themeFill="background1"/>
        </w:rPr>
        <w:t>第二节 专用合同条款</w:t>
      </w:r>
      <w:bookmarkEnd w:id="299"/>
      <w:bookmarkEnd w:id="300"/>
      <w:bookmarkEnd w:id="301"/>
      <w:bookmarkEnd w:id="302"/>
      <w:bookmarkEnd w:id="303"/>
      <w:bookmarkEnd w:id="304"/>
      <w:bookmarkEnd w:id="305"/>
      <w:bookmarkEnd w:id="306"/>
      <w:bookmarkEnd w:id="307"/>
      <w:bookmarkEnd w:id="308"/>
    </w:p>
    <w:p w14:paraId="13CCD2BE">
      <w:pPr>
        <w:pStyle w:val="372"/>
        <w:spacing w:beforeLines="0" w:afterLines="0" w:line="360" w:lineRule="auto"/>
        <w:ind w:firstLine="562"/>
        <w:outlineLvl w:val="1"/>
        <w:rPr>
          <w:rFonts w:hAnsi="宋体"/>
          <w:b/>
          <w:color w:val="auto"/>
          <w:highlight w:val="none"/>
          <w:shd w:val="clear" w:color="auto" w:fill="FFFFFF" w:themeFill="background1"/>
        </w:rPr>
      </w:pPr>
      <w:bookmarkStart w:id="309" w:name="_Toc346269077"/>
      <w:bookmarkStart w:id="310" w:name="_Toc335660915"/>
      <w:bookmarkStart w:id="311" w:name="_Toc326241910"/>
      <w:bookmarkStart w:id="312" w:name="_Toc446919485"/>
      <w:bookmarkStart w:id="313" w:name="_Toc335721997"/>
      <w:bookmarkStart w:id="314" w:name="_Toc89866142"/>
      <w:bookmarkStart w:id="315" w:name="_Toc12355"/>
      <w:bookmarkStart w:id="316" w:name="_Toc10152"/>
      <w:bookmarkStart w:id="317" w:name="_Toc10704"/>
      <w:bookmarkStart w:id="318" w:name="_Toc346269497"/>
      <w:r>
        <w:rPr>
          <w:rFonts w:hAnsi="宋体"/>
          <w:b/>
          <w:color w:val="auto"/>
          <w:highlight w:val="none"/>
          <w:shd w:val="clear" w:color="auto" w:fill="FFFFFF" w:themeFill="background1"/>
        </w:rPr>
        <w:t>1. 定义和解释</w:t>
      </w:r>
      <w:bookmarkEnd w:id="309"/>
      <w:bookmarkEnd w:id="310"/>
      <w:bookmarkEnd w:id="311"/>
      <w:bookmarkEnd w:id="312"/>
      <w:bookmarkEnd w:id="313"/>
      <w:bookmarkEnd w:id="314"/>
      <w:bookmarkEnd w:id="315"/>
      <w:bookmarkEnd w:id="316"/>
      <w:bookmarkEnd w:id="317"/>
      <w:bookmarkEnd w:id="318"/>
    </w:p>
    <w:p w14:paraId="7D94E2DA">
      <w:pPr>
        <w:spacing w:line="360" w:lineRule="auto"/>
        <w:ind w:firstLine="420" w:firstLineChars="200"/>
        <w:rPr>
          <w:color w:val="auto"/>
          <w:highlight w:val="none"/>
          <w:shd w:val="clear" w:color="auto" w:fill="FFFFFF" w:themeFill="background1"/>
        </w:rPr>
      </w:pPr>
    </w:p>
    <w:p w14:paraId="5FA47C69">
      <w:pPr>
        <w:spacing w:line="360" w:lineRule="auto"/>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1.1 本合同的项目名称 、建设地点、建设规模：</w:t>
      </w:r>
    </w:p>
    <w:p w14:paraId="1C1FFE87">
      <w:pPr>
        <w:spacing w:line="360" w:lineRule="auto"/>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项目名称：</w:t>
      </w:r>
      <w:r>
        <w:rPr>
          <w:rFonts w:hint="eastAsia" w:ascii="宋体" w:hAnsi="宋体" w:cs="宋体"/>
          <w:color w:val="auto"/>
          <w:sz w:val="21"/>
          <w:szCs w:val="21"/>
          <w:highlight w:val="none"/>
          <w:u w:val="none"/>
          <w:lang w:eastAsia="zh-CN"/>
        </w:rPr>
        <w:t>钦州港1号至12号外锚地建设工程（外1#、外2#锚地及锚地通道）勘察测量及方案设计</w:t>
      </w:r>
      <w:r>
        <w:rPr>
          <w:rFonts w:hint="eastAsia" w:ascii="宋体" w:hAnsi="宋体" w:eastAsia="宋体" w:cs="宋体"/>
          <w:color w:val="auto"/>
          <w:sz w:val="21"/>
          <w:szCs w:val="21"/>
          <w:highlight w:val="none"/>
          <w:u w:val="none"/>
        </w:rPr>
        <w:t>；</w:t>
      </w:r>
    </w:p>
    <w:p w14:paraId="3C0A575D">
      <w:pPr>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建设地点：</w:t>
      </w:r>
      <w:r>
        <w:rPr>
          <w:rFonts w:hint="eastAsia" w:ascii="宋体" w:hAnsi="宋体" w:eastAsia="宋体" w:cs="宋体"/>
          <w:color w:val="auto"/>
          <w:sz w:val="21"/>
          <w:szCs w:val="21"/>
          <w:highlight w:val="none"/>
          <w:u w:val="none"/>
          <w:lang w:eastAsia="zh-CN"/>
        </w:rPr>
        <w:t>钦州港</w:t>
      </w:r>
    </w:p>
    <w:p w14:paraId="59AC9117">
      <w:pPr>
        <w:spacing w:line="360" w:lineRule="auto"/>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建设规模：</w:t>
      </w:r>
      <w:r>
        <w:rPr>
          <w:rFonts w:hint="eastAsia" w:ascii="宋体" w:hAnsi="宋体" w:cs="宋体"/>
          <w:color w:val="auto"/>
          <w:sz w:val="21"/>
          <w:szCs w:val="21"/>
          <w:highlight w:val="none"/>
          <w:u w:val="none"/>
          <w:lang w:eastAsia="zh-CN"/>
        </w:rPr>
        <w:t>钦州港1号至12号外锚地建设工程（外1#、外2#锚地及锚地通道）勘察测量及方案设计</w:t>
      </w:r>
      <w:r>
        <w:rPr>
          <w:rFonts w:hint="eastAsia" w:ascii="宋体" w:hAnsi="宋体" w:eastAsia="宋体" w:cs="宋体"/>
          <w:color w:val="auto"/>
          <w:sz w:val="21"/>
          <w:szCs w:val="21"/>
          <w:highlight w:val="none"/>
          <w:u w:val="none"/>
          <w:lang w:eastAsia="zh-CN"/>
        </w:rPr>
        <w:t>，根据《北部湾港总体规划（2035年）》开展</w:t>
      </w:r>
      <w:r>
        <w:rPr>
          <w:rFonts w:hint="eastAsia" w:ascii="宋体" w:hAnsi="宋体" w:cs="宋体"/>
          <w:color w:val="auto"/>
          <w:sz w:val="21"/>
          <w:szCs w:val="21"/>
          <w:highlight w:val="none"/>
          <w:u w:val="none"/>
          <w:lang w:eastAsia="zh-CN"/>
        </w:rPr>
        <w:t>外1#、外2#锚地及锚地通道勘察测量，规划面积746.75平方公里，本次招标其中多波束扫海测量不少于约51.65平方公里，1:2000测量面积不少于约252.50平方公里，岩土勘察钻孔不少于约68个</w:t>
      </w:r>
      <w:r>
        <w:rPr>
          <w:rFonts w:hint="eastAsia" w:ascii="宋体" w:hAnsi="宋体" w:eastAsia="宋体" w:cs="宋体"/>
          <w:color w:val="auto"/>
          <w:sz w:val="21"/>
          <w:szCs w:val="21"/>
          <w:highlight w:val="none"/>
          <w:u w:val="none"/>
          <w:lang w:eastAsia="zh-CN"/>
        </w:rPr>
        <w:t>；开展有关方案设计及专题报告编制</w:t>
      </w:r>
      <w:r>
        <w:rPr>
          <w:rFonts w:hint="eastAsia" w:ascii="宋体" w:hAnsi="宋体" w:eastAsia="宋体" w:cs="宋体"/>
          <w:color w:val="auto"/>
          <w:sz w:val="21"/>
          <w:szCs w:val="21"/>
          <w:highlight w:val="none"/>
          <w:u w:val="none"/>
        </w:rPr>
        <w:t>。</w:t>
      </w:r>
    </w:p>
    <w:p w14:paraId="044354CE">
      <w:pPr>
        <w:spacing w:line="360" w:lineRule="auto"/>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1.2 本合同的发包人：广西壮族自治区港航发展中心。</w:t>
      </w:r>
    </w:p>
    <w:p w14:paraId="55CD28B5">
      <w:pPr>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1.3 本合同的承包人：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（即成交人） 。</w:t>
      </w:r>
    </w:p>
    <w:p w14:paraId="1F8F300B">
      <w:pPr>
        <w:spacing w:line="360" w:lineRule="auto"/>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1.10本合同包括的具体采购范围及内容：</w:t>
      </w:r>
      <w:r>
        <w:rPr>
          <w:rFonts w:hint="eastAsia" w:ascii="宋体" w:hAnsi="宋体" w:eastAsia="宋体" w:cs="宋体"/>
          <w:color w:val="auto"/>
          <w:sz w:val="21"/>
          <w:szCs w:val="21"/>
          <w:highlight w:val="none"/>
          <w:u w:val="none"/>
          <w:lang w:eastAsia="zh-CN"/>
        </w:rPr>
        <w:t>根据《北部湾港总体规划（2035年）》开展</w:t>
      </w:r>
      <w:r>
        <w:rPr>
          <w:rFonts w:hint="eastAsia" w:ascii="宋体" w:hAnsi="宋体" w:cs="宋体"/>
          <w:color w:val="auto"/>
          <w:sz w:val="21"/>
          <w:szCs w:val="21"/>
          <w:highlight w:val="none"/>
          <w:u w:val="none"/>
          <w:lang w:eastAsia="zh-CN"/>
        </w:rPr>
        <w:t>外1#、外2#锚地及锚地通道勘察测量，规划面积746.75平方公里，本次招标其中多波束扫海测量不少于约51.65平方公里，1:2000测量面积不少于约252.50平方公里，岩土勘察钻孔不少于约68个</w:t>
      </w:r>
      <w:r>
        <w:rPr>
          <w:rFonts w:hint="eastAsia" w:ascii="宋体" w:hAnsi="宋体" w:eastAsia="宋体" w:cs="宋体"/>
          <w:color w:val="auto"/>
          <w:sz w:val="21"/>
          <w:szCs w:val="21"/>
          <w:highlight w:val="none"/>
          <w:u w:val="none"/>
          <w:lang w:eastAsia="zh-CN"/>
        </w:rPr>
        <w:t>；开展有关方案设计及专题报告编制</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承包人正式开展工作前由采购人书面确认。</w:t>
      </w:r>
    </w:p>
    <w:p w14:paraId="2B9092F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1.11 本合同的</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文件：包括承包人按合同约定向发包人提交的</w:t>
      </w:r>
      <w:r>
        <w:rPr>
          <w:rFonts w:hint="eastAsia" w:ascii="宋体" w:hAnsi="宋体" w:eastAsia="宋体" w:cs="宋体"/>
          <w:color w:val="auto"/>
          <w:sz w:val="21"/>
          <w:szCs w:val="21"/>
          <w:highlight w:val="none"/>
          <w:u w:val="none"/>
          <w:lang w:eastAsia="zh-CN"/>
        </w:rPr>
        <w:t>咨询报告、勘察报告</w:t>
      </w:r>
      <w:r>
        <w:rPr>
          <w:rFonts w:hint="eastAsia" w:ascii="宋体" w:hAnsi="宋体" w:eastAsia="宋体" w:cs="宋体"/>
          <w:color w:val="auto"/>
          <w:sz w:val="21"/>
          <w:szCs w:val="21"/>
          <w:highlight w:val="none"/>
          <w:u w:val="none"/>
        </w:rPr>
        <w:t>、服务大纲、</w:t>
      </w:r>
      <w:r>
        <w:rPr>
          <w:rFonts w:hint="eastAsia" w:ascii="宋体" w:hAnsi="宋体" w:eastAsia="宋体" w:cs="宋体"/>
          <w:color w:val="auto"/>
          <w:sz w:val="21"/>
          <w:szCs w:val="21"/>
          <w:highlight w:val="none"/>
          <w:u w:val="none"/>
          <w:lang w:val="en-US" w:eastAsia="zh-CN"/>
        </w:rPr>
        <w:t>技术</w:t>
      </w:r>
      <w:r>
        <w:rPr>
          <w:rFonts w:hint="eastAsia" w:ascii="宋体" w:hAnsi="宋体" w:eastAsia="宋体" w:cs="宋体"/>
          <w:color w:val="auto"/>
          <w:sz w:val="21"/>
          <w:szCs w:val="21"/>
          <w:highlight w:val="none"/>
          <w:u w:val="none"/>
        </w:rPr>
        <w:t>方案、外业指导书、进度计划、图纸、计算书、软件和其他文件等，包括阶段性文件和最终文件，且应当采用合同中双方约定的格式和载体。</w:t>
      </w:r>
      <w:r>
        <w:rPr>
          <w:rFonts w:hint="eastAsia" w:ascii="宋体" w:hAnsi="宋体" w:eastAsia="宋体" w:cs="宋体"/>
          <w:color w:val="auto"/>
          <w:sz w:val="21"/>
          <w:szCs w:val="21"/>
          <w:highlight w:val="none"/>
          <w:u w:val="none"/>
          <w:lang w:eastAsia="zh-CN"/>
        </w:rPr>
        <w:t>勘察报告</w:t>
      </w:r>
      <w:r>
        <w:rPr>
          <w:rFonts w:hint="eastAsia" w:ascii="宋体" w:hAnsi="宋体" w:eastAsia="宋体" w:cs="宋体"/>
          <w:color w:val="auto"/>
          <w:sz w:val="21"/>
          <w:szCs w:val="21"/>
          <w:highlight w:val="none"/>
          <w:u w:val="none"/>
        </w:rPr>
        <w:t>包括：</w:t>
      </w:r>
    </w:p>
    <w:p w14:paraId="023BA26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按照现行《水运工程测量规范》等国家和行业的标准规范的规定，提交控制网点布置图、点之记资料、成果表、所测绘的水深测量图纸、测量工作技术报告</w:t>
      </w:r>
      <w:r>
        <w:rPr>
          <w:rFonts w:hint="eastAsia" w:ascii="宋体" w:hAnsi="宋体" w:eastAsia="宋体" w:cs="宋体"/>
          <w:color w:val="auto"/>
          <w:sz w:val="21"/>
          <w:szCs w:val="21"/>
          <w:highlight w:val="none"/>
          <w:u w:val="none"/>
          <w:lang w:eastAsia="zh-CN"/>
        </w:rPr>
        <w:t>、多波束扫测报告</w:t>
      </w:r>
      <w:r>
        <w:rPr>
          <w:rFonts w:hint="eastAsia" w:ascii="宋体" w:hAnsi="宋体" w:eastAsia="宋体" w:cs="宋体"/>
          <w:color w:val="auto"/>
          <w:sz w:val="21"/>
          <w:szCs w:val="21"/>
          <w:highlight w:val="none"/>
          <w:u w:val="none"/>
        </w:rPr>
        <w:t>等测量成果。</w:t>
      </w:r>
    </w:p>
    <w:p w14:paraId="147EE1C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按照现行《水运工程岩土勘察规范》等国家和行业的标准规范的规定，提交勘察报告。</w:t>
      </w:r>
    </w:p>
    <w:p w14:paraId="1223AC7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1.12本合同的</w:t>
      </w:r>
      <w:r>
        <w:rPr>
          <w:rFonts w:hint="eastAsia" w:ascii="宋体" w:hAnsi="宋体" w:eastAsia="宋体" w:cs="宋体"/>
          <w:color w:val="auto"/>
          <w:sz w:val="21"/>
          <w:szCs w:val="21"/>
          <w:highlight w:val="none"/>
          <w:u w:val="none"/>
          <w:lang w:val="en-US" w:eastAsia="zh-CN"/>
        </w:rPr>
        <w:t>成果</w:t>
      </w:r>
      <w:r>
        <w:rPr>
          <w:rFonts w:hint="eastAsia" w:ascii="宋体" w:hAnsi="宋体" w:eastAsia="宋体" w:cs="宋体"/>
          <w:color w:val="auto"/>
          <w:sz w:val="21"/>
          <w:szCs w:val="21"/>
          <w:highlight w:val="none"/>
          <w:u w:val="none"/>
        </w:rPr>
        <w:t>文件：</w:t>
      </w:r>
    </w:p>
    <w:p w14:paraId="6EEC9D01">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测量工作技术报告</w:t>
      </w:r>
      <w:r>
        <w:rPr>
          <w:rFonts w:hint="eastAsia" w:ascii="宋体" w:hAnsi="宋体" w:cs="宋体"/>
          <w:color w:val="auto"/>
          <w:sz w:val="21"/>
          <w:szCs w:val="21"/>
          <w:highlight w:val="none"/>
          <w:u w:val="none"/>
          <w:lang w:eastAsia="zh-CN"/>
        </w:rPr>
        <w:t>、岩土工程</w:t>
      </w:r>
      <w:r>
        <w:rPr>
          <w:rFonts w:hint="eastAsia" w:ascii="宋体" w:hAnsi="宋体" w:eastAsia="宋体" w:cs="宋体"/>
          <w:color w:val="auto"/>
          <w:sz w:val="21"/>
          <w:szCs w:val="21"/>
          <w:highlight w:val="none"/>
          <w:u w:val="none"/>
          <w:lang w:eastAsia="zh-CN"/>
        </w:rPr>
        <w:t>勘察报告。</w:t>
      </w:r>
    </w:p>
    <w:p w14:paraId="7611A44A">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方案设计。</w:t>
      </w:r>
    </w:p>
    <w:p w14:paraId="36EDADCB">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通航安全评估报告（或者海事机构规定的报告名称）。</w:t>
      </w:r>
    </w:p>
    <w:p w14:paraId="6ADF5929">
      <w:pPr>
        <w:keepNext w:val="0"/>
        <w:keepLines w:val="0"/>
        <w:pageBreakBefore w:val="0"/>
        <w:widowControl w:val="0"/>
        <w:numPr>
          <w:ilvl w:val="0"/>
          <w:numId w:val="27"/>
        </w:numPr>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其他专题咨询报告（如有）。</w:t>
      </w:r>
    </w:p>
    <w:p w14:paraId="107B8437">
      <w:pPr>
        <w:pStyle w:val="372"/>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hint="eastAsia" w:hAnsi="宋体"/>
          <w:b/>
          <w:color w:val="auto"/>
          <w:highlight w:val="none"/>
          <w:shd w:val="clear" w:color="auto" w:fill="FFFFFF" w:themeFill="background1"/>
        </w:rPr>
      </w:pPr>
      <w:r>
        <w:rPr>
          <w:rFonts w:hint="eastAsia" w:hAnsi="宋体"/>
          <w:b/>
          <w:color w:val="auto"/>
          <w:highlight w:val="none"/>
          <w:shd w:val="clear" w:color="auto" w:fill="FFFFFF" w:themeFill="background1"/>
        </w:rPr>
        <w:t>2. 发包人的责任与义务</w:t>
      </w:r>
    </w:p>
    <w:p w14:paraId="69DBF3E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2.8 发包人应履行的其他责任：负责组织专家或委托咨询单位对</w:t>
      </w:r>
      <w:r>
        <w:rPr>
          <w:rFonts w:hint="eastAsia" w:ascii="宋体" w:hAnsi="宋体" w:eastAsia="宋体" w:cs="宋体"/>
          <w:color w:val="auto"/>
          <w:sz w:val="21"/>
          <w:szCs w:val="21"/>
          <w:highlight w:val="none"/>
          <w:u w:val="none"/>
          <w:lang w:eastAsia="zh-CN"/>
        </w:rPr>
        <w:t>勘察咨询服务成果</w:t>
      </w:r>
      <w:r>
        <w:rPr>
          <w:rFonts w:hint="eastAsia" w:ascii="宋体" w:hAnsi="宋体" w:eastAsia="宋体" w:cs="宋体"/>
          <w:color w:val="auto"/>
          <w:sz w:val="21"/>
          <w:szCs w:val="21"/>
          <w:highlight w:val="none"/>
          <w:u w:val="none"/>
        </w:rPr>
        <w:t>进行审查，并负责</w:t>
      </w:r>
      <w:r>
        <w:rPr>
          <w:rFonts w:hint="eastAsia" w:ascii="宋体" w:hAnsi="宋体" w:eastAsia="宋体" w:cs="宋体"/>
          <w:color w:val="auto"/>
          <w:sz w:val="21"/>
          <w:szCs w:val="21"/>
          <w:highlight w:val="none"/>
          <w:u w:val="none"/>
          <w:lang w:val="en-US" w:eastAsia="zh-CN"/>
        </w:rPr>
        <w:t>勘察咨询服务成果</w:t>
      </w:r>
      <w:r>
        <w:rPr>
          <w:rFonts w:hint="eastAsia" w:ascii="宋体" w:hAnsi="宋体" w:eastAsia="宋体" w:cs="宋体"/>
          <w:color w:val="auto"/>
          <w:sz w:val="21"/>
          <w:szCs w:val="21"/>
          <w:highlight w:val="none"/>
          <w:u w:val="none"/>
        </w:rPr>
        <w:t>的报审工作。</w:t>
      </w:r>
    </w:p>
    <w:p w14:paraId="436E395D">
      <w:pPr>
        <w:spacing w:line="360" w:lineRule="auto"/>
        <w:ind w:firstLine="420" w:firstLineChars="200"/>
        <w:jc w:val="both"/>
        <w:rPr>
          <w:rFonts w:hint="eastAsia" w:ascii="宋体" w:hAnsi="宋体" w:eastAsia="宋体" w:cs="宋体"/>
          <w:color w:val="auto"/>
          <w:sz w:val="21"/>
          <w:szCs w:val="21"/>
          <w:highlight w:val="none"/>
          <w:u w:val="single"/>
        </w:rPr>
      </w:pPr>
    </w:p>
    <w:p w14:paraId="1A7ACAA6">
      <w:pPr>
        <w:rPr>
          <w:rFonts w:hint="eastAsia" w:hAnsi="宋体"/>
          <w:b/>
          <w:color w:val="auto"/>
          <w:highlight w:val="none"/>
          <w:shd w:val="clear" w:color="auto" w:fill="FFFFFF" w:themeFill="background1"/>
        </w:rPr>
      </w:pPr>
    </w:p>
    <w:p w14:paraId="44092831">
      <w:pPr>
        <w:pStyle w:val="372"/>
        <w:spacing w:beforeLines="0" w:afterLines="0"/>
        <w:ind w:firstLine="562"/>
        <w:outlineLvl w:val="1"/>
        <w:rPr>
          <w:rFonts w:hint="eastAsia" w:hAnsi="宋体"/>
          <w:b/>
          <w:color w:val="auto"/>
          <w:highlight w:val="none"/>
          <w:shd w:val="clear" w:color="auto" w:fill="FFFFFF" w:themeFill="background1"/>
        </w:rPr>
      </w:pPr>
      <w:r>
        <w:rPr>
          <w:rFonts w:hint="eastAsia" w:hAnsi="宋体"/>
          <w:b/>
          <w:color w:val="auto"/>
          <w:highlight w:val="none"/>
          <w:shd w:val="clear" w:color="auto" w:fill="FFFFFF" w:themeFill="background1"/>
        </w:rPr>
        <w:t>3. 承包人的责任与义务</w:t>
      </w:r>
    </w:p>
    <w:p w14:paraId="1AA0A944">
      <w:pPr>
        <w:spacing w:line="360" w:lineRule="auto"/>
        <w:ind w:firstLine="420" w:firstLineChars="200"/>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3.6.1.1项目负责人：</w:t>
      </w:r>
    </w:p>
    <w:p w14:paraId="71AF60F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rPr>
        <w:t xml:space="preserve">姓名：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2D3027D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传真号码：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9623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收信地址：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56A4E8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投标</w:t>
      </w:r>
      <w:r>
        <w:rPr>
          <w:rFonts w:hint="eastAsia" w:ascii="宋体" w:hAnsi="宋体" w:eastAsia="宋体" w:cs="宋体"/>
          <w:color w:val="auto"/>
          <w:sz w:val="21"/>
          <w:szCs w:val="21"/>
          <w:highlight w:val="none"/>
          <w:u w:val="none"/>
        </w:rPr>
        <w:t>文件中承诺投入本项目的主要人员汇总表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901"/>
        <w:gridCol w:w="3411"/>
        <w:gridCol w:w="1799"/>
        <w:gridCol w:w="1800"/>
      </w:tblGrid>
      <w:tr w14:paraId="0FF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top"/>
          </w:tcPr>
          <w:p w14:paraId="6200F0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901" w:type="dxa"/>
            <w:noWrap w:val="0"/>
            <w:vAlign w:val="top"/>
          </w:tcPr>
          <w:p w14:paraId="4CC5E4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性别</w:t>
            </w:r>
          </w:p>
        </w:tc>
        <w:tc>
          <w:tcPr>
            <w:tcW w:w="3411" w:type="dxa"/>
            <w:noWrap w:val="0"/>
            <w:vAlign w:val="top"/>
          </w:tcPr>
          <w:p w14:paraId="2CF68A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拟在本项目中担任的职务</w:t>
            </w:r>
          </w:p>
        </w:tc>
        <w:tc>
          <w:tcPr>
            <w:tcW w:w="1799" w:type="dxa"/>
            <w:noWrap w:val="0"/>
            <w:vAlign w:val="top"/>
          </w:tcPr>
          <w:p w14:paraId="5695E0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800" w:type="dxa"/>
            <w:noWrap w:val="0"/>
            <w:vAlign w:val="top"/>
          </w:tcPr>
          <w:p w14:paraId="2E1A6C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从事专业</w:t>
            </w:r>
          </w:p>
        </w:tc>
      </w:tr>
      <w:tr w14:paraId="778D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top"/>
          </w:tcPr>
          <w:p w14:paraId="2BA2C9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901" w:type="dxa"/>
            <w:noWrap w:val="0"/>
            <w:vAlign w:val="top"/>
          </w:tcPr>
          <w:p w14:paraId="501997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3411" w:type="dxa"/>
            <w:noWrap w:val="0"/>
            <w:vAlign w:val="top"/>
          </w:tcPr>
          <w:p w14:paraId="0D1911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799" w:type="dxa"/>
            <w:noWrap w:val="0"/>
            <w:vAlign w:val="top"/>
          </w:tcPr>
          <w:p w14:paraId="4A832B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1800" w:type="dxa"/>
            <w:noWrap w:val="0"/>
            <w:vAlign w:val="top"/>
          </w:tcPr>
          <w:p w14:paraId="5EACE4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r>
      <w:tr w14:paraId="4F1B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top"/>
          </w:tcPr>
          <w:p w14:paraId="63E60C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901" w:type="dxa"/>
            <w:noWrap w:val="0"/>
            <w:vAlign w:val="top"/>
          </w:tcPr>
          <w:p w14:paraId="581A52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3411" w:type="dxa"/>
            <w:noWrap w:val="0"/>
            <w:vAlign w:val="top"/>
          </w:tcPr>
          <w:p w14:paraId="640B13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测量负责人</w:t>
            </w:r>
          </w:p>
        </w:tc>
        <w:tc>
          <w:tcPr>
            <w:tcW w:w="1799" w:type="dxa"/>
            <w:noWrap w:val="0"/>
            <w:vAlign w:val="top"/>
          </w:tcPr>
          <w:p w14:paraId="3CA329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1800" w:type="dxa"/>
            <w:noWrap w:val="0"/>
            <w:vAlign w:val="top"/>
          </w:tcPr>
          <w:p w14:paraId="493569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r>
      <w:tr w14:paraId="092B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top"/>
          </w:tcPr>
          <w:p w14:paraId="301B78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901" w:type="dxa"/>
            <w:noWrap w:val="0"/>
            <w:vAlign w:val="top"/>
          </w:tcPr>
          <w:p w14:paraId="33668D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3411" w:type="dxa"/>
            <w:noWrap w:val="0"/>
            <w:vAlign w:val="top"/>
          </w:tcPr>
          <w:p w14:paraId="2F4280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岩土勘察负责人</w:t>
            </w:r>
          </w:p>
        </w:tc>
        <w:tc>
          <w:tcPr>
            <w:tcW w:w="1799" w:type="dxa"/>
            <w:noWrap w:val="0"/>
            <w:vAlign w:val="top"/>
          </w:tcPr>
          <w:p w14:paraId="17F680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1800" w:type="dxa"/>
            <w:noWrap w:val="0"/>
            <w:vAlign w:val="top"/>
          </w:tcPr>
          <w:p w14:paraId="2B7C91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r>
      <w:tr w14:paraId="27B8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top"/>
          </w:tcPr>
          <w:p w14:paraId="531C78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901" w:type="dxa"/>
            <w:noWrap w:val="0"/>
            <w:vAlign w:val="top"/>
          </w:tcPr>
          <w:p w14:paraId="6DECDE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3411" w:type="dxa"/>
            <w:noWrap w:val="0"/>
            <w:vAlign w:val="top"/>
          </w:tcPr>
          <w:p w14:paraId="2B29A9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专题论证</w:t>
            </w:r>
            <w:r>
              <w:rPr>
                <w:rFonts w:hint="eastAsia" w:ascii="宋体" w:hAnsi="宋体" w:eastAsia="宋体" w:cs="宋体"/>
                <w:color w:val="auto"/>
                <w:szCs w:val="21"/>
                <w:highlight w:val="none"/>
              </w:rPr>
              <w:t>负责人</w:t>
            </w:r>
          </w:p>
        </w:tc>
        <w:tc>
          <w:tcPr>
            <w:tcW w:w="1799" w:type="dxa"/>
            <w:noWrap w:val="0"/>
            <w:vAlign w:val="top"/>
          </w:tcPr>
          <w:p w14:paraId="063F1E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1800" w:type="dxa"/>
            <w:noWrap w:val="0"/>
            <w:vAlign w:val="top"/>
          </w:tcPr>
          <w:p w14:paraId="5A7A6D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r>
      <w:tr w14:paraId="3BB2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top"/>
          </w:tcPr>
          <w:p w14:paraId="53DA09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901" w:type="dxa"/>
            <w:noWrap w:val="0"/>
            <w:vAlign w:val="top"/>
          </w:tcPr>
          <w:p w14:paraId="1F5BD3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3411" w:type="dxa"/>
            <w:noWrap w:val="0"/>
            <w:vAlign w:val="top"/>
          </w:tcPr>
          <w:p w14:paraId="00C7C4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Cs w:val="21"/>
                <w:highlight w:val="none"/>
              </w:rPr>
            </w:pPr>
          </w:p>
        </w:tc>
        <w:tc>
          <w:tcPr>
            <w:tcW w:w="1799" w:type="dxa"/>
            <w:noWrap w:val="0"/>
            <w:vAlign w:val="top"/>
          </w:tcPr>
          <w:p w14:paraId="26EF24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c>
          <w:tcPr>
            <w:tcW w:w="1800" w:type="dxa"/>
            <w:noWrap w:val="0"/>
            <w:vAlign w:val="top"/>
          </w:tcPr>
          <w:p w14:paraId="4D213EA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tc>
      </w:tr>
    </w:tbl>
    <w:p w14:paraId="5E03DB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 承包人应履行的其他责任：</w:t>
      </w:r>
    </w:p>
    <w:p w14:paraId="076F3FC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3.9.1 承包人应按国家现行技术标准、规范、规程及发包人提出的要求，组织开展</w:t>
      </w:r>
      <w:r>
        <w:rPr>
          <w:rFonts w:hint="eastAsia" w:ascii="宋体" w:hAnsi="宋体" w:eastAsia="宋体" w:cs="宋体"/>
          <w:color w:val="auto"/>
          <w:sz w:val="21"/>
          <w:szCs w:val="21"/>
          <w:highlight w:val="none"/>
          <w:u w:val="none"/>
          <w:lang w:eastAsia="zh-CN"/>
        </w:rPr>
        <w:t>勘察咨询服务工作</w:t>
      </w:r>
      <w:r>
        <w:rPr>
          <w:rFonts w:hint="eastAsia" w:ascii="宋体" w:hAnsi="宋体" w:eastAsia="宋体" w:cs="宋体"/>
          <w:color w:val="auto"/>
          <w:sz w:val="21"/>
          <w:szCs w:val="21"/>
          <w:highlight w:val="none"/>
          <w:u w:val="none"/>
        </w:rPr>
        <w:t>，及时处理</w:t>
      </w:r>
      <w:r>
        <w:rPr>
          <w:rFonts w:hint="eastAsia" w:ascii="宋体" w:hAnsi="宋体" w:eastAsia="宋体" w:cs="宋体"/>
          <w:color w:val="auto"/>
          <w:sz w:val="21"/>
          <w:szCs w:val="21"/>
          <w:highlight w:val="none"/>
          <w:u w:val="none"/>
          <w:lang w:val="en-US" w:eastAsia="zh-CN"/>
        </w:rPr>
        <w:t>勘察咨询服务</w:t>
      </w:r>
      <w:r>
        <w:rPr>
          <w:rFonts w:hint="eastAsia" w:ascii="宋体" w:hAnsi="宋体" w:eastAsia="宋体" w:cs="宋体"/>
          <w:color w:val="auto"/>
          <w:sz w:val="21"/>
          <w:szCs w:val="21"/>
          <w:highlight w:val="none"/>
          <w:u w:val="none"/>
        </w:rPr>
        <w:t>工作遇到的各类技术、协调问题，并对其研究进度和质量负责，确保</w:t>
      </w:r>
      <w:r>
        <w:rPr>
          <w:rFonts w:hint="eastAsia" w:ascii="宋体" w:hAnsi="宋体" w:eastAsia="宋体" w:cs="宋体"/>
          <w:color w:val="auto"/>
          <w:sz w:val="21"/>
          <w:szCs w:val="21"/>
          <w:highlight w:val="none"/>
          <w:u w:val="none"/>
          <w:lang w:val="en-US" w:eastAsia="zh-CN"/>
        </w:rPr>
        <w:t>勘察咨询服务工作按约定工期完成</w:t>
      </w:r>
      <w:r>
        <w:rPr>
          <w:rFonts w:hint="eastAsia" w:ascii="宋体" w:hAnsi="宋体" w:eastAsia="宋体" w:cs="宋体"/>
          <w:color w:val="auto"/>
          <w:sz w:val="21"/>
          <w:szCs w:val="21"/>
          <w:highlight w:val="none"/>
          <w:u w:val="none"/>
          <w:lang w:eastAsia="zh-CN"/>
        </w:rPr>
        <w:t>；按本合同约定和发包人要求提供后续服务</w:t>
      </w:r>
      <w:r>
        <w:rPr>
          <w:rFonts w:hint="eastAsia" w:ascii="宋体" w:hAnsi="宋体" w:eastAsia="宋体" w:cs="宋体"/>
          <w:color w:val="auto"/>
          <w:sz w:val="21"/>
          <w:szCs w:val="21"/>
          <w:highlight w:val="none"/>
          <w:u w:val="none"/>
        </w:rPr>
        <w:t>。</w:t>
      </w:r>
    </w:p>
    <w:p w14:paraId="03B13A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承包人人应按合同约定，自备及提供为完成</w:t>
      </w:r>
      <w:r>
        <w:rPr>
          <w:rFonts w:hint="eastAsia" w:ascii="宋体" w:hAnsi="宋体" w:eastAsia="宋体" w:cs="宋体"/>
          <w:color w:val="auto"/>
          <w:sz w:val="21"/>
          <w:szCs w:val="21"/>
          <w:highlight w:val="none"/>
          <w:u w:val="none"/>
          <w:lang w:val="en-US" w:eastAsia="zh-CN"/>
        </w:rPr>
        <w:t>勘察咨询</w:t>
      </w:r>
      <w:r>
        <w:rPr>
          <w:rFonts w:hint="eastAsia" w:ascii="宋体" w:hAnsi="宋体" w:eastAsia="宋体" w:cs="宋体"/>
          <w:color w:val="auto"/>
          <w:sz w:val="21"/>
          <w:szCs w:val="21"/>
          <w:highlight w:val="none"/>
          <w:u w:val="none"/>
        </w:rPr>
        <w:t>服务所需的劳务、材料、设备、设施等，并应自行承担</w:t>
      </w:r>
      <w:r>
        <w:rPr>
          <w:rFonts w:hint="eastAsia" w:ascii="宋体" w:hAnsi="宋体" w:eastAsia="宋体" w:cs="宋体"/>
          <w:color w:val="auto"/>
          <w:sz w:val="21"/>
          <w:szCs w:val="21"/>
          <w:highlight w:val="none"/>
          <w:u w:val="none"/>
          <w:lang w:val="en-US" w:eastAsia="zh-CN"/>
        </w:rPr>
        <w:t>勘察咨询</w:t>
      </w:r>
      <w:r>
        <w:rPr>
          <w:rFonts w:hint="eastAsia" w:ascii="宋体" w:hAnsi="宋体" w:eastAsia="宋体" w:cs="宋体"/>
          <w:color w:val="auto"/>
          <w:sz w:val="21"/>
          <w:szCs w:val="21"/>
          <w:highlight w:val="none"/>
          <w:u w:val="none"/>
        </w:rPr>
        <w:t>场地临时设施的搭设、维护、管理和拆除。</w:t>
      </w:r>
    </w:p>
    <w:p w14:paraId="495A109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3.9.2 </w:t>
      </w:r>
      <w:r>
        <w:rPr>
          <w:rFonts w:hint="eastAsia" w:ascii="宋体" w:hAnsi="宋体" w:eastAsia="宋体" w:cs="宋体"/>
          <w:color w:val="auto"/>
          <w:sz w:val="21"/>
          <w:szCs w:val="21"/>
          <w:highlight w:val="none"/>
          <w:u w:val="none"/>
          <w:lang w:val="en-US" w:eastAsia="zh-CN"/>
        </w:rPr>
        <w:t>勘察咨询</w:t>
      </w:r>
      <w:r>
        <w:rPr>
          <w:rFonts w:hint="eastAsia" w:ascii="宋体" w:hAnsi="宋体" w:eastAsia="宋体" w:cs="宋体"/>
          <w:color w:val="auto"/>
          <w:sz w:val="21"/>
          <w:szCs w:val="21"/>
          <w:highlight w:val="none"/>
          <w:u w:val="none"/>
        </w:rPr>
        <w:t>所需的证件和批件由承包人负责办理，发包人给予必要的协助。由此发生的费用已包含在承包人的投标报价中，发包人不另行支付。</w:t>
      </w:r>
    </w:p>
    <w:p w14:paraId="5BA9CDD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（1）承包人人应按有关规定办理水上水下活动许可或其他有关许可。</w:t>
      </w:r>
    </w:p>
    <w:p w14:paraId="3978647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（2）在</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过程中，存在与本项目相干扰的铁路、航道、管线、电力电信缆线及其他设施或特殊保护区域的，承包人人应按有关行政管理部门的要求，办理有关审批手续，确保本项目顺利实施。</w:t>
      </w:r>
    </w:p>
    <w:p w14:paraId="67D505E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（3）需临时占地的，由承包人向行政管理部门申请，按照要求制定占地施工方案，并据此实施。临时占地使用完毕后，承包人应当按照行政管理部门规定恢复临时占地。</w:t>
      </w:r>
    </w:p>
    <w:p w14:paraId="4159EC8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（4）承包人水上作业船、排、平台的租用；负责青苗、树木以及水域养殖赔偿物赔偿等。</w:t>
      </w:r>
    </w:p>
    <w:p w14:paraId="220A865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3.9.3 承包人应按合同规定的时限及份数，向发包人提交质量合格的</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文件（包含阶段性文件和最终</w:t>
      </w:r>
      <w:r>
        <w:rPr>
          <w:rFonts w:hint="eastAsia" w:ascii="宋体" w:hAnsi="宋体" w:eastAsia="宋体" w:cs="宋体"/>
          <w:color w:val="auto"/>
          <w:sz w:val="21"/>
          <w:szCs w:val="21"/>
          <w:highlight w:val="none"/>
          <w:u w:val="none"/>
          <w:lang w:eastAsia="zh-CN"/>
        </w:rPr>
        <w:t>成果</w:t>
      </w:r>
      <w:r>
        <w:rPr>
          <w:rFonts w:hint="eastAsia" w:ascii="宋体" w:hAnsi="宋体" w:eastAsia="宋体" w:cs="宋体"/>
          <w:color w:val="auto"/>
          <w:sz w:val="21"/>
          <w:szCs w:val="21"/>
          <w:highlight w:val="none"/>
          <w:u w:val="none"/>
        </w:rPr>
        <w:t>文件；纸质文件和电子版文件），接受发包人或发包人上级主管部门的审查。发包人、审查咨询单位、发包人上级主管部门对</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文件的审查并不免除承包人的责任。</w:t>
      </w:r>
    </w:p>
    <w:p w14:paraId="2893202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文件存在错误、遗漏、含混、矛盾、不充分之处或其他缺陷，无论</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文件是否通过了发包人审查或审查机构审查，承包人均应自费对前述问题带来的缺陷和问题进行改正，但由于发包人提供的文件错误导致的除外。</w:t>
      </w:r>
    </w:p>
    <w:p w14:paraId="002F9A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3.9.4 承包人应配合发包人开展各项报审工作，积极参与、跟踪各项审查活动，及时按照有关行政审批部门对勘察</w:t>
      </w:r>
      <w:r>
        <w:rPr>
          <w:rFonts w:hint="eastAsia" w:ascii="宋体" w:hAnsi="宋体" w:eastAsia="宋体" w:cs="宋体"/>
          <w:color w:val="auto"/>
          <w:sz w:val="21"/>
          <w:szCs w:val="21"/>
          <w:highlight w:val="none"/>
          <w:u w:val="none"/>
          <w:lang w:eastAsia="zh-CN"/>
        </w:rPr>
        <w:t>咨询</w:t>
      </w:r>
      <w:r>
        <w:rPr>
          <w:rFonts w:hint="eastAsia" w:ascii="宋体" w:hAnsi="宋体" w:eastAsia="宋体" w:cs="宋体"/>
          <w:color w:val="auto"/>
          <w:sz w:val="21"/>
          <w:szCs w:val="21"/>
          <w:highlight w:val="none"/>
          <w:u w:val="none"/>
        </w:rPr>
        <w:t>文件的审查意见进行修改完善。</w:t>
      </w:r>
    </w:p>
    <w:p w14:paraId="1D3CA76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3.9.5 </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设备要求</w:t>
      </w:r>
    </w:p>
    <w:p w14:paraId="578695F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3.9.5.1 承包人应按合同进度计划的要求，及时配置</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设备进行作业。承包人更换合同约定的</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设备的，应报发包人批准。</w:t>
      </w:r>
    </w:p>
    <w:p w14:paraId="09C37C5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3.9.5.2 承包人应当按照规范要求，及时维修、保养或更换</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设备，保证</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设备能够随时进场使用。</w:t>
      </w:r>
    </w:p>
    <w:p w14:paraId="68A83B0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3.9.5.3 承包人使用的</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设备不能满足合同进度计划和（或）质量要求时，发包人有权要求承包人增加或更换</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设备，承包人应及时增加或更换，由此增加的费用和（或）周期延误由承包人自行承担。</w:t>
      </w:r>
    </w:p>
    <w:p w14:paraId="0436C8E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 安全作业要求</w:t>
      </w:r>
    </w:p>
    <w:p w14:paraId="5141BEB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3.9.6.1 承包人应遵守有关安全生产的法律，按合同约定履行安全职责，编制安全措施。</w:t>
      </w:r>
    </w:p>
    <w:p w14:paraId="6D5B8C8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3.9.6.2 承包人应当严格执行操作规程，采取有效措施保证道路、桥梁、交通安全设施、建构筑物、地下管线、架空线和其他周边设施等安全正常地运行。</w:t>
      </w:r>
    </w:p>
    <w:p w14:paraId="24BF9E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3.9.6.3 承包人应当按照法律、法规和工程建设强制性标准进行</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，加强</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作业安全管理。</w:t>
      </w:r>
    </w:p>
    <w:p w14:paraId="2FC5045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3.9.6.4 承包人应严格按照国家安全标准制定施工安全操作规程，配备必要的安全生产和劳动保护设施，加强对承包人人员的安全教育，并且发放安全工作手册和劳动保护用具。</w:t>
      </w:r>
    </w:p>
    <w:p w14:paraId="7332DF0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3.9.6.5 承包人应按规定制定应对灾害的紧急预案。承包人还应按预案做好安全检查，配置必要的救助物资和器材，切实保护好有关人员的人身和财产安全。</w:t>
      </w:r>
    </w:p>
    <w:p w14:paraId="6BD3A9B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3.9.6.6 承包人应对其履行合同所雇佣的全部人员，包括分包人人员的工伤事故承担责任。</w:t>
      </w:r>
    </w:p>
    <w:p w14:paraId="48B46B9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3.9.6.7 对于承包人在</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过程中发生的人员伤亡，或造成第三方的人员伤亡，或财产损失，或由此引起的其他一切损害和损失，由承包人自行承担责任，发包人均不承担责任。由于承包人原因在施工场地内及其毗邻地带造成的第三者人员伤亡和财产损失，由承包人负责赔偿。</w:t>
      </w:r>
    </w:p>
    <w:p w14:paraId="7F51531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3.9.6.8承包人在</w:t>
      </w:r>
      <w:r>
        <w:rPr>
          <w:rFonts w:hint="eastAsia" w:ascii="宋体" w:hAnsi="宋体" w:eastAsia="宋体" w:cs="宋体"/>
          <w:color w:val="auto"/>
          <w:sz w:val="21"/>
          <w:szCs w:val="21"/>
          <w:highlight w:val="none"/>
          <w:u w:val="none"/>
          <w:lang w:eastAsia="zh-CN"/>
        </w:rPr>
        <w:t>勘察</w:t>
      </w:r>
      <w:r>
        <w:rPr>
          <w:rFonts w:hint="eastAsia" w:ascii="宋体" w:hAnsi="宋体" w:eastAsia="宋体" w:cs="宋体"/>
          <w:color w:val="auto"/>
          <w:sz w:val="21"/>
          <w:szCs w:val="21"/>
          <w:highlight w:val="none"/>
          <w:u w:val="none"/>
        </w:rPr>
        <w:t>中应避免造成环境污染，对所造成的环境污染的治理和消除，属承包人的责任。</w:t>
      </w:r>
    </w:p>
    <w:p w14:paraId="5E367E5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3.9.6.</w:t>
      </w:r>
      <w:r>
        <w:rPr>
          <w:rFonts w:hint="eastAsia" w:ascii="宋体" w:hAnsi="宋体" w:eastAsia="宋体" w:cs="宋体"/>
          <w:color w:val="auto"/>
          <w:sz w:val="21"/>
          <w:szCs w:val="21"/>
          <w:highlight w:val="none"/>
          <w:u w:val="none"/>
          <w:lang w:eastAsia="zh-CN"/>
        </w:rPr>
        <w:t>9</w:t>
      </w:r>
      <w:r>
        <w:rPr>
          <w:rFonts w:hint="eastAsia" w:ascii="宋体" w:hAnsi="宋体" w:eastAsia="宋体" w:cs="宋体"/>
          <w:color w:val="auto"/>
          <w:sz w:val="21"/>
          <w:szCs w:val="21"/>
          <w:highlight w:val="none"/>
          <w:u w:val="none"/>
        </w:rPr>
        <w:t>工程地质钻探应满足以下规定：</w:t>
      </w:r>
    </w:p>
    <w:p w14:paraId="078C208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承包人开展钻探工作前，应按要求编写《勘察大纲》，并将钻探的方法、方案、程序和流程控制等实施过程控制方案报发包人审查，方案审查通过后方可进行钻探工作。钻探后孔位、数量、钻孔的深度、孔径等应达到</w:t>
      </w:r>
      <w:r>
        <w:rPr>
          <w:rFonts w:hint="eastAsia" w:ascii="宋体" w:hAnsi="宋体" w:eastAsia="宋体" w:cs="宋体"/>
          <w:color w:val="auto"/>
          <w:sz w:val="21"/>
          <w:szCs w:val="21"/>
          <w:highlight w:val="none"/>
          <w:u w:val="none"/>
          <w:lang w:eastAsia="zh-CN"/>
        </w:rPr>
        <w:t>行业</w:t>
      </w:r>
      <w:r>
        <w:rPr>
          <w:rFonts w:hint="eastAsia" w:ascii="宋体" w:hAnsi="宋体" w:eastAsia="宋体" w:cs="宋体"/>
          <w:color w:val="auto"/>
          <w:sz w:val="21"/>
          <w:szCs w:val="21"/>
          <w:highlight w:val="none"/>
          <w:u w:val="none"/>
        </w:rPr>
        <w:t>相关规范的要求和勘察大纲的规定。钻孔的位置符合原获得审批通过方案的要求。承包人的地质钻探应符合交通运输部水运工程</w:t>
      </w:r>
      <w:r>
        <w:rPr>
          <w:rFonts w:hint="eastAsia" w:ascii="宋体" w:hAnsi="宋体" w:eastAsia="宋体" w:cs="宋体"/>
          <w:color w:val="auto"/>
          <w:sz w:val="21"/>
          <w:szCs w:val="21"/>
          <w:highlight w:val="none"/>
          <w:u w:val="none"/>
          <w:lang w:eastAsia="zh-CN"/>
        </w:rPr>
        <w:t>岩土</w:t>
      </w:r>
      <w:r>
        <w:rPr>
          <w:rFonts w:hint="eastAsia" w:ascii="宋体" w:hAnsi="宋体" w:eastAsia="宋体" w:cs="宋体"/>
          <w:color w:val="auto"/>
          <w:sz w:val="21"/>
          <w:szCs w:val="21"/>
          <w:highlight w:val="none"/>
          <w:u w:val="none"/>
        </w:rPr>
        <w:t>勘察的有关规定。</w:t>
      </w:r>
    </w:p>
    <w:p w14:paraId="3EE2736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承包人钻探完成后，发包人（或其委托的单位）可对孔位、数量、钻孔的深度、孔径、岩芯采取率等进行检查验收，并可以随机抽检20%以上承包人的钻探工作。发包人将把随机抽检钻探工作的合格率作为计量支付承包人地质勘察费用的比例，承包人应对随机抽检中发现的不合格的钻探工作无条件返工。承包人需返工处理或重新布孔钻探的，重新布孔方案仍需报发包人审批，返工处理或重新钻探的费用由承包人自行承担。若承包人返工处理后仍然不合格，发包人将按随机抽检钻探工作的不合格率每1%处以承包人合同总价的1%违约金，累计扣减的费用不超过合同总价的10%。发包人以核实发现承包人在钻探工作中弄虚作假的，发包人每发现或核实一次将处以承包人合同总价的0.5%违约金，累计扣减的费用不超过合同总价的5%。</w:t>
      </w:r>
    </w:p>
    <w:p w14:paraId="7E9DE0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（3）承包人钻探完成后，需要回填的应及时回填钻孔，如因钻孔不及时回填而发生的责任事故，承包人承担全部责任。</w:t>
      </w:r>
    </w:p>
    <w:p w14:paraId="2DEA12C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3.9.7 环境保护要求</w:t>
      </w:r>
    </w:p>
    <w:p w14:paraId="7DBAAF0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3.9.7.1 承包人在履行合同过程中，应遵守有关环境保护的法律，履行合同约定的环境保护义务，并对违反法律和合同约定义务所造成的环境破坏、人身伤害和财产损失负责。</w:t>
      </w:r>
    </w:p>
    <w:p w14:paraId="78ED042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3.9.7.2 承包人应按合同约定的环保工作内容，编制环保措施。</w:t>
      </w:r>
    </w:p>
    <w:p w14:paraId="1BAA305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3.9.7.3 承包人应确保</w:t>
      </w:r>
      <w:r>
        <w:rPr>
          <w:rFonts w:hint="eastAsia" w:ascii="宋体" w:hAnsi="宋体" w:eastAsia="宋体" w:cs="宋体"/>
          <w:color w:val="auto"/>
          <w:sz w:val="21"/>
          <w:szCs w:val="21"/>
          <w:highlight w:val="none"/>
          <w:u w:val="none"/>
          <w:lang w:val="en-US" w:eastAsia="zh-CN"/>
        </w:rPr>
        <w:t>工作</w:t>
      </w:r>
      <w:r>
        <w:rPr>
          <w:rFonts w:hint="eastAsia" w:ascii="宋体" w:hAnsi="宋体" w:eastAsia="宋体" w:cs="宋体"/>
          <w:color w:val="auto"/>
          <w:sz w:val="21"/>
          <w:szCs w:val="21"/>
          <w:highlight w:val="none"/>
          <w:u w:val="none"/>
        </w:rPr>
        <w:t>过程中产生的气体排放物、粉尘、噪声、地面排水及排污等，符合法律规定和发包人要求。</w:t>
      </w:r>
    </w:p>
    <w:p w14:paraId="1D90527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3.9.8 </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文件要求</w:t>
      </w:r>
    </w:p>
    <w:p w14:paraId="76EBBE0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3.9.8.1 </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文件的编制应符合法律法规、规范标准的强制性规定和发包人要求，相关</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依据应完整、准确、可靠，</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方案论证充分，计算成果规范可靠，并能够实施。</w:t>
      </w:r>
    </w:p>
    <w:p w14:paraId="4A927E1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3.9.8.2 </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文件的深度应符合国家和行业现行规定</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满足本合同的规定要求，并应满足发包人的下步工作需要。</w:t>
      </w:r>
    </w:p>
    <w:p w14:paraId="4793EA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3.9.8.3.供应商</w:t>
      </w:r>
      <w:r>
        <w:rPr>
          <w:rFonts w:hint="eastAsia" w:ascii="宋体" w:hAnsi="宋体" w:eastAsia="宋体" w:cs="宋体"/>
          <w:color w:val="auto"/>
          <w:sz w:val="21"/>
          <w:szCs w:val="21"/>
          <w:highlight w:val="none"/>
          <w:u w:val="none"/>
          <w:lang w:eastAsia="zh-CN"/>
        </w:rPr>
        <w:t>应</w:t>
      </w:r>
      <w:r>
        <w:rPr>
          <w:rFonts w:hint="eastAsia" w:ascii="宋体" w:hAnsi="宋体" w:eastAsia="宋体" w:cs="宋体"/>
          <w:color w:val="auto"/>
          <w:sz w:val="21"/>
          <w:szCs w:val="21"/>
          <w:highlight w:val="none"/>
          <w:u w:val="none"/>
        </w:rPr>
        <w:t>根据工程实际情况、设计要求和标准规范要求，进行取样、原位测试、室内试验等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有关费用</w:t>
      </w:r>
      <w:r>
        <w:rPr>
          <w:rFonts w:hint="eastAsia" w:ascii="宋体" w:hAnsi="宋体" w:eastAsia="宋体" w:cs="宋体"/>
          <w:color w:val="auto"/>
          <w:sz w:val="21"/>
          <w:szCs w:val="21"/>
          <w:highlight w:val="none"/>
          <w:u w:val="none"/>
          <w:lang w:eastAsia="zh-CN"/>
        </w:rPr>
        <w:t>已</w:t>
      </w:r>
      <w:r>
        <w:rPr>
          <w:rFonts w:hint="eastAsia" w:ascii="宋体" w:hAnsi="宋体" w:eastAsia="宋体" w:cs="宋体"/>
          <w:color w:val="auto"/>
          <w:sz w:val="21"/>
          <w:szCs w:val="21"/>
          <w:highlight w:val="none"/>
          <w:u w:val="none"/>
        </w:rPr>
        <w:t>包含于投标报价中，采购人不再另行支付。</w:t>
      </w:r>
    </w:p>
    <w:p w14:paraId="7A54BFA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3.9.8.4.如审批部门要求按锚地编号分别编制方案设计、通航安全评估等有关专题报告的，供应商应按要求编制。有关费用</w:t>
      </w:r>
      <w:r>
        <w:rPr>
          <w:rFonts w:hint="eastAsia" w:ascii="宋体" w:hAnsi="宋体" w:eastAsia="宋体" w:cs="宋体"/>
          <w:color w:val="auto"/>
          <w:sz w:val="21"/>
          <w:szCs w:val="21"/>
          <w:highlight w:val="none"/>
          <w:u w:val="none"/>
          <w:lang w:eastAsia="zh-CN"/>
        </w:rPr>
        <w:t>已</w:t>
      </w:r>
      <w:r>
        <w:rPr>
          <w:rFonts w:hint="eastAsia" w:ascii="宋体" w:hAnsi="宋体" w:eastAsia="宋体" w:cs="宋体"/>
          <w:color w:val="auto"/>
          <w:sz w:val="21"/>
          <w:szCs w:val="21"/>
          <w:highlight w:val="none"/>
          <w:u w:val="none"/>
        </w:rPr>
        <w:t>包含于投标报价中，采购人不再另行支付。</w:t>
      </w:r>
    </w:p>
    <w:p w14:paraId="1512D6B0">
      <w:pPr>
        <w:keepNext w:val="0"/>
        <w:keepLines w:val="0"/>
        <w:pageBreakBefore w:val="0"/>
        <w:widowControl w:val="0"/>
        <w:kinsoku/>
        <w:wordWrap/>
        <w:overflowPunct/>
        <w:topLinePunct w:val="0"/>
        <w:autoSpaceDE/>
        <w:autoSpaceDN/>
        <w:bidi w:val="0"/>
        <w:adjustRightInd/>
        <w:snapToGrid/>
        <w:spacing w:line="460" w:lineRule="exact"/>
        <w:ind w:firstLine="422" w:firstLineChars="200"/>
        <w:jc w:val="both"/>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3.9.8.</w:t>
      </w:r>
      <w:r>
        <w:rPr>
          <w:rFonts w:hint="eastAsia" w:ascii="宋体" w:hAnsi="宋体" w:eastAsia="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rPr>
        <w:t xml:space="preserve"> </w:t>
      </w:r>
      <w:r>
        <w:rPr>
          <w:rFonts w:hint="eastAsia" w:ascii="宋体" w:hAnsi="宋体" w:eastAsia="宋体" w:cs="宋体"/>
          <w:b/>
          <w:bCs/>
          <w:color w:val="auto"/>
          <w:sz w:val="21"/>
          <w:szCs w:val="21"/>
          <w:highlight w:val="none"/>
          <w:u w:val="none"/>
          <w:lang w:eastAsia="zh-CN"/>
        </w:rPr>
        <w:t>提供的成果须</w:t>
      </w:r>
      <w:r>
        <w:rPr>
          <w:rFonts w:hint="eastAsia" w:ascii="宋体" w:hAnsi="宋体" w:eastAsia="宋体" w:cs="宋体"/>
          <w:b/>
          <w:bCs/>
          <w:color w:val="auto"/>
          <w:sz w:val="21"/>
          <w:szCs w:val="21"/>
          <w:highlight w:val="none"/>
          <w:u w:val="none"/>
        </w:rPr>
        <w:t>通过专家或</w:t>
      </w:r>
      <w:r>
        <w:rPr>
          <w:rFonts w:hint="eastAsia" w:ascii="宋体" w:hAnsi="宋体" w:eastAsia="宋体" w:cs="宋体"/>
          <w:b/>
          <w:bCs/>
          <w:color w:val="auto"/>
          <w:sz w:val="21"/>
          <w:szCs w:val="21"/>
          <w:highlight w:val="none"/>
          <w:u w:val="none"/>
          <w:lang w:eastAsia="zh-CN"/>
        </w:rPr>
        <w:t>主管</w:t>
      </w:r>
      <w:r>
        <w:rPr>
          <w:rFonts w:hint="eastAsia" w:ascii="宋体" w:hAnsi="宋体" w:eastAsia="宋体" w:cs="宋体"/>
          <w:b/>
          <w:bCs/>
          <w:color w:val="auto"/>
          <w:sz w:val="21"/>
          <w:szCs w:val="21"/>
          <w:highlight w:val="none"/>
          <w:u w:val="none"/>
        </w:rPr>
        <w:t>部门、机构组织的评审</w:t>
      </w:r>
      <w:r>
        <w:rPr>
          <w:rFonts w:hint="eastAsia" w:ascii="宋体" w:hAnsi="宋体" w:eastAsia="宋体" w:cs="宋体"/>
          <w:b/>
          <w:bCs/>
          <w:color w:val="auto"/>
          <w:sz w:val="21"/>
          <w:szCs w:val="21"/>
          <w:highlight w:val="none"/>
          <w:u w:val="none"/>
          <w:lang w:eastAsia="zh-CN"/>
        </w:rPr>
        <w:t>，取得主管部门批复（如需要）</w:t>
      </w:r>
      <w:r>
        <w:rPr>
          <w:rFonts w:hint="eastAsia" w:ascii="宋体" w:hAnsi="宋体" w:eastAsia="宋体" w:cs="宋体"/>
          <w:b/>
          <w:bCs/>
          <w:color w:val="auto"/>
          <w:sz w:val="21"/>
          <w:szCs w:val="21"/>
          <w:highlight w:val="none"/>
          <w:u w:val="none"/>
        </w:rPr>
        <w:t>，</w:t>
      </w:r>
      <w:r>
        <w:rPr>
          <w:rFonts w:hint="eastAsia" w:ascii="宋体" w:hAnsi="宋体" w:eastAsia="宋体" w:cs="宋体"/>
          <w:b/>
          <w:bCs/>
          <w:color w:val="auto"/>
          <w:sz w:val="21"/>
          <w:szCs w:val="21"/>
          <w:highlight w:val="none"/>
          <w:u w:val="none"/>
          <w:lang w:eastAsia="zh-CN"/>
        </w:rPr>
        <w:t>满足申请锚地划定、满足海事管理机构对外发布公告的要求</w:t>
      </w:r>
      <w:r>
        <w:rPr>
          <w:rFonts w:hint="eastAsia" w:ascii="宋体" w:hAnsi="宋体" w:eastAsia="宋体" w:cs="宋体"/>
          <w:b/>
          <w:bCs/>
          <w:color w:val="auto"/>
          <w:sz w:val="21"/>
          <w:szCs w:val="21"/>
          <w:highlight w:val="none"/>
          <w:u w:val="none"/>
        </w:rPr>
        <w:t>。</w:t>
      </w:r>
    </w:p>
    <w:p w14:paraId="243D629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3.9.9 承包人应接受发包人或发包人委托的咨询审查单位和上级主管部门的审查，凡审查意见中提出的问题，承包人应逐条给予反馈，提交书面的反馈意见并修改完善</w:t>
      </w:r>
      <w:r>
        <w:rPr>
          <w:rFonts w:hint="eastAsia" w:ascii="宋体" w:hAnsi="宋体" w:eastAsia="宋体" w:cs="宋体"/>
          <w:color w:val="auto"/>
          <w:sz w:val="21"/>
          <w:szCs w:val="21"/>
          <w:highlight w:val="none"/>
          <w:u w:val="none"/>
          <w:lang w:val="en-US" w:eastAsia="zh-CN"/>
        </w:rPr>
        <w:t>勘察咨询</w:t>
      </w:r>
      <w:r>
        <w:rPr>
          <w:rFonts w:hint="eastAsia" w:ascii="宋体" w:hAnsi="宋体" w:eastAsia="宋体" w:cs="宋体"/>
          <w:color w:val="auto"/>
          <w:sz w:val="21"/>
          <w:szCs w:val="21"/>
          <w:highlight w:val="none"/>
          <w:u w:val="none"/>
        </w:rPr>
        <w:t>文件。</w:t>
      </w:r>
    </w:p>
    <w:p w14:paraId="132962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承包人应在收到发包人、审查咨询单位及上级主管部门提出的审查意见后，</w:t>
      </w:r>
      <w:r>
        <w:rPr>
          <w:rFonts w:hint="eastAsia" w:ascii="宋体" w:hAnsi="宋体" w:eastAsia="宋体" w:cs="宋体"/>
          <w:color w:val="auto"/>
          <w:sz w:val="21"/>
          <w:szCs w:val="21"/>
          <w:highlight w:val="none"/>
          <w:u w:val="none"/>
          <w:lang w:val="en-US" w:eastAsia="zh-CN"/>
        </w:rPr>
        <w:t>5个工作日</w:t>
      </w:r>
      <w:r>
        <w:rPr>
          <w:rFonts w:hint="eastAsia" w:ascii="宋体" w:hAnsi="宋体" w:eastAsia="宋体" w:cs="宋体"/>
          <w:color w:val="auto"/>
          <w:sz w:val="21"/>
          <w:szCs w:val="21"/>
          <w:highlight w:val="none"/>
          <w:u w:val="none"/>
        </w:rPr>
        <w:t>内完成对</w:t>
      </w:r>
      <w:r>
        <w:rPr>
          <w:rFonts w:hint="eastAsia" w:ascii="宋体" w:hAnsi="宋体" w:eastAsia="宋体" w:cs="宋体"/>
          <w:color w:val="auto"/>
          <w:sz w:val="21"/>
          <w:szCs w:val="21"/>
          <w:highlight w:val="none"/>
          <w:u w:val="none"/>
          <w:lang w:val="en-US" w:eastAsia="zh-CN"/>
        </w:rPr>
        <w:t>勘察咨询</w:t>
      </w:r>
      <w:r>
        <w:rPr>
          <w:rFonts w:hint="eastAsia" w:ascii="宋体" w:hAnsi="宋体" w:eastAsia="宋体" w:cs="宋体"/>
          <w:color w:val="auto"/>
          <w:sz w:val="21"/>
          <w:szCs w:val="21"/>
          <w:highlight w:val="none"/>
          <w:u w:val="none"/>
        </w:rPr>
        <w:t>文件的修改。</w:t>
      </w:r>
    </w:p>
    <w:p w14:paraId="0CA88E9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由此发生的所有修改、赶工的费用，均已包含在投标报价中，发包人不再另行支付。</w:t>
      </w:r>
    </w:p>
    <w:p w14:paraId="743482A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3.9.1</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 w:val="21"/>
          <w:szCs w:val="21"/>
          <w:highlight w:val="none"/>
          <w:u w:val="none"/>
        </w:rPr>
        <w:t xml:space="preserve"> 发包人组织专家或委托咨询单位对</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文件</w:t>
      </w:r>
      <w:r>
        <w:rPr>
          <w:rFonts w:hint="eastAsia" w:ascii="宋体" w:hAnsi="宋体" w:eastAsia="宋体" w:cs="宋体"/>
          <w:color w:val="auto"/>
          <w:sz w:val="21"/>
          <w:szCs w:val="21"/>
          <w:highlight w:val="none"/>
          <w:u w:val="none"/>
          <w:lang w:eastAsia="zh-CN"/>
        </w:rPr>
        <w:t>的</w:t>
      </w:r>
      <w:r>
        <w:rPr>
          <w:rFonts w:hint="eastAsia" w:ascii="宋体" w:hAnsi="宋体" w:eastAsia="宋体" w:cs="宋体"/>
          <w:color w:val="auto"/>
          <w:sz w:val="21"/>
          <w:szCs w:val="21"/>
          <w:highlight w:val="none"/>
          <w:u w:val="none"/>
        </w:rPr>
        <w:t>审查，</w:t>
      </w:r>
      <w:r>
        <w:rPr>
          <w:rFonts w:hint="eastAsia" w:ascii="宋体" w:hAnsi="宋体" w:eastAsia="宋体" w:cs="宋体"/>
          <w:color w:val="auto"/>
          <w:sz w:val="21"/>
          <w:szCs w:val="21"/>
          <w:highlight w:val="none"/>
          <w:u w:val="none"/>
          <w:lang w:eastAsia="zh-CN"/>
        </w:rPr>
        <w:t>以及主管部门对勘察咨询文件的审查，</w:t>
      </w:r>
      <w:r>
        <w:rPr>
          <w:rFonts w:hint="eastAsia" w:ascii="宋体" w:hAnsi="宋体" w:eastAsia="宋体" w:cs="宋体"/>
          <w:color w:val="auto"/>
          <w:sz w:val="21"/>
          <w:szCs w:val="21"/>
          <w:highlight w:val="none"/>
          <w:u w:val="none"/>
        </w:rPr>
        <w:t>审查、报批过程</w:t>
      </w:r>
      <w:r>
        <w:rPr>
          <w:rFonts w:hint="eastAsia" w:ascii="宋体" w:hAnsi="宋体" w:eastAsia="宋体" w:cs="宋体"/>
          <w:color w:val="auto"/>
          <w:sz w:val="21"/>
          <w:szCs w:val="21"/>
          <w:highlight w:val="none"/>
          <w:u w:val="none"/>
          <w:lang w:eastAsia="zh-CN"/>
        </w:rPr>
        <w:t>中</w:t>
      </w:r>
      <w:r>
        <w:rPr>
          <w:rFonts w:hint="eastAsia" w:ascii="宋体" w:hAnsi="宋体" w:eastAsia="宋体" w:cs="宋体"/>
          <w:color w:val="auto"/>
          <w:sz w:val="21"/>
          <w:szCs w:val="21"/>
          <w:highlight w:val="none"/>
          <w:u w:val="none"/>
        </w:rPr>
        <w:t>所需的全部相关会务、劳务费用均含在投标报价内，发包人不再另行支付。</w:t>
      </w:r>
    </w:p>
    <w:p w14:paraId="54027A3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3.9.1</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 xml:space="preserve"> 承包人应承担的后续服务内容包括</w:t>
      </w:r>
      <w:r>
        <w:rPr>
          <w:rFonts w:hint="eastAsia" w:ascii="宋体" w:hAnsi="宋体" w:eastAsia="宋体" w:cs="宋体"/>
          <w:color w:val="auto"/>
          <w:sz w:val="21"/>
          <w:szCs w:val="21"/>
          <w:highlight w:val="none"/>
          <w:u w:val="none"/>
          <w:lang w:eastAsia="zh-CN"/>
        </w:rPr>
        <w:t>：协助采购人办理申请锚地划定，直至海事管理机构对外发布锚地公告</w:t>
      </w:r>
      <w:r>
        <w:rPr>
          <w:rFonts w:hint="eastAsia" w:ascii="宋体" w:hAnsi="宋体" w:eastAsia="宋体" w:cs="宋体"/>
          <w:color w:val="auto"/>
          <w:sz w:val="21"/>
          <w:szCs w:val="21"/>
          <w:highlight w:val="none"/>
          <w:u w:val="none"/>
        </w:rPr>
        <w:t>。后续服务</w:t>
      </w:r>
      <w:r>
        <w:rPr>
          <w:rFonts w:hint="eastAsia" w:ascii="宋体" w:hAnsi="宋体" w:eastAsia="宋体" w:cs="宋体"/>
          <w:color w:val="auto"/>
          <w:sz w:val="21"/>
          <w:szCs w:val="21"/>
          <w:highlight w:val="none"/>
          <w:u w:val="none"/>
          <w:lang w:eastAsia="zh-CN"/>
        </w:rPr>
        <w:t>的</w:t>
      </w:r>
      <w:r>
        <w:rPr>
          <w:rFonts w:hint="eastAsia" w:ascii="宋体" w:hAnsi="宋体" w:eastAsia="宋体" w:cs="宋体"/>
          <w:color w:val="auto"/>
          <w:sz w:val="21"/>
          <w:szCs w:val="21"/>
          <w:highlight w:val="none"/>
          <w:u w:val="none"/>
        </w:rPr>
        <w:t>费用</w:t>
      </w:r>
      <w:r>
        <w:rPr>
          <w:rFonts w:hint="eastAsia" w:ascii="宋体" w:hAnsi="宋体" w:eastAsia="宋体" w:cs="宋体"/>
          <w:color w:val="auto"/>
          <w:sz w:val="21"/>
          <w:szCs w:val="21"/>
          <w:highlight w:val="none"/>
          <w:u w:val="none"/>
          <w:lang w:eastAsia="zh-CN"/>
        </w:rPr>
        <w:t>已</w:t>
      </w:r>
      <w:r>
        <w:rPr>
          <w:rFonts w:hint="eastAsia" w:ascii="宋体" w:hAnsi="宋体" w:eastAsia="宋体" w:cs="宋体"/>
          <w:color w:val="auto"/>
          <w:sz w:val="21"/>
          <w:szCs w:val="21"/>
          <w:highlight w:val="none"/>
          <w:u w:val="none"/>
        </w:rPr>
        <w:t>包含在合同总价中，发包人不再另行支付。</w:t>
      </w:r>
    </w:p>
    <w:p w14:paraId="0D22F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rPr>
      </w:pPr>
    </w:p>
    <w:p w14:paraId="0AAB8985">
      <w:pPr>
        <w:pStyle w:val="372"/>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hint="eastAsia" w:hAnsi="宋体"/>
          <w:b/>
          <w:color w:val="auto"/>
          <w:highlight w:val="none"/>
          <w:shd w:val="clear" w:color="auto" w:fill="FFFFFF" w:themeFill="background1"/>
        </w:rPr>
      </w:pPr>
      <w:r>
        <w:rPr>
          <w:rFonts w:hint="eastAsia" w:hAnsi="宋体"/>
          <w:b/>
          <w:color w:val="auto"/>
          <w:highlight w:val="none"/>
          <w:shd w:val="clear" w:color="auto" w:fill="FFFFFF" w:themeFill="background1"/>
        </w:rPr>
        <w:t xml:space="preserve">4. </w:t>
      </w:r>
      <w:r>
        <w:rPr>
          <w:rFonts w:hint="eastAsia" w:hAnsi="宋体"/>
          <w:b/>
          <w:color w:val="auto"/>
          <w:highlight w:val="none"/>
          <w:shd w:val="clear" w:color="auto" w:fill="FFFFFF" w:themeFill="background1"/>
          <w:lang w:eastAsia="zh-CN"/>
        </w:rPr>
        <w:t>勘察咨询</w:t>
      </w:r>
      <w:r>
        <w:rPr>
          <w:rFonts w:hint="eastAsia" w:hAnsi="宋体"/>
          <w:b/>
          <w:color w:val="auto"/>
          <w:highlight w:val="none"/>
          <w:shd w:val="clear" w:color="auto" w:fill="FFFFFF" w:themeFill="background1"/>
        </w:rPr>
        <w:t>周期及提交成果</w:t>
      </w:r>
    </w:p>
    <w:p w14:paraId="5D9D1B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rPr>
      </w:pPr>
    </w:p>
    <w:p w14:paraId="13898F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4.1 </w:t>
      </w:r>
      <w:r>
        <w:rPr>
          <w:rFonts w:hint="eastAsia" w:ascii="宋体" w:hAnsi="宋体" w:eastAsia="宋体" w:cs="宋体"/>
          <w:color w:val="auto"/>
          <w:sz w:val="21"/>
          <w:szCs w:val="21"/>
          <w:highlight w:val="none"/>
          <w:u w:val="none"/>
          <w:lang w:val="en-US" w:eastAsia="zh-CN"/>
        </w:rPr>
        <w:t>编制</w:t>
      </w:r>
      <w:r>
        <w:rPr>
          <w:rFonts w:hint="eastAsia" w:ascii="宋体" w:hAnsi="宋体" w:eastAsia="宋体" w:cs="宋体"/>
          <w:color w:val="auto"/>
          <w:sz w:val="21"/>
          <w:szCs w:val="21"/>
          <w:highlight w:val="none"/>
          <w:u w:val="none"/>
        </w:rPr>
        <w:t>工期及提交成果</w:t>
      </w:r>
    </w:p>
    <w:p w14:paraId="0E7A449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4.1.1本款约定为：</w:t>
      </w:r>
    </w:p>
    <w:p w14:paraId="2F657A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rPr>
        <w:t>总工期</w:t>
      </w:r>
      <w:r>
        <w:rPr>
          <w:rFonts w:hint="eastAsia" w:ascii="宋体" w:hAnsi="宋体" w:eastAsia="宋体" w:cs="宋体"/>
          <w:color w:val="auto"/>
          <w:sz w:val="21"/>
          <w:szCs w:val="21"/>
          <w:highlight w:val="none"/>
          <w:u w:val="single"/>
          <w:lang w:eastAsia="zh-CN"/>
        </w:rPr>
        <w:t>为</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0个日历天</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具体如下：</w:t>
      </w:r>
    </w:p>
    <w:p w14:paraId="29041B7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中标通知书发出后</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0个日历天内提交</w:t>
      </w:r>
      <w:r>
        <w:rPr>
          <w:rFonts w:hint="eastAsia" w:ascii="宋体" w:hAnsi="宋体" w:eastAsia="宋体" w:cs="宋体"/>
          <w:color w:val="auto"/>
          <w:szCs w:val="21"/>
          <w:highlight w:val="none"/>
          <w:u w:val="single"/>
          <w:lang w:eastAsia="zh-CN"/>
        </w:rPr>
        <w:t>勘察成果</w:t>
      </w:r>
      <w:r>
        <w:rPr>
          <w:rFonts w:hint="eastAsia" w:ascii="宋体" w:hAnsi="宋体" w:eastAsia="宋体" w:cs="宋体"/>
          <w:color w:val="auto"/>
          <w:szCs w:val="21"/>
          <w:highlight w:val="none"/>
          <w:u w:val="single"/>
        </w:rPr>
        <w:t>；</w:t>
      </w:r>
    </w:p>
    <w:p w14:paraId="514EFF4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中标通知书发出后</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0个日历天内提交</w:t>
      </w:r>
      <w:r>
        <w:rPr>
          <w:rFonts w:hint="eastAsia" w:ascii="宋体" w:hAnsi="宋体" w:eastAsia="宋体" w:cs="宋体"/>
          <w:color w:val="auto"/>
          <w:sz w:val="21"/>
          <w:szCs w:val="21"/>
          <w:highlight w:val="none"/>
          <w:u w:val="single"/>
          <w:lang w:val="en-US" w:eastAsia="zh-CN"/>
        </w:rPr>
        <w:t>方案设计、通航安全评估等报告送审稿</w:t>
      </w:r>
      <w:r>
        <w:rPr>
          <w:rFonts w:hint="eastAsia" w:ascii="宋体" w:hAnsi="宋体" w:eastAsia="宋体" w:cs="宋体"/>
          <w:color w:val="auto"/>
          <w:szCs w:val="21"/>
          <w:highlight w:val="none"/>
          <w:u w:val="single"/>
        </w:rPr>
        <w:t>；报告评审会后，10个日历天内完成报批稿。</w:t>
      </w:r>
    </w:p>
    <w:p w14:paraId="32F45FD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Cs w:val="21"/>
          <w:highlight w:val="none"/>
          <w:u w:val="single"/>
          <w:lang w:eastAsia="zh-CN"/>
        </w:rPr>
        <w:t>主管部门审查、审批时间另行计算</w:t>
      </w:r>
      <w:r>
        <w:rPr>
          <w:rFonts w:hint="eastAsia" w:ascii="宋体" w:hAnsi="宋体" w:eastAsia="宋体" w:cs="宋体"/>
          <w:color w:val="auto"/>
          <w:sz w:val="21"/>
          <w:szCs w:val="21"/>
          <w:highlight w:val="none"/>
          <w:u w:val="none"/>
          <w:lang w:eastAsia="zh-CN"/>
        </w:rPr>
        <w:t>。</w:t>
      </w:r>
    </w:p>
    <w:p w14:paraId="7AA2CCE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4.1.2提交成果要求：</w:t>
      </w:r>
    </w:p>
    <w:p w14:paraId="39AE5BF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①提交所有最终</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 xml:space="preserve">成果纸质文件一式10份。 </w:t>
      </w:r>
    </w:p>
    <w:p w14:paraId="382E3E5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②所有</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成果电子文件一式2份，</w:t>
      </w:r>
      <w:r>
        <w:rPr>
          <w:rFonts w:hint="eastAsia" w:ascii="宋体" w:hAnsi="宋体" w:eastAsia="宋体" w:cs="宋体"/>
          <w:color w:val="auto"/>
          <w:sz w:val="21"/>
          <w:szCs w:val="21"/>
          <w:highlight w:val="none"/>
          <w:u w:val="none"/>
          <w:lang w:val="en-US" w:eastAsia="zh-CN"/>
        </w:rPr>
        <w:t>包含：</w:t>
      </w:r>
      <w:r>
        <w:rPr>
          <w:rFonts w:hint="eastAsia" w:ascii="宋体" w:hAnsi="宋体" w:eastAsia="宋体" w:cs="宋体"/>
          <w:color w:val="auto"/>
          <w:sz w:val="21"/>
          <w:szCs w:val="21"/>
          <w:highlight w:val="none"/>
          <w:u w:val="none"/>
        </w:rPr>
        <w:t>WORD格式</w:t>
      </w:r>
      <w:r>
        <w:rPr>
          <w:rFonts w:hint="eastAsia" w:ascii="宋体" w:hAnsi="宋体" w:eastAsia="宋体" w:cs="宋体"/>
          <w:color w:val="auto"/>
          <w:sz w:val="21"/>
          <w:szCs w:val="21"/>
          <w:highlight w:val="none"/>
          <w:u w:val="none"/>
          <w:lang w:val="en-US" w:eastAsia="zh-CN"/>
        </w:rPr>
        <w:t>报告</w:t>
      </w:r>
      <w:r>
        <w:rPr>
          <w:rFonts w:hint="eastAsia" w:ascii="宋体" w:hAnsi="宋体" w:eastAsia="宋体" w:cs="宋体"/>
          <w:color w:val="auto"/>
          <w:sz w:val="21"/>
          <w:szCs w:val="21"/>
          <w:highlight w:val="none"/>
          <w:u w:val="none"/>
        </w:rPr>
        <w:t>文</w:t>
      </w:r>
      <w:r>
        <w:rPr>
          <w:rFonts w:hint="eastAsia" w:ascii="宋体" w:hAnsi="宋体" w:eastAsia="宋体" w:cs="宋体"/>
          <w:color w:val="auto"/>
          <w:sz w:val="21"/>
          <w:szCs w:val="21"/>
          <w:highlight w:val="none"/>
          <w:u w:val="none"/>
          <w:lang w:val="en-US" w:eastAsia="zh-CN"/>
        </w:rPr>
        <w:t>件</w:t>
      </w:r>
      <w:r>
        <w:rPr>
          <w:rFonts w:hint="eastAsia" w:ascii="宋体" w:hAnsi="宋体" w:eastAsia="宋体" w:cs="宋体"/>
          <w:color w:val="auto"/>
          <w:sz w:val="21"/>
          <w:szCs w:val="21"/>
          <w:highlight w:val="none"/>
          <w:u w:val="none"/>
        </w:rPr>
        <w:t>、可编辑的 CAD 格式</w:t>
      </w:r>
      <w:r>
        <w:rPr>
          <w:rFonts w:hint="eastAsia" w:ascii="宋体" w:hAnsi="宋体" w:eastAsia="宋体" w:cs="宋体"/>
          <w:color w:val="auto"/>
          <w:sz w:val="21"/>
          <w:szCs w:val="21"/>
          <w:highlight w:val="none"/>
          <w:u w:val="none"/>
          <w:lang w:val="en-US" w:eastAsia="zh-CN"/>
        </w:rPr>
        <w:t>水深</w:t>
      </w:r>
      <w:r>
        <w:rPr>
          <w:rFonts w:hint="eastAsia" w:ascii="宋体" w:hAnsi="宋体" w:eastAsia="宋体" w:cs="宋体"/>
          <w:color w:val="auto"/>
          <w:sz w:val="21"/>
          <w:szCs w:val="21"/>
          <w:highlight w:val="none"/>
          <w:u w:val="none"/>
        </w:rPr>
        <w:t>图纸</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所有最终成果资料（按要求签章）的PDF文件，并应使用</w:t>
      </w:r>
      <w:r>
        <w:rPr>
          <w:rFonts w:hint="eastAsia" w:ascii="宋体" w:hAnsi="宋体" w:eastAsia="宋体" w:cs="宋体"/>
          <w:color w:val="auto"/>
          <w:sz w:val="21"/>
          <w:szCs w:val="21"/>
          <w:highlight w:val="none"/>
          <w:u w:val="none"/>
          <w:lang w:val="en-US" w:eastAsia="zh-CN"/>
        </w:rPr>
        <w:t>2张</w:t>
      </w:r>
      <w:r>
        <w:rPr>
          <w:rFonts w:hint="eastAsia" w:ascii="宋体" w:hAnsi="宋体" w:eastAsia="宋体" w:cs="宋体"/>
          <w:color w:val="auto"/>
          <w:sz w:val="21"/>
          <w:szCs w:val="21"/>
          <w:highlight w:val="none"/>
          <w:u w:val="none"/>
        </w:rPr>
        <w:t>光盘和</w:t>
      </w:r>
      <w:r>
        <w:rPr>
          <w:rFonts w:hint="eastAsia" w:ascii="宋体" w:hAnsi="宋体" w:eastAsia="宋体" w:cs="宋体"/>
          <w:color w:val="auto"/>
          <w:sz w:val="21"/>
          <w:szCs w:val="21"/>
          <w:highlight w:val="none"/>
          <w:u w:val="none"/>
          <w:lang w:val="en-US" w:eastAsia="zh-CN"/>
        </w:rPr>
        <w:t>1个</w:t>
      </w:r>
      <w:r>
        <w:rPr>
          <w:rFonts w:hint="eastAsia" w:ascii="宋体" w:hAnsi="宋体" w:eastAsia="宋体" w:cs="宋体"/>
          <w:color w:val="auto"/>
          <w:sz w:val="21"/>
          <w:szCs w:val="21"/>
          <w:highlight w:val="none"/>
          <w:u w:val="none"/>
        </w:rPr>
        <w:t xml:space="preserve"> U 盘贮存。</w:t>
      </w:r>
    </w:p>
    <w:p w14:paraId="66C87D29">
      <w:pPr>
        <w:pStyle w:val="372"/>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hint="eastAsia" w:hAnsi="宋体"/>
          <w:b/>
          <w:color w:val="auto"/>
          <w:highlight w:val="none"/>
          <w:shd w:val="clear" w:color="auto" w:fill="FFFFFF" w:themeFill="background1"/>
        </w:rPr>
      </w:pPr>
      <w:r>
        <w:rPr>
          <w:rFonts w:hint="eastAsia" w:hAnsi="宋体"/>
          <w:b/>
          <w:color w:val="auto"/>
          <w:highlight w:val="none"/>
          <w:shd w:val="clear" w:color="auto" w:fill="FFFFFF" w:themeFill="background1"/>
        </w:rPr>
        <w:t>5. 违约与赔偿</w:t>
      </w:r>
    </w:p>
    <w:p w14:paraId="2320A21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5.1.2 发包人未按规定的时间和金额支付</w:t>
      </w:r>
      <w:r>
        <w:rPr>
          <w:rFonts w:hint="eastAsia" w:ascii="宋体" w:hAnsi="宋体" w:eastAsia="宋体" w:cs="宋体"/>
          <w:color w:val="auto"/>
          <w:sz w:val="21"/>
          <w:szCs w:val="21"/>
          <w:highlight w:val="none"/>
          <w:u w:val="none"/>
          <w:lang w:eastAsia="zh-CN"/>
        </w:rPr>
        <w:t>勘察咨询</w:t>
      </w:r>
      <w:r>
        <w:rPr>
          <w:rFonts w:hint="eastAsia" w:ascii="宋体" w:hAnsi="宋体" w:eastAsia="宋体" w:cs="宋体"/>
          <w:color w:val="auto"/>
          <w:sz w:val="21"/>
          <w:szCs w:val="21"/>
          <w:highlight w:val="none"/>
          <w:u w:val="none"/>
        </w:rPr>
        <w:t>费的赔偿责任：</w:t>
      </w:r>
    </w:p>
    <w:p w14:paraId="6AF52B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发包人应按本合同规定的金额和日期向承包人支付合同价款。发包人未按期向承包人支付预付款的，承包人有权推迟开工时间，且交付文件的时间相应顺延。发包人未按规定时间向承包人支付进度款的，每逾期支付一天，应承担应支付金额万分之一的逾期违约金（因政府、财政部门未及时将建设资金拨付发包人的情形除外，在此情况下，发包人不承担逾期付款违约责任），但承包人提交成果文件的时间不能相应顺延。发包人的逾期违约金上限为合同总价款的3%。</w:t>
      </w:r>
    </w:p>
    <w:p w14:paraId="7DF9B7B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5.1.</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 xml:space="preserve"> 发包人的其他违约与赔偿责任:</w:t>
      </w:r>
      <w:r>
        <w:rPr>
          <w:rFonts w:hint="eastAsia" w:ascii="宋体" w:hAnsi="宋体" w:eastAsia="宋体" w:cs="宋体"/>
          <w:color w:val="auto"/>
          <w:sz w:val="21"/>
          <w:szCs w:val="21"/>
          <w:highlight w:val="none"/>
          <w:u w:val="none"/>
          <w:lang w:val="en-US" w:eastAsia="zh-CN"/>
        </w:rPr>
        <w:t>本合同所约定的承包人违约责任如有不一致或矛盾的，以对承包人较重的为准；所约定的发包人的违约责任如有不一致或矛盾的，以对发包人较轻的为准</w:t>
      </w:r>
      <w:r>
        <w:rPr>
          <w:rFonts w:hint="eastAsia" w:ascii="宋体" w:hAnsi="宋体" w:eastAsia="宋体" w:cs="宋体"/>
          <w:color w:val="auto"/>
          <w:sz w:val="21"/>
          <w:szCs w:val="21"/>
          <w:highlight w:val="none"/>
          <w:u w:val="none"/>
        </w:rPr>
        <w:t>。</w:t>
      </w:r>
    </w:p>
    <w:p w14:paraId="6665AE9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5.2.1 由于承包人的责任给发包人造成损失的违约责任：发包人有权视违约的情况决定中止或解除本合同，每发生一次，计扣承包人合同总价10%的违约金，给发包人造成损失的还应当赔偿。发包人解除合同的，承包人应在5日内退回发包人已支付的合同价款。发包人接受已完成的勘察咨询成果的，按实际工作量的80%结算费用，发包人不接受已完成的勘察咨询勘成果的，不支付费用。</w:t>
      </w:r>
    </w:p>
    <w:p w14:paraId="01FF4F7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5.2.2 承包人其他违约与赔偿责任：</w:t>
      </w:r>
    </w:p>
    <w:p w14:paraId="2286E41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如果承包人未能按照采购文件规定的时间提供相应的成果文件和资料的，或逾期未能通过验收的，则每延期1天，发包人将按合同价格的5‰扣除承包人的违约金；同时，承包人应承担因此而导致其他合同的承包人的赶工费。</w:t>
      </w:r>
    </w:p>
    <w:p w14:paraId="07E7914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(2)承包人未按审查意见并在规定期限内完成修改的，则每延期1天，发包人将分别按相应阶段合同价的1‰计扣承包人违约金，累计扣减的违约金不超过合同总价的5%。</w:t>
      </w:r>
    </w:p>
    <w:p w14:paraId="705A009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承包人违反响应文件中的承诺更换项目负责人、分项负责人的，发包人将处以每人次5万元的违约金，该违约金将从任何应付的勘察咨询费中扣除；对于违反响应文件中的承诺，更换项目负责人或分项负责人的，导致承包人无法继续履行合同或严重影响到本项目勘察咨询进度和质量的，发包人将有权解除合同，并将向承包人追究由此给发包人造成的经济损失。但对承包人更换项目负责人或分项负责人，是因疾病、意外伤亡或调离，承包人不得不进行更换合格的人员，且更换的人员的资格和能力不低于原来所报人员，并经发包人批准同意的，可不予处以违约金</w:t>
      </w:r>
      <w:r>
        <w:rPr>
          <w:rFonts w:hint="eastAsia" w:ascii="宋体" w:hAnsi="宋体" w:eastAsia="宋体" w:cs="宋体"/>
          <w:color w:val="auto"/>
          <w:sz w:val="21"/>
          <w:szCs w:val="21"/>
          <w:highlight w:val="none"/>
        </w:rPr>
        <w:t>。</w:t>
      </w:r>
    </w:p>
    <w:p w14:paraId="422F415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(4)当承包人发生本款约定的违约情况时，发包人有权向承包人处以违约金，具体约定如下：</w:t>
      </w:r>
    </w:p>
    <w:p w14:paraId="0C97025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或在后续服务过程中，泄露应该保密的资料或信息，作出有损国家或发包人利益的行为，视具体情况，发包人将按合同价的5％-10％计扣违约金，构成犯罪的依法追究刑事责任。</w:t>
      </w:r>
    </w:p>
    <w:p w14:paraId="2AE1776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（5）因承包人的原因而导致本合同被解除的，承包人应返还已收取的所有款项，并按合同约定总金额的10%向发包人支付违约金。</w:t>
      </w:r>
    </w:p>
    <w:p w14:paraId="19184BDC">
      <w:pPr>
        <w:pStyle w:val="372"/>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hint="eastAsia" w:hAnsi="宋体"/>
          <w:b/>
          <w:color w:val="auto"/>
          <w:highlight w:val="none"/>
          <w:shd w:val="clear" w:color="auto" w:fill="FFFFFF" w:themeFill="background1"/>
        </w:rPr>
      </w:pPr>
      <w:bookmarkStart w:id="319" w:name="_Toc29826"/>
      <w:r>
        <w:rPr>
          <w:rFonts w:hint="eastAsia" w:hAnsi="宋体"/>
          <w:b/>
          <w:color w:val="auto"/>
          <w:highlight w:val="none"/>
          <w:shd w:val="clear" w:color="auto" w:fill="FFFFFF" w:themeFill="background1"/>
        </w:rPr>
        <w:t>6. 合同的生效与终止</w:t>
      </w:r>
      <w:bookmarkEnd w:id="319"/>
    </w:p>
    <w:p w14:paraId="32B7983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6.3 </w:t>
      </w:r>
      <w:r>
        <w:rPr>
          <w:rFonts w:hint="eastAsia" w:ascii="宋体" w:hAnsi="宋体" w:eastAsia="宋体" w:cs="宋体"/>
          <w:color w:val="auto"/>
          <w:sz w:val="21"/>
          <w:szCs w:val="21"/>
          <w:highlight w:val="none"/>
        </w:rPr>
        <w:t>因不可抗力致使本合同不能履行或只能部分履行时，一方应立即书面通知另一方，暂停或解除合同，双方均不因此承担违约责任。不可抗力是指发包人和承包人在订立合同时不可预见，在工程实施过程中不可避免发生并不能克服的自然灾害和社会性突发事件，如地震、海啸、瘟疫、特大水灾、骚乱、暴动、战争和专用合同条款约定的其他情形。</w:t>
      </w:r>
    </w:p>
    <w:p w14:paraId="36861722">
      <w:pPr>
        <w:pStyle w:val="372"/>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hint="eastAsia" w:hAnsi="宋体"/>
          <w:b/>
          <w:color w:val="auto"/>
          <w:highlight w:val="none"/>
          <w:shd w:val="clear" w:color="auto" w:fill="FFFFFF" w:themeFill="background1"/>
        </w:rPr>
      </w:pPr>
      <w:bookmarkStart w:id="320" w:name="_Toc19879"/>
      <w:r>
        <w:rPr>
          <w:rFonts w:hint="eastAsia" w:hAnsi="宋体"/>
          <w:b/>
          <w:color w:val="auto"/>
          <w:highlight w:val="none"/>
          <w:shd w:val="clear" w:color="auto" w:fill="FFFFFF" w:themeFill="background1"/>
        </w:rPr>
        <w:t>7. 费用与支付</w:t>
      </w:r>
      <w:bookmarkEnd w:id="320"/>
    </w:p>
    <w:p w14:paraId="7B59917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 本合同费用为：人民币</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w:t>
      </w:r>
    </w:p>
    <w:p w14:paraId="35C5E51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本项目合同费用支付方式如下：</w:t>
      </w:r>
    </w:p>
    <w:p w14:paraId="4D1470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 发包人根据承包人的工作进度，分期支付合同价款。</w:t>
      </w:r>
    </w:p>
    <w:p w14:paraId="6CB8E94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w:t>
      </w:r>
    </w:p>
    <w:p w14:paraId="76194C1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合同签署后，由承包人提交预付款支付申请，采购人收到预付款支付申请后的</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天内，向承包人支付合同价的30%作为预付款；承包人应当提供等额的增值税发票；本合同履行后，预付款抵作进度款，如因发生不可抗力事件导致预付款已支付但合同无法继续履行的情况，承包人应向发包人退还已支付款项。</w:t>
      </w:r>
    </w:p>
    <w:p w14:paraId="72C849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（2）中期支付</w:t>
      </w:r>
    </w:p>
    <w:p w14:paraId="3AF39427">
      <w:pPr>
        <w:pStyle w:val="2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①勘察外业结束并经发包人组织专家验收合格后</w:t>
      </w:r>
      <w:r>
        <w:rPr>
          <w:rFonts w:hint="eastAsia" w:ascii="宋体" w:hAnsi="宋体" w:eastAsia="宋体" w:cs="宋体"/>
          <w:color w:val="auto"/>
          <w:sz w:val="21"/>
          <w:szCs w:val="21"/>
          <w:highlight w:val="none"/>
        </w:rPr>
        <w:t>，由承包人提交进度款支付申请，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人收到进度款支付申请后的</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天内，向承包人支付至</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费用合同价的</w:t>
      </w:r>
      <w:r>
        <w:rPr>
          <w:rFonts w:hint="eastAsia" w:ascii="宋体" w:hAnsi="宋体" w:eastAsia="宋体" w:cs="宋体"/>
          <w:color w:val="auto"/>
          <w:sz w:val="21"/>
          <w:szCs w:val="21"/>
          <w:highlight w:val="none"/>
          <w:lang w:eastAsia="zh-CN"/>
        </w:rPr>
        <w:t>95</w:t>
      </w:r>
      <w:r>
        <w:rPr>
          <w:rFonts w:hint="eastAsia" w:ascii="宋体" w:hAnsi="宋体" w:eastAsia="宋体" w:cs="宋体"/>
          <w:color w:val="auto"/>
          <w:sz w:val="21"/>
          <w:szCs w:val="21"/>
          <w:highlight w:val="none"/>
        </w:rPr>
        <w:t>%（含相应的预付款）；承包人应当提供等额的增值税发票。</w:t>
      </w:r>
    </w:p>
    <w:p w14:paraId="2BEFF43B">
      <w:pPr>
        <w:pStyle w:val="23"/>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eastAsia="zh-CN"/>
        </w:rPr>
        <w:t>完成</w:t>
      </w:r>
      <w:r>
        <w:rPr>
          <w:rFonts w:hint="eastAsia" w:ascii="宋体" w:hAnsi="宋体" w:eastAsia="宋体" w:cs="宋体"/>
          <w:color w:val="auto"/>
          <w:sz w:val="21"/>
          <w:szCs w:val="21"/>
          <w:highlight w:val="none"/>
        </w:rPr>
        <w:t>方案设计及</w:t>
      </w:r>
      <w:r>
        <w:rPr>
          <w:rFonts w:hint="eastAsia" w:ascii="宋体" w:hAnsi="宋体" w:cs="宋体"/>
          <w:color w:val="auto"/>
          <w:sz w:val="21"/>
          <w:szCs w:val="21"/>
          <w:highlight w:val="none"/>
          <w:lang w:eastAsia="zh-CN"/>
        </w:rPr>
        <w:t>专题报告</w:t>
      </w:r>
      <w:r>
        <w:rPr>
          <w:rFonts w:hint="eastAsia" w:ascii="宋体" w:hAnsi="宋体" w:eastAsia="宋体" w:cs="宋体"/>
          <w:color w:val="auto"/>
          <w:sz w:val="21"/>
          <w:szCs w:val="21"/>
          <w:highlight w:val="none"/>
          <w:lang w:eastAsia="zh-CN"/>
        </w:rPr>
        <w:t>送审稿后，</w:t>
      </w:r>
      <w:r>
        <w:rPr>
          <w:rFonts w:hint="eastAsia" w:ascii="宋体" w:hAnsi="宋体" w:eastAsia="宋体" w:cs="宋体"/>
          <w:color w:val="auto"/>
          <w:sz w:val="21"/>
          <w:szCs w:val="21"/>
          <w:highlight w:val="none"/>
        </w:rPr>
        <w:t>由承包人提交进度款支付申请，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人收到进度款支付申请后的14天内，向承包人支付至</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费用合同价的</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0%（含相应的预付款）；承包人应当提供等额的增值税发票。</w:t>
      </w:r>
    </w:p>
    <w:p w14:paraId="7E6B003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（3）费用结算</w:t>
      </w:r>
    </w:p>
    <w:p w14:paraId="41ADA50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所有合同工作完成</w:t>
      </w:r>
      <w:r>
        <w:rPr>
          <w:rFonts w:hint="eastAsia" w:ascii="宋体" w:hAnsi="宋体" w:eastAsia="宋体" w:cs="宋体"/>
          <w:color w:val="auto"/>
          <w:sz w:val="21"/>
          <w:szCs w:val="21"/>
          <w:highlight w:val="none"/>
          <w:lang w:eastAsia="zh-CN"/>
        </w:rPr>
        <w:t>且锚地发布使用</w:t>
      </w:r>
      <w:r>
        <w:rPr>
          <w:rFonts w:hint="eastAsia" w:ascii="宋体" w:hAnsi="宋体" w:eastAsia="宋体" w:cs="宋体"/>
          <w:color w:val="auto"/>
          <w:sz w:val="21"/>
          <w:szCs w:val="21"/>
          <w:highlight w:val="none"/>
        </w:rPr>
        <w:t>后，由承包人向发包人提交费用结算申请，并提交经验收合格的成果资料和相关证明材料，发包人收到费用结算申请后的28天内完成审批或答复。</w:t>
      </w:r>
    </w:p>
    <w:p w14:paraId="0F9E61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勘察</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实际完成钻孔数量和合同单价</w:t>
      </w:r>
      <w:r>
        <w:rPr>
          <w:rFonts w:hint="eastAsia" w:ascii="宋体" w:hAnsi="宋体" w:eastAsia="宋体" w:cs="宋体"/>
          <w:color w:val="auto"/>
          <w:sz w:val="21"/>
          <w:szCs w:val="21"/>
          <w:highlight w:val="none"/>
        </w:rPr>
        <w:t>进行费用结算</w:t>
      </w:r>
      <w:r>
        <w:rPr>
          <w:rFonts w:hint="eastAsia" w:ascii="宋体" w:hAnsi="宋体" w:eastAsia="宋体" w:cs="宋体"/>
          <w:color w:val="auto"/>
          <w:sz w:val="21"/>
          <w:szCs w:val="21"/>
          <w:highlight w:val="none"/>
          <w:lang w:eastAsia="zh-CN"/>
        </w:rPr>
        <w:t>；</w:t>
      </w:r>
    </w:p>
    <w:p w14:paraId="4D0092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Cs w:val="21"/>
          <w:highlight w:val="none"/>
        </w:rPr>
        <w:t>在合同实施期间，</w:t>
      </w:r>
      <w:r>
        <w:rPr>
          <w:rFonts w:hint="eastAsia" w:ascii="宋体" w:hAnsi="宋体" w:eastAsia="宋体" w:cs="宋体"/>
          <w:color w:val="auto"/>
          <w:sz w:val="21"/>
          <w:szCs w:val="21"/>
          <w:highlight w:val="none"/>
        </w:rPr>
        <w:t>方案设计及通航安全评估</w:t>
      </w:r>
      <w:r>
        <w:rPr>
          <w:rFonts w:hint="eastAsia" w:ascii="宋体" w:hAnsi="宋体" w:eastAsia="宋体" w:cs="宋体"/>
          <w:color w:val="auto"/>
          <w:sz w:val="21"/>
          <w:szCs w:val="21"/>
          <w:highlight w:val="none"/>
          <w:lang w:eastAsia="zh-CN"/>
        </w:rPr>
        <w:t>服务费用不调整，但如双方约定增加专题研究的，根据实际完成情况按约定</w:t>
      </w:r>
      <w:r>
        <w:rPr>
          <w:rFonts w:hint="eastAsia" w:ascii="宋体" w:hAnsi="宋体" w:eastAsia="宋体" w:cs="宋体"/>
          <w:color w:val="auto"/>
          <w:sz w:val="21"/>
          <w:szCs w:val="21"/>
          <w:highlight w:val="none"/>
        </w:rPr>
        <w:t>进行费用</w:t>
      </w:r>
      <w:r>
        <w:rPr>
          <w:rFonts w:hint="eastAsia" w:ascii="宋体" w:hAnsi="宋体" w:eastAsia="宋体" w:cs="宋体"/>
          <w:color w:val="auto"/>
          <w:sz w:val="21"/>
          <w:szCs w:val="21"/>
          <w:highlight w:val="none"/>
          <w:lang w:eastAsia="zh-CN"/>
        </w:rPr>
        <w:t>结算；</w:t>
      </w:r>
    </w:p>
    <w:p w14:paraId="79205C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③结算后</w:t>
      </w:r>
      <w:r>
        <w:rPr>
          <w:rFonts w:hint="eastAsia" w:ascii="宋体" w:hAnsi="宋体" w:eastAsia="宋体" w:cs="宋体"/>
          <w:color w:val="auto"/>
          <w:sz w:val="21"/>
          <w:szCs w:val="21"/>
          <w:highlight w:val="none"/>
        </w:rPr>
        <w:t>导致合同费用增加的，</w:t>
      </w:r>
      <w:r>
        <w:rPr>
          <w:rFonts w:hint="eastAsia" w:ascii="宋体" w:hAnsi="宋体" w:eastAsia="宋体" w:cs="宋体"/>
          <w:color w:val="auto"/>
          <w:sz w:val="21"/>
          <w:szCs w:val="21"/>
          <w:highlight w:val="none"/>
          <w:lang w:eastAsia="zh-CN"/>
        </w:rPr>
        <w:t>增加的费用不超过签约合同价的10%，且最终合同价格总额不超过</w:t>
      </w:r>
      <w:r>
        <w:rPr>
          <w:rFonts w:hint="eastAsia" w:ascii="宋体" w:hAnsi="宋体" w:cs="宋体"/>
          <w:color w:val="auto"/>
          <w:sz w:val="21"/>
          <w:szCs w:val="21"/>
          <w:highlight w:val="none"/>
          <w:lang w:val="en-US" w:eastAsia="zh-CN"/>
        </w:rPr>
        <w:t>635</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rPr>
        <w:t>。</w:t>
      </w:r>
    </w:p>
    <w:p w14:paraId="6E77BF05">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7.2.2 由于财政资金未按时到位或财政资金管理原因暂时不能支付的，合同价款的支付时间相应顺延，并且发包人不因此承担逾期付款的违约责任。</w:t>
      </w:r>
    </w:p>
    <w:p w14:paraId="1C95630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 有异议的支付</w:t>
      </w:r>
    </w:p>
    <w:p w14:paraId="45A13F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发包人对承包人提交的付款申请有异议时，发包人应在7个工作日内发出书面通知要求承包人澄清，此时，应在收到承包人书面澄清(以发包人签收的日期为准)之日起28天内支付。如果承包人在收到要求书面澄清的通知后15天内未做任何书面答复，则不予支付，直到承包人作出书面澄清为止。澄清期间不视为发包人逾期付款”修改为“如果发包人对承包人提交的付款申请有异议时，发包人应在7个工作日内发出书面通知要求承包人澄清，此时，应在收到承包人书面澄清(以发包人签收的日期为准)之日起28天内支付，发包人不认可承包人书面澄清的情况除外。如果承包人在收到要求书面澄清的通知后15天内未做任何书面答复，则不予支付，直到承包人作出书面澄清并取得认可为止。澄清期间不视为发包人逾期付款。</w:t>
      </w:r>
    </w:p>
    <w:p w14:paraId="5DB49C4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 w:val="21"/>
          <w:szCs w:val="21"/>
          <w:highlight w:val="none"/>
        </w:rPr>
        <w:t>7.2.4 承包人收款账户信息如下：</w:t>
      </w:r>
      <w:r>
        <w:rPr>
          <w:rFonts w:hint="eastAsia" w:ascii="宋体" w:hAnsi="宋体" w:eastAsia="宋体" w:cs="宋体"/>
          <w:b/>
          <w:bCs/>
          <w:color w:val="auto"/>
          <w:sz w:val="21"/>
          <w:szCs w:val="21"/>
          <w:highlight w:val="none"/>
          <w:lang w:val="en-US" w:eastAsia="zh-CN"/>
        </w:rPr>
        <w:t xml:space="preserve">         </w:t>
      </w:r>
    </w:p>
    <w:p w14:paraId="0EE339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承包人收款账户发生变更的，应当在变更当日书面告知发包人，否则由此产生的损失由承包人承担；发包人不接受承包人委托第三方收款。</w:t>
      </w:r>
    </w:p>
    <w:p w14:paraId="4A3D84B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暂列金额</w:t>
      </w:r>
    </w:p>
    <w:p w14:paraId="3B3726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本合同的暂列金额为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万元。这项金额应按发包人的书面指示全部或部分地使用，或根本不予动用。</w:t>
      </w:r>
    </w:p>
    <w:p w14:paraId="76010C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如果使用暂列金额进行某项额外勘察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工作，其费用应按承包人投标报价中相应项目的基本单价和实际发生的工作量经发包人核定后支付，或者按实际发生的工作费用经发包人核实后支付。</w:t>
      </w:r>
    </w:p>
    <w:p w14:paraId="5E14D89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费用的调整</w:t>
      </w:r>
    </w:p>
    <w:p w14:paraId="3B32542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01B00087">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7.4.1 在合同实施期间勘察</w:t>
      </w:r>
      <w:r>
        <w:rPr>
          <w:rFonts w:hint="eastAsia" w:ascii="宋体" w:hAnsi="宋体" w:eastAsia="宋体" w:cs="宋体"/>
          <w:b/>
          <w:bCs/>
          <w:color w:val="auto"/>
          <w:sz w:val="21"/>
          <w:szCs w:val="21"/>
          <w:highlight w:val="none"/>
          <w:lang w:eastAsia="zh-CN"/>
        </w:rPr>
        <w:t>咨询</w:t>
      </w:r>
      <w:r>
        <w:rPr>
          <w:rFonts w:hint="eastAsia" w:ascii="宋体" w:hAnsi="宋体" w:eastAsia="宋体" w:cs="宋体"/>
          <w:b/>
          <w:bCs/>
          <w:color w:val="auto"/>
          <w:sz w:val="21"/>
          <w:szCs w:val="21"/>
          <w:highlight w:val="none"/>
        </w:rPr>
        <w:t>费不随国家政策变化和物价波动等原因进行调整，方案变更、法律、法规、规范和标准变更等均不能作为承包人的索赔依据，承包人应将该风险考虑在投标报价中。</w:t>
      </w:r>
    </w:p>
    <w:p w14:paraId="084AF16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7.4.2 根据实际完成工作量结算：承包人实际完成的工作量比合同工作量减少的，根据勘察</w:t>
      </w:r>
      <w:r>
        <w:rPr>
          <w:rFonts w:hint="eastAsia" w:ascii="宋体" w:hAnsi="宋体" w:eastAsia="宋体" w:cs="宋体"/>
          <w:color w:val="auto"/>
          <w:sz w:val="21"/>
          <w:szCs w:val="21"/>
          <w:highlight w:val="none"/>
          <w:lang w:eastAsia="zh-CN"/>
        </w:rPr>
        <w:t>钻孔数量和合同单价</w:t>
      </w:r>
      <w:r>
        <w:rPr>
          <w:rFonts w:hint="eastAsia" w:ascii="宋体" w:hAnsi="宋体" w:eastAsia="宋体" w:cs="宋体"/>
          <w:b/>
          <w:bCs/>
          <w:color w:val="auto"/>
          <w:sz w:val="21"/>
          <w:szCs w:val="21"/>
          <w:highlight w:val="none"/>
        </w:rPr>
        <w:t>进行费用结算；</w:t>
      </w:r>
      <w:r>
        <w:rPr>
          <w:rFonts w:hint="eastAsia" w:ascii="宋体" w:hAnsi="宋体" w:eastAsia="宋体" w:cs="宋体"/>
          <w:b/>
          <w:bCs/>
          <w:color w:val="auto"/>
          <w:sz w:val="21"/>
          <w:szCs w:val="21"/>
          <w:highlight w:val="none"/>
          <w:lang w:val="en-US" w:eastAsia="zh-CN"/>
        </w:rPr>
        <w:t>但工作量增加，不增加费用，发包人要求增加工作量的除外。</w:t>
      </w:r>
    </w:p>
    <w:p w14:paraId="21BE8F1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7.4.3 在合同执行过程中，勘察工作量的变化，均不改变报价清单中的单价。</w:t>
      </w:r>
    </w:p>
    <w:p w14:paraId="7B96A658">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7.4.4 如发包人未书面指示动用“暂列金额”，则在结算时“暂列金额”予以扣减；如全部或部分地使用，则按发包人书面指示按承包人投标报价中相应项目的基本单价和实际发生的工作量经核定后予以结算。</w:t>
      </w:r>
    </w:p>
    <w:p w14:paraId="10BB9E25">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7.5.1 承包人在签订合同之前，向发包人提交金额为签约合同价的5%</w:t>
      </w:r>
      <w:r>
        <w:rPr>
          <w:rFonts w:hint="eastAsia" w:ascii="宋体" w:hAnsi="宋体" w:eastAsia="宋体" w:cs="宋体"/>
          <w:b/>
          <w:bCs/>
          <w:color w:val="auto"/>
          <w:sz w:val="21"/>
          <w:szCs w:val="21"/>
          <w:highlight w:val="none"/>
          <w:lang w:eastAsia="zh-CN"/>
        </w:rPr>
        <w:t>（或</w:t>
      </w: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如</w:t>
      </w:r>
      <w:r>
        <w:rPr>
          <w:rFonts w:hint="eastAsia" w:ascii="宋体" w:hAnsi="宋体" w:eastAsia="宋体" w:cs="宋体"/>
          <w:b/>
          <w:bCs/>
          <w:color w:val="auto"/>
          <w:szCs w:val="21"/>
          <w:highlight w:val="none"/>
          <w:lang w:eastAsia="zh-CN"/>
        </w:rPr>
        <w:t>承包</w:t>
      </w:r>
      <w:r>
        <w:rPr>
          <w:rFonts w:hint="eastAsia" w:ascii="宋体" w:hAnsi="宋体" w:eastAsia="宋体" w:cs="宋体"/>
          <w:b/>
          <w:bCs/>
          <w:color w:val="auto"/>
          <w:szCs w:val="21"/>
          <w:highlight w:val="none"/>
        </w:rPr>
        <w:t>人为中小微企业</w:t>
      </w:r>
      <w:r>
        <w:rPr>
          <w:rFonts w:hint="eastAsia" w:ascii="宋体" w:hAnsi="宋体" w:eastAsia="宋体" w:cs="宋体"/>
          <w:b/>
          <w:bCs/>
          <w:color w:val="auto"/>
          <w:szCs w:val="21"/>
          <w:highlight w:val="none"/>
          <w:lang w:eastAsia="zh-CN"/>
        </w:rPr>
        <w:t>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的履约保证金。承包人未按约定提交履约保证金的，视为放弃中标资格，发包人有权不予与其签订合同；因此给发包人造成损失的，承包人还应承担相应的赔偿责任。</w:t>
      </w:r>
    </w:p>
    <w:p w14:paraId="2A4F098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7.5.2 履约保证金以支票、汇票、本票或者金融机构、担保机构出具的保函等非现金形式提交</w:t>
      </w:r>
      <w:r>
        <w:rPr>
          <w:rFonts w:hint="eastAsia" w:ascii="宋体" w:hAnsi="宋体" w:eastAsia="宋体" w:cs="宋体"/>
          <w:color w:val="auto"/>
          <w:sz w:val="21"/>
          <w:szCs w:val="21"/>
          <w:highlight w:val="none"/>
          <w:lang w:eastAsia="zh-CN"/>
        </w:rPr>
        <w:t>。</w:t>
      </w:r>
    </w:p>
    <w:p w14:paraId="3E16AB8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（1）若采用银行保函形式，应采用采购文件所附的格式，由国有商业或股份制商业银行出具。并保证其有效。执行本条规定所需的费用由承包人承担。保函的正本由发包人保存。</w:t>
      </w:r>
    </w:p>
    <w:p w14:paraId="53EBE99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（2）若采用银行转账形式，应当从承包人基本账户转出，且全额一次性转入发包人指定账号，并注明“</w:t>
      </w:r>
      <w:r>
        <w:rPr>
          <w:rFonts w:hint="eastAsia" w:ascii="宋体" w:hAnsi="宋体" w:cs="宋体"/>
          <w:color w:val="auto"/>
          <w:sz w:val="21"/>
          <w:szCs w:val="21"/>
          <w:highlight w:val="none"/>
          <w:lang w:eastAsia="zh-CN"/>
        </w:rPr>
        <w:t>钦州港1号至12号外锚地建设工程（外1#、外2#锚地及锚地通道）勘察测量及方案设计</w:t>
      </w:r>
      <w:r>
        <w:rPr>
          <w:rFonts w:hint="eastAsia" w:ascii="宋体" w:hAnsi="宋体" w:eastAsia="宋体" w:cs="宋体"/>
          <w:color w:val="auto"/>
          <w:sz w:val="21"/>
          <w:szCs w:val="21"/>
          <w:highlight w:val="none"/>
        </w:rPr>
        <w:t>项目采购项目履约保证金”，并且确保在中标通知书发出之日起25日内到账，否则，其履约担保视为无效。</w:t>
      </w:r>
    </w:p>
    <w:p w14:paraId="448A5A9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7.5.3 履约担保在承包人按合同要求完成全部勘察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工作并提交全部合格的资料后28天内退还承包人，履约保证金不计利息。</w:t>
      </w:r>
    </w:p>
    <w:p w14:paraId="154A0C0B">
      <w:pPr>
        <w:pStyle w:val="372"/>
        <w:keepNext w:val="0"/>
        <w:keepLines w:val="0"/>
        <w:pageBreakBefore w:val="0"/>
        <w:widowControl w:val="0"/>
        <w:kinsoku/>
        <w:wordWrap/>
        <w:overflowPunct/>
        <w:topLinePunct w:val="0"/>
        <w:autoSpaceDE/>
        <w:autoSpaceDN/>
        <w:bidi w:val="0"/>
        <w:adjustRightInd/>
        <w:snapToGrid/>
        <w:spacing w:beforeLines="0" w:afterLines="0" w:line="460" w:lineRule="exact"/>
        <w:ind w:firstLine="562"/>
        <w:textAlignment w:val="auto"/>
        <w:outlineLvl w:val="1"/>
        <w:rPr>
          <w:rFonts w:hint="eastAsia" w:hAnsi="宋体"/>
          <w:b/>
          <w:color w:val="auto"/>
          <w:highlight w:val="none"/>
          <w:shd w:val="clear" w:color="auto" w:fill="FFFFFF" w:themeFill="background1"/>
        </w:rPr>
      </w:pPr>
      <w:bookmarkStart w:id="321" w:name="_Toc25645"/>
      <w:r>
        <w:rPr>
          <w:rFonts w:hint="eastAsia" w:hAnsi="宋体"/>
          <w:b/>
          <w:color w:val="auto"/>
          <w:highlight w:val="none"/>
          <w:shd w:val="clear" w:color="auto" w:fill="FFFFFF" w:themeFill="background1"/>
        </w:rPr>
        <w:t>8. 其他</w:t>
      </w:r>
      <w:bookmarkEnd w:id="321"/>
    </w:p>
    <w:p w14:paraId="76B8FE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争议的解决</w:t>
      </w:r>
    </w:p>
    <w:p w14:paraId="66BC4E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本款约定为：争议的终解决方式：</w:t>
      </w:r>
      <w:r>
        <w:rPr>
          <w:rFonts w:hint="eastAsia" w:ascii="宋体" w:hAnsi="宋体"/>
          <w:b/>
          <w:color w:val="auto"/>
          <w:kern w:val="0"/>
          <w:sz w:val="21"/>
          <w:szCs w:val="21"/>
          <w:highlight w:val="none"/>
          <w:u w:val="single"/>
        </w:rPr>
        <w:t>向</w:t>
      </w:r>
      <w:r>
        <w:rPr>
          <w:rFonts w:hint="eastAsia" w:ascii="宋体" w:hAnsi="宋体"/>
          <w:b/>
          <w:color w:val="auto"/>
          <w:kern w:val="0"/>
          <w:sz w:val="21"/>
          <w:szCs w:val="21"/>
          <w:highlight w:val="none"/>
          <w:u w:val="single"/>
          <w:lang w:val="en-US" w:eastAsia="zh-CN"/>
        </w:rPr>
        <w:t xml:space="preserve">     </w:t>
      </w:r>
      <w:r>
        <w:rPr>
          <w:rFonts w:hint="eastAsia" w:ascii="宋体" w:hAnsi="宋体"/>
          <w:b/>
          <w:color w:val="auto"/>
          <w:kern w:val="0"/>
          <w:sz w:val="21"/>
          <w:szCs w:val="21"/>
          <w:highlight w:val="none"/>
          <w:u w:val="single"/>
        </w:rPr>
        <w:t>法院诉讼</w:t>
      </w:r>
      <w:r>
        <w:rPr>
          <w:rFonts w:hint="eastAsia" w:ascii="宋体" w:hAnsi="宋体" w:eastAsia="宋体" w:cs="宋体"/>
          <w:color w:val="auto"/>
          <w:sz w:val="21"/>
          <w:szCs w:val="21"/>
          <w:highlight w:val="none"/>
        </w:rPr>
        <w:t>。</w:t>
      </w:r>
    </w:p>
    <w:p w14:paraId="719843B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因本合同一方违约而产生的一切法律纠纷，守约方为解决争议所产生的诉讼费、仲裁费、差旅费、律师代理费、鉴定费、公证费、合理调查费、保全费、诉讼财产保全保险费及执行费等，均由违约方承担</w:t>
      </w:r>
      <w:r>
        <w:rPr>
          <w:rFonts w:hint="eastAsia" w:ascii="宋体" w:hAnsi="宋体" w:eastAsia="宋体" w:cs="宋体"/>
          <w:color w:val="auto"/>
          <w:sz w:val="21"/>
          <w:szCs w:val="21"/>
          <w:highlight w:val="none"/>
        </w:rPr>
        <w:t>。</w:t>
      </w:r>
    </w:p>
    <w:p w14:paraId="10DDDC7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农民工工资的发放：在合同实施期间，承包人应按国家、地方有关规定保障足额发放所聘参与本工程的农民工的工资，不得以任何理由和借口拖欠农民工的工资。</w:t>
      </w:r>
    </w:p>
    <w:p w14:paraId="13B8EFD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因拖欠农民工工资引起的一切纠纷，均由承包人自行承担责任。</w:t>
      </w:r>
    </w:p>
    <w:p w14:paraId="3589734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 资料保密</w:t>
      </w:r>
    </w:p>
    <w:p w14:paraId="55F2D80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除法律规定或合同另有约定外，未经发包人同意，承包人不得将发包人提供的图纸、文件以及声明需要保密的资料信息等商业秘密泄露给第三方。保密义务长期有效，不因本合同的终止、解除等事由失去效力。</w:t>
      </w:r>
    </w:p>
    <w:p w14:paraId="4631C2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8.6通知送达</w:t>
      </w:r>
    </w:p>
    <w:p w14:paraId="36AB437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一方发给对方的文件均以本合同载明的地址、电话等通讯方式为准，若一方变更地址、电话等通讯信息的，应即时以书面形式通知对方，否则，通知人按合同中对方的地址、电话等通讯方式发给对方的文件即视为通知人履行了送达文件的义务。如因合同中一方地址错误或地址变更没有书面通知造成送达不能的，由该方自行承担一切损失和责任。各类书面通知以书面文件为准，接收方签收之时起即为送达。无法直接传送的，市区内自文件邮寄之日起三天后视为已送达，市区外自发送之日起五天后视为已送达。    </w:t>
      </w:r>
    </w:p>
    <w:p w14:paraId="6C360F2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履约验收方案</w:t>
      </w:r>
    </w:p>
    <w:p w14:paraId="4C31D5A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1.履约验收主体</w:t>
      </w:r>
    </w:p>
    <w:p w14:paraId="09A34F7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u w:val="single"/>
        </w:rPr>
        <w:t xml:space="preserve"> 按照《广西壮族自治区政府采购项目履约验收管理办法》和《广西壮族自治区港航发展中心本级政府采购管理工作规程》有关规定，组织履约验收。</w:t>
      </w:r>
    </w:p>
    <w:p w14:paraId="1D785FF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u w:val="single"/>
        </w:rPr>
        <w:t xml:space="preserve">                       </w:t>
      </w:r>
    </w:p>
    <w:p w14:paraId="38CC581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□本项目的其他供应商：</w:t>
      </w:r>
      <w:r>
        <w:rPr>
          <w:rFonts w:hint="eastAsia" w:ascii="宋体" w:hAnsi="宋体" w:eastAsia="宋体" w:cs="宋体"/>
          <w:color w:val="auto"/>
          <w:sz w:val="21"/>
          <w:szCs w:val="21"/>
          <w:highlight w:val="none"/>
          <w:u w:val="single"/>
        </w:rPr>
        <w:t xml:space="preserve">                 </w:t>
      </w:r>
    </w:p>
    <w:p w14:paraId="44E754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□第三方专业机构：</w:t>
      </w:r>
      <w:r>
        <w:rPr>
          <w:rFonts w:hint="eastAsia" w:ascii="宋体" w:hAnsi="宋体" w:eastAsia="宋体" w:cs="宋体"/>
          <w:color w:val="auto"/>
          <w:sz w:val="21"/>
          <w:szCs w:val="21"/>
          <w:highlight w:val="none"/>
          <w:u w:val="single"/>
        </w:rPr>
        <w:t xml:space="preserve">                     </w:t>
      </w:r>
    </w:p>
    <w:p w14:paraId="6CAAC50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□专家：</w:t>
      </w:r>
      <w:r>
        <w:rPr>
          <w:rFonts w:hint="eastAsia" w:ascii="宋体" w:hAnsi="宋体" w:eastAsia="宋体" w:cs="宋体"/>
          <w:color w:val="auto"/>
          <w:sz w:val="21"/>
          <w:szCs w:val="21"/>
          <w:highlight w:val="none"/>
          <w:u w:val="single"/>
        </w:rPr>
        <w:t xml:space="preserve">                                </w:t>
      </w:r>
    </w:p>
    <w:p w14:paraId="0CB9800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u w:val="single"/>
        </w:rPr>
        <w:t xml:space="preserve">                           </w:t>
      </w:r>
    </w:p>
    <w:p w14:paraId="061EBCA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p>
    <w:p w14:paraId="5AF0A72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2.履约验收时间</w:t>
      </w:r>
    </w:p>
    <w:p w14:paraId="580ACC1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按照《广西壮族自治区政府采购项目履约验收管理办法》规定，自成交供应商履行完合同义务之日起七个工作日内组织验收,并提出验收意见。 </w:t>
      </w:r>
    </w:p>
    <w:p w14:paraId="274FB66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3.履约验收方式</w:t>
      </w:r>
    </w:p>
    <w:p w14:paraId="0E3963D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本项目采取采购人自行验收方式实施履约验收。    </w:t>
      </w:r>
    </w:p>
    <w:p w14:paraId="62BCF2A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4.履约验收程序</w:t>
      </w:r>
    </w:p>
    <w:p w14:paraId="2EAFD2A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按照《广西壮族自治区政府采购项目履约验收管理办法》和《广西壮族自治区港航发展中心本级政府采购管理工作规程》有关规定，验收程序和要求如下：</w:t>
      </w:r>
    </w:p>
    <w:p w14:paraId="2BE6D2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（1）成立验收小组。验收小组原则上应由三人以上单数组成，验收小组组长由采购部门的负责人担任，成员为原临时合议小组人员，并从相关业务部门安排1人作为监督人。</w:t>
      </w:r>
    </w:p>
    <w:p w14:paraId="1343E7A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（2）组织验收。验收小组应当按照采购合同对供应商的履约情况进行验收。</w:t>
      </w:r>
    </w:p>
    <w:p w14:paraId="669E59D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验收小组应当结合合同项目验收清单和标准，对供应商的完成合同情况进行验收。</w:t>
      </w:r>
    </w:p>
    <w:p w14:paraId="7883EA1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（3）出具验收书。验收小组完成验收后，应当出具验收书，由所有验收人签字，作为支付采购尾款的必备资料。</w:t>
      </w:r>
    </w:p>
    <w:p w14:paraId="7790B4D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（4）验收结果公告。将验收结果（验收书）在本单位范围内进行公告，公告期不得少于5个工作日。</w:t>
      </w:r>
    </w:p>
    <w:p w14:paraId="74872B2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5.履约验收内容</w:t>
      </w:r>
    </w:p>
    <w:p w14:paraId="2F9B25C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按合同约定完成工程勘察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服务。</w:t>
      </w:r>
    </w:p>
    <w:p w14:paraId="5C66047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6.履约验收验收标准</w:t>
      </w:r>
    </w:p>
    <w:p w14:paraId="3533E32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总工期为</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0个日历天。具体如下：①中标通知书发出后60个日历天内提交勘察成果；②中标通知书发出后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0个日历天内提交方案设计、通航安全评估等报告送审稿；报告评审会后，10个日历天内完成报批稿。主管部门审查、审批时间另行计算。</w:t>
      </w:r>
    </w:p>
    <w:p w14:paraId="1752DA1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所有成果文件应当符合现行相关国家标准、行业标准、地方标准等标准、规范，并通过专家或主管部门、机构组织的评审，取得主管部门批复（如需要），满足</w:t>
      </w:r>
      <w:r>
        <w:rPr>
          <w:rFonts w:hint="eastAsia" w:ascii="宋体" w:hAnsi="宋体" w:eastAsia="宋体" w:cs="宋体"/>
          <w:color w:val="auto"/>
          <w:szCs w:val="21"/>
          <w:highlight w:val="none"/>
          <w:lang w:eastAsia="zh-CN"/>
        </w:rPr>
        <w:t>申请锚地划定</w:t>
      </w:r>
      <w:r>
        <w:rPr>
          <w:rFonts w:hint="eastAsia" w:ascii="宋体" w:hAnsi="宋体" w:eastAsia="宋体" w:cs="宋体"/>
          <w:color w:val="auto"/>
          <w:szCs w:val="21"/>
          <w:highlight w:val="none"/>
        </w:rPr>
        <w:t>、海事管理机构对外公布锚地公告的要求。</w:t>
      </w:r>
    </w:p>
    <w:p w14:paraId="5C9C1E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7.履约验收其他事项</w:t>
      </w:r>
    </w:p>
    <w:p w14:paraId="710A93F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       </w:t>
      </w:r>
    </w:p>
    <w:p w14:paraId="4601A8A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w:t>
      </w:r>
      <w:r>
        <w:rPr>
          <w:rFonts w:hint="eastAsia" w:ascii="宋体" w:hAnsi="宋体" w:eastAsia="宋体" w:cs="宋体"/>
          <w:color w:val="auto"/>
          <w:sz w:val="21"/>
          <w:szCs w:val="21"/>
          <w:highlight w:val="none"/>
        </w:rPr>
        <w:t>风险管控措施</w:t>
      </w:r>
    </w:p>
    <w:p w14:paraId="086DDD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w:t>
      </w:r>
      <w:r>
        <w:rPr>
          <w:rFonts w:hint="eastAsia" w:ascii="宋体" w:hAnsi="宋体" w:eastAsia="宋体" w:cs="宋体"/>
          <w:color w:val="auto"/>
          <w:sz w:val="21"/>
          <w:szCs w:val="21"/>
          <w:highlight w:val="none"/>
        </w:rPr>
        <w:t>1.包1</w:t>
      </w:r>
    </w:p>
    <w:p w14:paraId="7330F10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（1）国家政策变化应对措施： 在合同实施期间国家政策变化，勘察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 xml:space="preserve">费不进行调整。  </w:t>
      </w:r>
    </w:p>
    <w:p w14:paraId="068FA55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（2）实施环境变化应对措施： 在合同实施期间实施环境变化、物价波动，勘察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 xml:space="preserve">费不进行调整。               </w:t>
      </w:r>
    </w:p>
    <w:p w14:paraId="334B5FA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（3）重大技术变化应对措施：  在合同实施期间方案变更、法律、法规、规范和标准变更等技术变化，勘察</w:t>
      </w:r>
      <w:r>
        <w:rPr>
          <w:rFonts w:hint="eastAsia" w:ascii="宋体" w:hAnsi="宋体" w:eastAsia="宋体" w:cs="宋体"/>
          <w:color w:val="auto"/>
          <w:sz w:val="21"/>
          <w:szCs w:val="21"/>
          <w:highlight w:val="none"/>
          <w:lang w:eastAsia="zh-CN"/>
        </w:rPr>
        <w:t>咨询</w:t>
      </w:r>
      <w:r>
        <w:rPr>
          <w:rFonts w:hint="eastAsia" w:ascii="宋体" w:hAnsi="宋体" w:eastAsia="宋体" w:cs="宋体"/>
          <w:color w:val="auto"/>
          <w:sz w:val="21"/>
          <w:szCs w:val="21"/>
          <w:highlight w:val="none"/>
        </w:rPr>
        <w:t xml:space="preserve">费不进行调整。     </w:t>
      </w:r>
    </w:p>
    <w:p w14:paraId="7053AB3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（4）预算项目调整应对措施： 加强采购计划编制质量；加强项目管理；根据法律法规和合同作相应调整。       </w:t>
      </w:r>
    </w:p>
    <w:p w14:paraId="72FA5EF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（5）因质疑投诉影响采购进度应对措施： 根据有关法律法规，加强采购文件编制质量；按有关法律法规要求，及时回复质疑投诉；合理缩短各环节实施时间。    </w:t>
      </w:r>
    </w:p>
    <w:p w14:paraId="296B7D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（6）采购失败应对措施： 根据有关法律法规，加强采购文件编制质量。认真分析采购失败原因，采取相应措施：如工期设置太短，合理调整工期；如特殊资格条件设置过高，适当降低要求等。          </w:t>
      </w:r>
    </w:p>
    <w:p w14:paraId="1B598EF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（7）不按规定签订或者履行合同应对措施： 严格按有关法律法规要求，根据采购文件和响应文件内容，在成交通知发出后25日内签订合同；加强合同履约管理。  </w:t>
      </w:r>
    </w:p>
    <w:p w14:paraId="1FECFC2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仿宋_GB2312" w:eastAsia="仿宋_GB2312"/>
          <w:color w:val="auto"/>
          <w:sz w:val="32"/>
          <w:szCs w:val="32"/>
          <w:highlight w:val="none"/>
        </w:rPr>
      </w:pPr>
      <w:r>
        <w:rPr>
          <w:rFonts w:hint="eastAsia" w:ascii="宋体" w:hAnsi="宋体" w:eastAsia="宋体" w:cs="宋体"/>
          <w:color w:val="auto"/>
          <w:sz w:val="21"/>
          <w:szCs w:val="21"/>
          <w:highlight w:val="none"/>
        </w:rPr>
        <w:t>（8）出现损害国家利益和社会公共利益情形应对措施： 严格遵守有关法律法规、标准规范和合同约定。</w:t>
      </w:r>
    </w:p>
    <w:p w14:paraId="6600ADF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highlight w:val="none"/>
          <w:shd w:val="clear" w:color="auto" w:fill="FFFFFF" w:themeFill="background1"/>
        </w:rPr>
      </w:pPr>
    </w:p>
    <w:p w14:paraId="1D5C33CB">
      <w:pPr>
        <w:spacing w:line="360" w:lineRule="auto"/>
        <w:ind w:firstLine="420" w:firstLineChars="200"/>
        <w:rPr>
          <w:rFonts w:ascii="宋体" w:hAnsi="宋体" w:cs="宋体"/>
          <w:color w:val="auto"/>
          <w:szCs w:val="21"/>
          <w:highlight w:val="none"/>
          <w:shd w:val="clear" w:color="auto" w:fill="FFFFFF" w:themeFill="background1"/>
        </w:rPr>
      </w:pPr>
    </w:p>
    <w:p w14:paraId="348579F2">
      <w:pPr>
        <w:spacing w:line="360" w:lineRule="auto"/>
        <w:ind w:firstLine="422"/>
        <w:rPr>
          <w:rFonts w:ascii="宋体" w:hAnsi="宋体" w:cs="宋体"/>
          <w:color w:val="auto"/>
          <w:szCs w:val="21"/>
          <w:highlight w:val="none"/>
          <w:shd w:val="clear" w:color="auto" w:fill="FFFFFF" w:themeFill="background1"/>
        </w:rPr>
      </w:pPr>
      <w:r>
        <w:rPr>
          <w:rFonts w:ascii="宋体" w:hAnsi="宋体" w:cs="宋体"/>
          <w:color w:val="auto"/>
          <w:szCs w:val="21"/>
          <w:highlight w:val="none"/>
          <w:shd w:val="clear" w:color="auto" w:fill="FFFFFF" w:themeFill="background1"/>
        </w:rPr>
        <w:br w:type="page"/>
      </w:r>
      <w:bookmarkStart w:id="322" w:name="_Toc38903737"/>
      <w:bookmarkStart w:id="323" w:name="_Toc89866149"/>
      <w:bookmarkStart w:id="324" w:name="_Toc20218"/>
      <w:r>
        <w:rPr>
          <w:rFonts w:hint="eastAsia" w:ascii="宋体" w:hAnsi="宋体" w:cs="宋体"/>
          <w:color w:val="auto"/>
          <w:szCs w:val="21"/>
          <w:highlight w:val="none"/>
          <w:shd w:val="clear" w:color="auto" w:fill="FFFFFF" w:themeFill="background1"/>
        </w:rPr>
        <w:t>附件1  合同协议书</w:t>
      </w:r>
      <w:bookmarkEnd w:id="322"/>
      <w:bookmarkEnd w:id="323"/>
      <w:bookmarkEnd w:id="324"/>
    </w:p>
    <w:p w14:paraId="0A73AEB3">
      <w:pPr>
        <w:snapToGrid w:val="0"/>
        <w:spacing w:line="360" w:lineRule="auto"/>
        <w:ind w:firstLine="422"/>
        <w:jc w:val="center"/>
        <w:rPr>
          <w:rFonts w:ascii="宋体" w:hAnsi="宋体" w:cs="宋体"/>
          <w:color w:val="auto"/>
          <w:sz w:val="28"/>
          <w:szCs w:val="28"/>
          <w:highlight w:val="none"/>
          <w:shd w:val="clear" w:color="auto" w:fill="FFFFFF" w:themeFill="background1"/>
        </w:rPr>
      </w:pPr>
    </w:p>
    <w:p w14:paraId="6A41BE6C">
      <w:pPr>
        <w:snapToGrid w:val="0"/>
        <w:spacing w:line="360" w:lineRule="auto"/>
        <w:jc w:val="center"/>
        <w:rPr>
          <w:rFonts w:ascii="宋体" w:hAnsi="宋体" w:cs="宋体"/>
          <w:b/>
          <w:color w:val="auto"/>
          <w:sz w:val="28"/>
          <w:szCs w:val="28"/>
          <w:highlight w:val="none"/>
          <w:shd w:val="clear" w:color="auto" w:fill="FFFFFF" w:themeFill="background1"/>
        </w:rPr>
      </w:pPr>
      <w:r>
        <w:rPr>
          <w:rFonts w:hint="eastAsia" w:ascii="宋体" w:hAnsi="宋体" w:cs="宋体"/>
          <w:b/>
          <w:color w:val="auto"/>
          <w:sz w:val="28"/>
          <w:szCs w:val="28"/>
          <w:highlight w:val="none"/>
          <w:shd w:val="clear" w:color="auto" w:fill="FFFFFF" w:themeFill="background1"/>
        </w:rPr>
        <w:t>合同协议书</w:t>
      </w:r>
    </w:p>
    <w:p w14:paraId="0CEC10B7">
      <w:pPr>
        <w:snapToGrid w:val="0"/>
        <w:spacing w:line="360" w:lineRule="auto"/>
        <w:ind w:firstLine="420"/>
        <w:jc w:val="center"/>
        <w:rPr>
          <w:rFonts w:ascii="宋体" w:hAnsi="宋体" w:cs="宋体"/>
          <w:b/>
          <w:color w:val="auto"/>
          <w:szCs w:val="21"/>
          <w:highlight w:val="none"/>
          <w:shd w:val="clear" w:color="auto" w:fill="FFFFFF" w:themeFill="background1"/>
        </w:rPr>
      </w:pPr>
    </w:p>
    <w:p w14:paraId="5A3712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本合同协议书由(以下简称“甲方”)与(以下简称“乙方”)于年月日共同签署。</w:t>
      </w:r>
    </w:p>
    <w:p w14:paraId="4CD4375A">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甲方通过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日的中标通知书，接受了乙方为(项目名称)的前期工作承担单位，投标报价总额为</w:t>
      </w:r>
      <w:r>
        <w:rPr>
          <w:rFonts w:hint="eastAsia" w:ascii="宋体" w:hAnsi="宋体" w:cs="宋体"/>
          <w:color w:val="auto"/>
          <w:szCs w:val="21"/>
          <w:highlight w:val="none"/>
          <w:u w:val="single"/>
        </w:rPr>
        <w:t>人民币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小</w:t>
      </w:r>
      <w:r>
        <w:rPr>
          <w:rFonts w:hint="eastAsia" w:ascii="宋体" w:hAnsi="宋体" w:cs="宋体"/>
          <w:color w:val="auto"/>
          <w:szCs w:val="21"/>
          <w:highlight w:val="none"/>
          <w:u w:val="single"/>
        </w:rPr>
        <w:t>写</w:t>
      </w:r>
      <w:r>
        <w:rPr>
          <w:rFonts w:hint="eastAsia" w:ascii="宋体" w:hAnsi="宋体" w:cs="宋体"/>
          <w:color w:val="auto"/>
          <w:szCs w:val="21"/>
          <w:highlight w:val="none"/>
          <w:u w:val="single"/>
          <w:lang w:val="en-US" w:eastAsia="zh-CN"/>
        </w:rPr>
        <w:t xml:space="preserve">      元</w:t>
      </w:r>
      <w:r>
        <w:rPr>
          <w:rFonts w:hint="eastAsia" w:ascii="宋体" w:hAnsi="宋体" w:cs="宋体"/>
          <w:color w:val="auto"/>
          <w:szCs w:val="21"/>
          <w:highlight w:val="none"/>
          <w:u w:val="single"/>
        </w:rPr>
        <w:t>)，</w:t>
      </w:r>
      <w:r>
        <w:rPr>
          <w:rFonts w:ascii="宋体" w:hAnsi="宋体"/>
          <w:snapToGrid w:val="0"/>
          <w:color w:val="auto"/>
          <w:kern w:val="0"/>
          <w:sz w:val="24"/>
          <w:highlight w:val="none"/>
          <w:u w:val="single"/>
        </w:rPr>
        <w:t>其中</w:t>
      </w:r>
      <w:r>
        <w:rPr>
          <w:rFonts w:hint="eastAsia" w:ascii="宋体" w:hAnsi="宋体"/>
          <w:snapToGrid w:val="0"/>
          <w:color w:val="auto"/>
          <w:kern w:val="0"/>
          <w:sz w:val="24"/>
          <w:highlight w:val="none"/>
          <w:u w:val="single"/>
        </w:rPr>
        <w:t>外1#、外2#锚地及锚地通道勘察测量</w:t>
      </w:r>
      <w:r>
        <w:rPr>
          <w:rFonts w:ascii="宋体" w:hAnsi="宋体"/>
          <w:snapToGrid w:val="0"/>
          <w:color w:val="auto"/>
          <w:kern w:val="0"/>
          <w:sz w:val="24"/>
          <w:highlight w:val="none"/>
          <w:u w:val="single"/>
        </w:rPr>
        <w:t>为 万元</w:t>
      </w:r>
      <w:r>
        <w:rPr>
          <w:rFonts w:hint="eastAsia" w:ascii="宋体" w:hAnsi="宋体"/>
          <w:snapToGrid w:val="0"/>
          <w:color w:val="auto"/>
          <w:kern w:val="0"/>
          <w:sz w:val="24"/>
          <w:highlight w:val="none"/>
          <w:u w:val="single"/>
          <w:lang w:eastAsia="zh-CN"/>
        </w:rPr>
        <w:t>；</w:t>
      </w:r>
      <w:r>
        <w:rPr>
          <w:rFonts w:hint="eastAsia" w:ascii="宋体" w:hAnsi="宋体" w:cs="宋体"/>
          <w:color w:val="auto"/>
          <w:sz w:val="24"/>
          <w:highlight w:val="none"/>
          <w:u w:val="single"/>
        </w:rPr>
        <w:t>有关方案设计及专题报告编制</w:t>
      </w:r>
      <w:r>
        <w:rPr>
          <w:rFonts w:ascii="宋体" w:hAnsi="宋体"/>
          <w:snapToGrid w:val="0"/>
          <w:color w:val="auto"/>
          <w:kern w:val="0"/>
          <w:sz w:val="24"/>
          <w:highlight w:val="none"/>
          <w:u w:val="single"/>
        </w:rPr>
        <w:t>为</w:t>
      </w:r>
      <w:r>
        <w:rPr>
          <w:rFonts w:hint="eastAsia" w:ascii="宋体" w:hAnsi="宋体"/>
          <w:snapToGrid w:val="0"/>
          <w:color w:val="auto"/>
          <w:kern w:val="0"/>
          <w:sz w:val="24"/>
          <w:highlight w:val="none"/>
          <w:u w:val="single"/>
          <w:lang w:val="en-US" w:eastAsia="zh-CN"/>
        </w:rPr>
        <w:t xml:space="preserve">   </w:t>
      </w:r>
      <w:r>
        <w:rPr>
          <w:rFonts w:ascii="宋体" w:hAnsi="宋体"/>
          <w:snapToGrid w:val="0"/>
          <w:color w:val="auto"/>
          <w:kern w:val="0"/>
          <w:sz w:val="24"/>
          <w:highlight w:val="none"/>
          <w:u w:val="single"/>
        </w:rPr>
        <w:t>万元</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总</w:t>
      </w:r>
      <w:r>
        <w:rPr>
          <w:rFonts w:hint="eastAsia" w:ascii="宋体" w:hAnsi="宋体" w:cs="宋体"/>
          <w:color w:val="auto"/>
          <w:szCs w:val="21"/>
          <w:highlight w:val="none"/>
          <w:u w:val="none"/>
        </w:rPr>
        <w:t>工期</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E80C391">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为此，甲、乙双方达成如下协议：</w:t>
      </w:r>
    </w:p>
    <w:p w14:paraId="5629D3AB">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一、本协议书中所用术语的含义与勘察咨询合同条款中的含义相同。</w:t>
      </w:r>
    </w:p>
    <w:p w14:paraId="5B64E260">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二、下列文件应作为本合同的组成部分，并互为补充和解释，但如有含义不清或互相矛盾之处，以如下排序在前者优先：</w:t>
      </w:r>
    </w:p>
    <w:p w14:paraId="4F561D51">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(1)合同协议书及各种合同附件(含评标期间和合同谈判过程中的澄清文件和补充资料；咨询人提交的经发包人审核通过的勘察咨询详细工作大纲及进度计划、专题研究详细工作大纲等)；</w:t>
      </w:r>
    </w:p>
    <w:p w14:paraId="01C7C18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(2)中标通知书；</w:t>
      </w:r>
    </w:p>
    <w:p w14:paraId="256475E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(3)投标函；</w:t>
      </w:r>
    </w:p>
    <w:p w14:paraId="1CE71663">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(4)专用合同条款；</w:t>
      </w:r>
    </w:p>
    <w:p w14:paraId="3BDBFEE9">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(5)通用合同条款；</w:t>
      </w:r>
    </w:p>
    <w:p w14:paraId="47F38FDE">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(6)技术要求；</w:t>
      </w:r>
    </w:p>
    <w:p w14:paraId="514C06C2">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(7)工作量及报价清单；</w:t>
      </w:r>
    </w:p>
    <w:p w14:paraId="51489DB5">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(8)联合体协议（如有）</w:t>
      </w:r>
    </w:p>
    <w:p w14:paraId="56256B23">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（9）构成本合同组成部分的其他文件(补遗书、澄清函)。</w:t>
      </w:r>
    </w:p>
    <w:p w14:paraId="28198260">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三、甲方和乙方双方的责任和义务及违约条款遵照合同条款的规定。</w:t>
      </w:r>
    </w:p>
    <w:p w14:paraId="65D057C1">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四、本合同的总金额是完成本合同所规定义务的一切费用。除暂列金额之外，其余由乙方包干使用，甲方将按进度和合同条款相应规定分期支付。在合同实施期间，如果勘察实物工作量发生变化，勘察费用应进行调整，其他情况不得调整勘察费用；勘察费用调整时以实际完成并提交成果、符合招标文件规定、符合规范要求的勘察实物工作量进行结算。</w:t>
      </w:r>
    </w:p>
    <w:p w14:paraId="6191228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五、本合同协议书未尽事宜由双方协商解决。</w:t>
      </w:r>
    </w:p>
    <w:p w14:paraId="147760CF">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六、本合同协议书经双方法定代表人或其委托代理人签字并盖双方单位公章或合同专用章后即生效，咨询费用结清后、在双方履行完本合同项下全部权利义务后终止。双方要恪守信誉，严格履行。</w:t>
      </w:r>
    </w:p>
    <w:p w14:paraId="1E0B412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七、</w:t>
      </w:r>
      <w:r>
        <w:rPr>
          <w:rFonts w:hint="eastAsia" w:ascii="宋体" w:hAnsi="宋体" w:cs="宋体"/>
          <w:color w:val="auto"/>
          <w:szCs w:val="21"/>
          <w:highlight w:val="none"/>
        </w:rPr>
        <w:t>本合同协议书一式份，其中正本份，甲方执正本份，副本份，乙方执正本份，副本份，</w:t>
      </w:r>
      <w:r>
        <w:rPr>
          <w:rFonts w:hint="eastAsia" w:ascii="宋体" w:hAnsi="宋体" w:cs="宋体"/>
          <w:color w:val="auto"/>
          <w:szCs w:val="21"/>
          <w:highlight w:val="none"/>
          <w:shd w:val="clear" w:color="auto" w:fill="FFFFFF" w:themeFill="background1"/>
        </w:rPr>
        <w:t>；当正本与副本内容不一致时，以正本为准。</w:t>
      </w:r>
    </w:p>
    <w:p w14:paraId="784B47AC">
      <w:pPr>
        <w:snapToGrid w:val="0"/>
        <w:spacing w:line="360" w:lineRule="auto"/>
        <w:ind w:firstLine="422"/>
        <w:rPr>
          <w:rFonts w:ascii="宋体" w:hAnsi="宋体" w:cs="宋体"/>
          <w:color w:val="auto"/>
          <w:szCs w:val="21"/>
          <w:highlight w:val="none"/>
          <w:shd w:val="clear" w:color="auto" w:fill="FFFFFF" w:themeFill="background1"/>
        </w:rPr>
      </w:pPr>
    </w:p>
    <w:p w14:paraId="7578273B">
      <w:pPr>
        <w:snapToGrid w:val="0"/>
        <w:spacing w:line="360" w:lineRule="auto"/>
        <w:ind w:firstLine="422"/>
        <w:rPr>
          <w:rFonts w:ascii="宋体" w:hAnsi="宋体" w:cs="宋体"/>
          <w:color w:val="auto"/>
          <w:szCs w:val="21"/>
          <w:highlight w:val="none"/>
          <w:shd w:val="clear" w:color="auto" w:fill="FFFFFF" w:themeFill="background1"/>
        </w:rPr>
      </w:pPr>
    </w:p>
    <w:p w14:paraId="5635DA6E">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甲方：广西壮族自治区港航发展中心               乙方：  （单位全称）  </w:t>
      </w:r>
    </w:p>
    <w:p w14:paraId="04FAFEC2">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           （盖章）                                    （盖章） </w:t>
      </w:r>
    </w:p>
    <w:p w14:paraId="59DA938A">
      <w:pPr>
        <w:snapToGrid w:val="0"/>
        <w:spacing w:line="48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法定代表人                                     法定代表人</w:t>
      </w:r>
    </w:p>
    <w:p w14:paraId="78BE029E">
      <w:pPr>
        <w:snapToGrid w:val="0"/>
        <w:spacing w:line="48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或委托代理人签名：                            或委托代理人签名：                    　         </w:t>
      </w:r>
    </w:p>
    <w:p w14:paraId="30E792DF">
      <w:pPr>
        <w:snapToGrid w:val="0"/>
        <w:spacing w:line="48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收款单位全称：　　　　　　　　　　　　　　　　收款单位全称：　</w:t>
      </w:r>
    </w:p>
    <w:p w14:paraId="044D8838">
      <w:pPr>
        <w:snapToGrid w:val="0"/>
        <w:spacing w:line="48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银行帐号：                                     银行帐号：</w:t>
      </w:r>
    </w:p>
    <w:p w14:paraId="12A4CAB2">
      <w:pPr>
        <w:snapToGrid w:val="0"/>
        <w:spacing w:line="48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开户行：                                       开户行：</w:t>
      </w:r>
    </w:p>
    <w:p w14:paraId="23B755A6">
      <w:pPr>
        <w:snapToGrid w:val="0"/>
        <w:spacing w:line="480" w:lineRule="auto"/>
        <w:ind w:firstLine="422"/>
        <w:rPr>
          <w:rFonts w:ascii="宋体" w:hAnsi="宋体" w:cs="宋体"/>
          <w:bCs/>
          <w:color w:val="auto"/>
          <w:szCs w:val="21"/>
          <w:highlight w:val="none"/>
          <w:u w:val="none"/>
        </w:rPr>
      </w:pPr>
      <w:r>
        <w:rPr>
          <w:rFonts w:hint="eastAsia" w:ascii="宋体" w:hAnsi="宋体" w:cs="宋体"/>
          <w:bCs/>
          <w:color w:val="auto"/>
          <w:szCs w:val="21"/>
          <w:highlight w:val="none"/>
          <w:u w:val="none"/>
        </w:rPr>
        <w:t>地址：南宁市百花岭路6号      　　              地址：　　　　　</w:t>
      </w:r>
    </w:p>
    <w:p w14:paraId="7CA0C90A">
      <w:pPr>
        <w:snapToGrid w:val="0"/>
        <w:spacing w:line="480" w:lineRule="auto"/>
        <w:ind w:firstLine="422"/>
        <w:rPr>
          <w:rFonts w:ascii="宋体" w:hAnsi="宋体" w:cs="宋体"/>
          <w:bCs/>
          <w:color w:val="auto"/>
          <w:szCs w:val="21"/>
          <w:highlight w:val="none"/>
          <w:u w:val="none"/>
        </w:rPr>
      </w:pPr>
      <w:r>
        <w:rPr>
          <w:rFonts w:hint="eastAsia" w:ascii="宋体" w:hAnsi="宋体" w:cs="宋体"/>
          <w:bCs/>
          <w:color w:val="auto"/>
          <w:szCs w:val="21"/>
          <w:highlight w:val="none"/>
          <w:u w:val="none"/>
        </w:rPr>
        <w:t xml:space="preserve">电话：                         </w:t>
      </w:r>
      <w:r>
        <w:rPr>
          <w:rFonts w:hint="eastAsia" w:ascii="宋体" w:hAnsi="宋体" w:cs="宋体"/>
          <w:bCs/>
          <w:color w:val="auto"/>
          <w:szCs w:val="21"/>
          <w:highlight w:val="none"/>
          <w:u w:val="none"/>
          <w:lang w:val="en-US" w:eastAsia="zh-CN"/>
        </w:rPr>
        <w:t xml:space="preserve">                 </w:t>
      </w:r>
      <w:r>
        <w:rPr>
          <w:rFonts w:hint="eastAsia" w:ascii="宋体" w:hAnsi="宋体" w:cs="宋体"/>
          <w:bCs/>
          <w:color w:val="auto"/>
          <w:szCs w:val="21"/>
          <w:highlight w:val="none"/>
          <w:u w:val="none"/>
        </w:rPr>
        <w:t>电话：　　　　　</w:t>
      </w:r>
    </w:p>
    <w:p w14:paraId="2B62FA20">
      <w:pPr>
        <w:snapToGrid w:val="0"/>
        <w:spacing w:line="480" w:lineRule="auto"/>
        <w:ind w:firstLine="422"/>
        <w:rPr>
          <w:rFonts w:ascii="宋体" w:hAnsi="宋体" w:cs="宋体"/>
          <w:bCs/>
          <w:color w:val="auto"/>
          <w:szCs w:val="21"/>
          <w:highlight w:val="none"/>
          <w:u w:val="none"/>
        </w:rPr>
      </w:pPr>
      <w:r>
        <w:rPr>
          <w:rFonts w:hint="eastAsia" w:ascii="宋体" w:hAnsi="宋体" w:cs="宋体"/>
          <w:bCs/>
          <w:color w:val="auto"/>
          <w:szCs w:val="21"/>
          <w:highlight w:val="none"/>
          <w:u w:val="none"/>
        </w:rPr>
        <w:t xml:space="preserve">日期：                        </w:t>
      </w:r>
      <w:r>
        <w:rPr>
          <w:rFonts w:hint="eastAsia" w:ascii="宋体" w:hAnsi="宋体" w:cs="宋体"/>
          <w:bCs/>
          <w:color w:val="auto"/>
          <w:szCs w:val="21"/>
          <w:highlight w:val="none"/>
          <w:u w:val="none"/>
          <w:lang w:val="en-US" w:eastAsia="zh-CN"/>
        </w:rPr>
        <w:t xml:space="preserve">                  </w:t>
      </w:r>
      <w:r>
        <w:rPr>
          <w:rFonts w:hint="eastAsia" w:ascii="宋体" w:hAnsi="宋体" w:cs="宋体"/>
          <w:bCs/>
          <w:color w:val="auto"/>
          <w:szCs w:val="21"/>
          <w:highlight w:val="none"/>
          <w:u w:val="none"/>
        </w:rPr>
        <w:t>日期：　　　　　</w:t>
      </w:r>
    </w:p>
    <w:p w14:paraId="2622185E">
      <w:pPr>
        <w:ind w:firstLine="422"/>
        <w:rPr>
          <w:color w:val="auto"/>
          <w:highlight w:val="none"/>
          <w:u w:val="none"/>
          <w:shd w:val="clear" w:color="auto" w:fill="FFFFFF" w:themeFill="background1"/>
        </w:rPr>
      </w:pPr>
      <w:bookmarkStart w:id="325" w:name="_Toc20065"/>
    </w:p>
    <w:p w14:paraId="7DD68E3C">
      <w:pPr>
        <w:ind w:firstLine="422"/>
        <w:rPr>
          <w:color w:val="auto"/>
          <w:highlight w:val="none"/>
          <w:shd w:val="clear" w:color="auto" w:fill="FFFFFF" w:themeFill="background1"/>
        </w:rPr>
      </w:pPr>
    </w:p>
    <w:p w14:paraId="69167428">
      <w:pPr>
        <w:ind w:firstLine="422"/>
        <w:rPr>
          <w:color w:val="auto"/>
          <w:highlight w:val="none"/>
          <w:shd w:val="clear" w:color="auto" w:fill="FFFFFF" w:themeFill="background1"/>
        </w:rPr>
      </w:pPr>
    </w:p>
    <w:p w14:paraId="08752F7D">
      <w:pPr>
        <w:ind w:firstLine="422"/>
        <w:rPr>
          <w:color w:val="auto"/>
          <w:highlight w:val="none"/>
          <w:shd w:val="clear" w:color="auto" w:fill="FFFFFF" w:themeFill="background1"/>
        </w:rPr>
      </w:pPr>
      <w:r>
        <w:rPr>
          <w:rFonts w:hint="eastAsia"/>
          <w:color w:val="auto"/>
          <w:highlight w:val="none"/>
          <w:shd w:val="clear" w:color="auto" w:fill="FFFFFF" w:themeFill="background1"/>
        </w:rPr>
        <w:br w:type="page"/>
      </w:r>
    </w:p>
    <w:p w14:paraId="5B1528AA">
      <w:pPr>
        <w:spacing w:line="360" w:lineRule="auto"/>
        <w:ind w:firstLine="422"/>
        <w:jc w:val="left"/>
        <w:outlineLvl w:val="1"/>
        <w:rPr>
          <w:rFonts w:ascii="宋体" w:hAnsi="宋体" w:cs="宋体"/>
          <w:color w:val="auto"/>
          <w:szCs w:val="21"/>
          <w:highlight w:val="none"/>
          <w:shd w:val="clear" w:color="auto" w:fill="FFFFFF" w:themeFill="background1"/>
        </w:rPr>
      </w:pPr>
      <w:bookmarkStart w:id="326" w:name="_Toc89866150"/>
      <w:bookmarkStart w:id="327" w:name="_Toc38903738"/>
      <w:bookmarkStart w:id="328" w:name="_Toc5217"/>
      <w:bookmarkStart w:id="329" w:name="_Toc2472"/>
      <w:r>
        <w:rPr>
          <w:rFonts w:hint="eastAsia" w:ascii="宋体" w:hAnsi="宋体" w:cs="宋体"/>
          <w:color w:val="auto"/>
          <w:szCs w:val="21"/>
          <w:highlight w:val="none"/>
          <w:shd w:val="clear" w:color="auto" w:fill="FFFFFF" w:themeFill="background1"/>
        </w:rPr>
        <w:t>附件2  廉政合同</w:t>
      </w:r>
      <w:bookmarkEnd w:id="325"/>
      <w:bookmarkEnd w:id="326"/>
      <w:bookmarkEnd w:id="327"/>
      <w:bookmarkEnd w:id="328"/>
      <w:bookmarkEnd w:id="329"/>
    </w:p>
    <w:p w14:paraId="52A91039">
      <w:pPr>
        <w:snapToGrid w:val="0"/>
        <w:spacing w:line="360" w:lineRule="auto"/>
        <w:jc w:val="center"/>
        <w:rPr>
          <w:rFonts w:ascii="宋体" w:hAnsi="宋体" w:cs="宋体"/>
          <w:b/>
          <w:color w:val="auto"/>
          <w:sz w:val="28"/>
          <w:szCs w:val="28"/>
          <w:highlight w:val="none"/>
        </w:rPr>
      </w:pPr>
      <w:bookmarkStart w:id="330" w:name="_Toc38903739"/>
      <w:bookmarkStart w:id="331" w:name="_Toc14116"/>
      <w:r>
        <w:rPr>
          <w:rFonts w:hint="eastAsia" w:ascii="宋体" w:hAnsi="宋体" w:cs="宋体"/>
          <w:b/>
          <w:color w:val="auto"/>
          <w:sz w:val="28"/>
          <w:szCs w:val="28"/>
          <w:highlight w:val="none"/>
        </w:rPr>
        <w:t>廉政合同</w:t>
      </w:r>
    </w:p>
    <w:p w14:paraId="310974A3">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 （以下简称:甲方）为一方与另一方</w:t>
      </w:r>
      <w:r>
        <w:rPr>
          <w:rFonts w:hint="eastAsia" w:ascii="宋体" w:hAnsi="宋体" w:cs="宋体"/>
          <w:color w:val="auto"/>
          <w:szCs w:val="21"/>
          <w:highlight w:val="none"/>
          <w:u w:val="single"/>
        </w:rPr>
        <w:t xml:space="preserve">  全称    </w:t>
      </w:r>
      <w:r>
        <w:rPr>
          <w:rFonts w:hint="eastAsia" w:ascii="宋体" w:hAnsi="宋体" w:cs="宋体"/>
          <w:color w:val="auto"/>
          <w:szCs w:val="21"/>
          <w:highlight w:val="none"/>
        </w:rPr>
        <w:t>（以下称乙方），特订立如下合同。</w:t>
      </w:r>
    </w:p>
    <w:p w14:paraId="5D7DF1AB">
      <w:pPr>
        <w:pStyle w:val="8"/>
        <w:snapToGrid w:val="0"/>
        <w:spacing w:line="360" w:lineRule="auto"/>
        <w:ind w:left="602" w:firstLine="422"/>
        <w:rPr>
          <w:rFonts w:ascii="宋体" w:hAnsi="宋体" w:cs="宋体"/>
          <w:color w:val="auto"/>
          <w:szCs w:val="21"/>
          <w:highlight w:val="none"/>
        </w:rPr>
      </w:pPr>
      <w:r>
        <w:rPr>
          <w:rFonts w:hint="eastAsia" w:ascii="宋体" w:hAnsi="宋体" w:cs="宋体"/>
          <w:color w:val="auto"/>
          <w:szCs w:val="21"/>
          <w:highlight w:val="none"/>
        </w:rPr>
        <w:t>第一条  双方的权利和义务</w:t>
      </w:r>
    </w:p>
    <w:p w14:paraId="4B06C18B">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（一）严格遵守党和国家有关法律法规及交通运输部的有关规定。</w:t>
      </w:r>
    </w:p>
    <w:p w14:paraId="490A145A">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（二）严格执行合同文件，自觉按合同办事。</w:t>
      </w:r>
    </w:p>
    <w:p w14:paraId="04CB12CB">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（三）双方的业务活动坚持公开、公正、诚信、透明的原则（除法律认定的商业秘密和合同文件另有规定之外），不得损害国家和集体利益，违反工程建设管理规章制度。</w:t>
      </w:r>
    </w:p>
    <w:p w14:paraId="1F6A8277">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（四）建立健全廉政制度，开展廉政教育，设立廉政告示牌，公布举报电话，监督并认真查处违法违纪行为。</w:t>
      </w:r>
    </w:p>
    <w:p w14:paraId="3AFFB5C4">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（五）发现对方在业务活动中有违反廉政规定的行为，有及时提醒对方纠正的权利和义务。</w:t>
      </w:r>
    </w:p>
    <w:p w14:paraId="6D8BA2BD">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（六）发现对方严重违反本合同义务条款的行为，有向其上级有关部门举报、建议给予处理并要求告知处理结果的权利。</w:t>
      </w:r>
    </w:p>
    <w:p w14:paraId="72A23E03">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第二条 甲方的义务</w:t>
      </w:r>
    </w:p>
    <w:p w14:paraId="304A506D">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（一）甲方及其工作人员不得索要或接受乙方的礼金、有价证券和贵重物品，不得让乙方报销任何应由甲方或个人支付的费用等。</w:t>
      </w:r>
    </w:p>
    <w:p w14:paraId="17E76BEE">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（二）甲方工作人员不得参加乙方安排的超标准宴请和娱乐活动；不得接受乙方提供的通讯工具、交通工具和高档办公用品等。</w:t>
      </w:r>
    </w:p>
    <w:p w14:paraId="333EF4CE">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（三）甲方及其工作人员不得要求或者接受乙方为其住房装修、婚丧嫁娶活动、配偶子女的工作安排以及出国出境、旅游等提供方便等。</w:t>
      </w:r>
    </w:p>
    <w:p w14:paraId="5CB7B001">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（四）不准向乙方和相关单位介绍或为配偶、子女、亲属参与同甲方项目工程合同有关的咨询业务等活动。不得以任何理由要求乙方和相关单位在咨询中使用某种产品、材料和设备。</w:t>
      </w:r>
    </w:p>
    <w:p w14:paraId="431EC48D">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第三条  乙方义务</w:t>
      </w:r>
    </w:p>
    <w:p w14:paraId="41F16F97">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（一）乙方不得以任何理由向甲方及其工作人员行贿或馈赠礼金、有价证券、贵重礼品。</w:t>
      </w:r>
    </w:p>
    <w:p w14:paraId="1E937554">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（二）乙方不得以任何名义为甲方及其工作人员报销应由甲方单位或个人支付的任何费用。</w:t>
      </w:r>
    </w:p>
    <w:p w14:paraId="43792932">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（三）乙方不得以任何理由安排甲方工作人员参加超标准宴请及娱乐活动。</w:t>
      </w:r>
    </w:p>
    <w:p w14:paraId="1BF57527">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（四）乙方不得为甲方单位和个人购置或提供通讯工具、交通工具和高档办公用品等。</w:t>
      </w:r>
    </w:p>
    <w:p w14:paraId="3AD45242">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第四条  违约责任</w:t>
      </w:r>
    </w:p>
    <w:p w14:paraId="2FA6F41E">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（一）甲方及其工作人员违反本合同第一、二条，按管理权限，依据有关规定给予党纪、政纪处分或组织处理；涉嫌犯罪的，移交司法机关追究刑事责任；给乙方单位造成经济损失的，应予以赔偿。</w:t>
      </w:r>
    </w:p>
    <w:p w14:paraId="21FF6A24">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二）乙方及其工作人员违反本合同第一、三条，按管理权限，依据有关规定给予党纪、政纪处分或组织处理；给甲方单位造成经济损失的，应予以赔偿；情节严重的，甲方建议交通工程建设主管部门给予乙方一至三年内不得进入其主管的交通工程建设市场的处罚。</w:t>
      </w:r>
    </w:p>
    <w:p w14:paraId="4F58C9B6">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五条：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67E602DF">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第六条  本合同有效期限为双方签署之日起至合同失效日止。</w:t>
      </w:r>
    </w:p>
    <w:p w14:paraId="1D8A91DB">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第七条  本合同作为合同的附件，与咨询合同具有同等的法律效力，经合同双方代表签字、加盖公章且在甲方收到乙方的履约担保后生效。</w:t>
      </w:r>
    </w:p>
    <w:p w14:paraId="208793DE">
      <w:pPr>
        <w:pStyle w:val="8"/>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第八条 本合同一式   份，甲方  份，乙方   份。</w:t>
      </w:r>
    </w:p>
    <w:p w14:paraId="0C214872">
      <w:pPr>
        <w:spacing w:line="360" w:lineRule="auto"/>
        <w:ind w:firstLine="210" w:firstLineChars="100"/>
        <w:rPr>
          <w:rFonts w:hint="eastAsia" w:ascii="宋体" w:hAnsi="宋体" w:cs="宋体"/>
          <w:color w:val="auto"/>
          <w:szCs w:val="21"/>
          <w:highlight w:val="none"/>
          <w:shd w:val="clear" w:color="auto" w:fill="FFFFFF" w:themeFill="background1"/>
        </w:rPr>
      </w:pPr>
    </w:p>
    <w:p w14:paraId="446938F6">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 xml:space="preserve">甲方：广西壮族自治区港航发展中心（盖章） 乙方：（单位全称）（盖章） </w:t>
      </w:r>
    </w:p>
    <w:p w14:paraId="6062B555">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法定代表人                                 法定代表人</w:t>
      </w:r>
    </w:p>
    <w:p w14:paraId="60EB893E">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或其委托代理人签名：                   或其委托代理人签名：</w:t>
      </w:r>
    </w:p>
    <w:p w14:paraId="0BF2B881">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签字日期：      年   月  日            签字日期：      年   月  日</w:t>
      </w:r>
    </w:p>
    <w:p w14:paraId="6FBFA050">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单位地址：</w:t>
      </w:r>
      <w:r>
        <w:rPr>
          <w:rFonts w:hint="eastAsia"/>
          <w:color w:val="auto"/>
          <w:highlight w:val="none"/>
          <w:shd w:val="clear" w:color="auto" w:fill="FFFFFF" w:themeFill="background1"/>
        </w:rPr>
        <w:t>南宁市百花岭6号</w:t>
      </w:r>
      <w:r>
        <w:rPr>
          <w:rFonts w:hint="eastAsia" w:ascii="宋体" w:hAnsi="宋体" w:cs="宋体"/>
          <w:color w:val="auto"/>
          <w:szCs w:val="21"/>
          <w:highlight w:val="none"/>
          <w:shd w:val="clear" w:color="auto" w:fill="FFFFFF" w:themeFill="background1"/>
        </w:rPr>
        <w:t xml:space="preserve">             单位地址： </w:t>
      </w:r>
    </w:p>
    <w:p w14:paraId="30E15F25">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联系电话：                             联系电话：</w:t>
      </w:r>
    </w:p>
    <w:p w14:paraId="66D63125">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传真：                                 传真：</w:t>
      </w:r>
    </w:p>
    <w:p w14:paraId="45551FCC">
      <w:pPr>
        <w:spacing w:line="36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邮政编码：                             邮政编码：　</w:t>
      </w:r>
    </w:p>
    <w:p w14:paraId="17AEC680">
      <w:pPr>
        <w:pStyle w:val="8"/>
        <w:snapToGrid w:val="0"/>
        <w:spacing w:line="360" w:lineRule="auto"/>
        <w:ind w:firstLine="422"/>
        <w:rPr>
          <w:rFonts w:ascii="宋体" w:hAnsi="宋体" w:cs="宋体"/>
          <w:color w:val="auto"/>
          <w:szCs w:val="21"/>
          <w:highlight w:val="none"/>
        </w:rPr>
      </w:pPr>
    </w:p>
    <w:p w14:paraId="09983BA5">
      <w:pPr>
        <w:snapToGrid w:val="0"/>
        <w:spacing w:line="360" w:lineRule="auto"/>
        <w:ind w:firstLine="422"/>
        <w:rPr>
          <w:rFonts w:ascii="宋体" w:hAnsi="宋体" w:cs="宋体"/>
          <w:color w:val="auto"/>
          <w:szCs w:val="21"/>
          <w:highlight w:val="none"/>
        </w:rPr>
      </w:pPr>
    </w:p>
    <w:p w14:paraId="7F0C15F4">
      <w:pPr>
        <w:snapToGrid w:val="0"/>
        <w:spacing w:line="360" w:lineRule="auto"/>
        <w:ind w:firstLine="422"/>
        <w:jc w:val="left"/>
        <w:outlineLvl w:val="1"/>
        <w:rPr>
          <w:rFonts w:ascii="宋体" w:hAnsi="宋体" w:cs="宋体"/>
          <w:b/>
          <w:color w:val="auto"/>
          <w:szCs w:val="21"/>
          <w:highlight w:val="none"/>
          <w:shd w:val="clear" w:color="auto" w:fill="FFFFFF" w:themeFill="background1"/>
        </w:rPr>
      </w:pPr>
      <w:r>
        <w:rPr>
          <w:rFonts w:hint="eastAsia" w:ascii="宋体" w:hAnsi="宋体" w:cs="宋体"/>
          <w:b/>
          <w:color w:val="auto"/>
          <w:szCs w:val="21"/>
          <w:highlight w:val="none"/>
          <w:shd w:val="clear" w:color="auto" w:fill="FFFFFF" w:themeFill="background1"/>
        </w:rPr>
        <w:br w:type="page"/>
      </w:r>
      <w:bookmarkStart w:id="332" w:name="_Toc89866151"/>
      <w:bookmarkStart w:id="333" w:name="_Toc8132"/>
      <w:bookmarkStart w:id="334" w:name="_Toc26339"/>
      <w:r>
        <w:rPr>
          <w:rFonts w:hint="eastAsia" w:ascii="宋体" w:hAnsi="宋体" w:cs="宋体"/>
          <w:b/>
          <w:color w:val="auto"/>
          <w:szCs w:val="21"/>
          <w:highlight w:val="none"/>
          <w:shd w:val="clear" w:color="auto" w:fill="FFFFFF" w:themeFill="background1"/>
        </w:rPr>
        <w:t>附件3  安全生产合同</w:t>
      </w:r>
      <w:bookmarkEnd w:id="330"/>
      <w:bookmarkEnd w:id="331"/>
      <w:bookmarkEnd w:id="332"/>
      <w:bookmarkEnd w:id="333"/>
      <w:bookmarkEnd w:id="334"/>
    </w:p>
    <w:p w14:paraId="3A8F9ADB">
      <w:pPr>
        <w:spacing w:line="360" w:lineRule="auto"/>
        <w:jc w:val="center"/>
        <w:rPr>
          <w:rFonts w:ascii="宋体" w:hAnsi="宋体" w:cs="宋体"/>
          <w:b/>
          <w:color w:val="auto"/>
          <w:sz w:val="28"/>
          <w:szCs w:val="28"/>
          <w:highlight w:val="none"/>
          <w:shd w:val="clear" w:color="auto" w:fill="FFFFFF" w:themeFill="background1"/>
        </w:rPr>
      </w:pPr>
      <w:r>
        <w:rPr>
          <w:rFonts w:hint="eastAsia" w:ascii="宋体" w:hAnsi="宋体" w:cs="宋体"/>
          <w:b/>
          <w:color w:val="auto"/>
          <w:sz w:val="28"/>
          <w:szCs w:val="28"/>
          <w:highlight w:val="none"/>
          <w:shd w:val="clear" w:color="auto" w:fill="FFFFFF" w:themeFill="background1"/>
        </w:rPr>
        <w:t>安全生产合同</w:t>
      </w:r>
    </w:p>
    <w:p w14:paraId="3AE52CD8">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为</w:t>
      </w:r>
      <w:r>
        <w:rPr>
          <w:rFonts w:hint="eastAsia" w:ascii="宋体" w:hAnsi="宋体" w:cs="宋体"/>
          <w:color w:val="auto"/>
          <w:szCs w:val="21"/>
          <w:highlight w:val="none"/>
          <w:u w:val="single"/>
          <w:shd w:val="clear" w:color="auto" w:fill="FFFFFF" w:themeFill="background1"/>
          <w:lang w:eastAsia="zh-CN"/>
        </w:rPr>
        <w:t>钦州港1号至12号外锚地建设工程（外1#、外2#锚地及锚地通道）勘察测量及方案设计</w:t>
      </w:r>
      <w:r>
        <w:rPr>
          <w:rFonts w:hint="eastAsia" w:ascii="宋体" w:hAnsi="宋体" w:cs="宋体"/>
          <w:color w:val="auto"/>
          <w:szCs w:val="21"/>
          <w:highlight w:val="none"/>
          <w:shd w:val="clear" w:color="auto" w:fill="FFFFFF" w:themeFill="background1"/>
        </w:rPr>
        <w:t>的实施过程中创造安全、高效的工作环境，切实搞好本工程的安全管理工作，本工程业主</w:t>
      </w:r>
      <w:r>
        <w:rPr>
          <w:rFonts w:hint="eastAsia" w:ascii="宋体" w:hAnsi="宋体" w:cs="宋体"/>
          <w:color w:val="auto"/>
          <w:szCs w:val="21"/>
          <w:highlight w:val="none"/>
          <w:u w:val="single"/>
          <w:shd w:val="clear" w:color="auto" w:fill="FFFFFF" w:themeFill="background1"/>
        </w:rPr>
        <w:t>广西壮族自治区港航发展中心</w:t>
      </w:r>
      <w:r>
        <w:rPr>
          <w:rFonts w:hint="eastAsia" w:ascii="宋体" w:hAnsi="宋体" w:cs="宋体"/>
          <w:color w:val="auto"/>
          <w:szCs w:val="21"/>
          <w:highlight w:val="none"/>
          <w:shd w:val="clear" w:color="auto" w:fill="FFFFFF" w:themeFill="background1"/>
        </w:rPr>
        <w:t>（以下简称“甲方”）与xxxxxxx（以下简称“乙方”）特此签订安全生产合同：</w:t>
      </w:r>
    </w:p>
    <w:p w14:paraId="592955EF">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一、甲方职责</w:t>
      </w:r>
    </w:p>
    <w:p w14:paraId="45043E23">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1．严格遵守国家有关安全生产的法律法规，认真执行合同中的有关安全要求。</w:t>
      </w:r>
    </w:p>
    <w:p w14:paraId="5063B8E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2．按照“安全第一、预防为主”和坚持“管生产必须管安全”的原则进行安全生产管理，做到生产与安全工作同时计划、布置、检查、总结和评比。</w:t>
      </w:r>
    </w:p>
    <w:p w14:paraId="5BDE0776">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3．重要的安全设施必须坚持与主体工程“三同时”的原则，即：同时咨询、审批，同时施工，同时验收，投入使用。</w:t>
      </w:r>
    </w:p>
    <w:p w14:paraId="7B0104B7">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4．定期召开安全生产调度会，及时传达中央及地方有关安全生产的精神。</w:t>
      </w:r>
    </w:p>
    <w:p w14:paraId="7F5C1F5C">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5．组织对乙方施工现场安全生产检查，监督乙方及时处理发现的各项安全隐患。</w:t>
      </w:r>
    </w:p>
    <w:p w14:paraId="61A7BCAD">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二、乙方职责</w:t>
      </w:r>
    </w:p>
    <w:p w14:paraId="0942C8B7">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1．严格遵守国家有关安全生产的法律法规，执行交通部颁发的有关安全生产的规定，认真执行合同中的有安全要求。</w:t>
      </w:r>
    </w:p>
    <w:p w14:paraId="4A59EF29">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69D9E89">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3．建立健全安全生产责任制。从派往项目实施的勘察及咨询（包括临时雇请的民工）的安全生产管理系统必须做到纵向到底，一环不漏；各职能部门、人员的安全生产责任制做到横向到边，人人有责。现场设置的安全机构，应按施工人员的1%～3%配备安全员，专职负责所有员工的安全和治安保卫工作及预防事故的发生。安全机构人员，有权按有关规定发布指令，并采取保护性措施防止事故发生。</w:t>
      </w:r>
    </w:p>
    <w:p w14:paraId="408F74B5">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4．乙方在任何时候都应采取各种合理的预防措施，防止其员工发生任何违法、违禁、暴力或妨碍治安的行为。</w:t>
      </w:r>
    </w:p>
    <w:p w14:paraId="033EFB1F">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5．乙方必须具有劳动安全管理部门颁发的安全生产证书，参加勘察及咨询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乙方必须承担管理责任。</w:t>
      </w:r>
    </w:p>
    <w:p w14:paraId="2089D18A">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882DB1D">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7．操作人员上岗，必须按规定穿戴防护用品。施工负责人和安全检查员应随时检查劳动防护用品的穿戴情况，不按规定穿戴防护用品的人员不得上岗。</w:t>
      </w:r>
    </w:p>
    <w:p w14:paraId="6CF7CF14">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8．所有施工机具设备和高空作业的设备均应定期检查，并有安全员的签字记录，保证其经常处于完好状态；不合格的机具、设备和劳动保护用品严禁使用。</w:t>
      </w:r>
    </w:p>
    <w:p w14:paraId="59907A02">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9．施工中采用新技术、新工艺、新设备、新材料时，必须制定相应的安全技术措施，施工现场必须具有相关的安全标志牌。</w:t>
      </w:r>
    </w:p>
    <w:p w14:paraId="03FDEA13">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5FA74C6">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三、违约责任</w:t>
      </w:r>
    </w:p>
    <w:p w14:paraId="613C3A33">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如因甲方或乙方违约造成安全事故，将依法追究责任。</w:t>
      </w:r>
    </w:p>
    <w:p w14:paraId="1CC681A3">
      <w:pPr>
        <w:snapToGrid w:val="0"/>
        <w:spacing w:line="360" w:lineRule="auto"/>
        <w:ind w:firstLine="422"/>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本合同正本两份，双方各执壹份；副本壹拾贰份，业主执壹拾壹份，咨询人执壹份。由双方法定代表人或其授权的代理人签署与加盖公章或合同专用章后生效。</w:t>
      </w:r>
    </w:p>
    <w:p w14:paraId="78F696E4">
      <w:pPr>
        <w:snapToGrid w:val="0"/>
        <w:spacing w:line="360" w:lineRule="auto"/>
        <w:ind w:firstLine="422"/>
        <w:rPr>
          <w:rFonts w:ascii="宋体" w:hAnsi="宋体" w:cs="宋体"/>
          <w:color w:val="auto"/>
          <w:szCs w:val="21"/>
          <w:highlight w:val="none"/>
          <w:shd w:val="clear" w:color="auto" w:fill="FFFFFF" w:themeFill="background1"/>
        </w:rPr>
      </w:pPr>
    </w:p>
    <w:p w14:paraId="5D65147A">
      <w:pPr>
        <w:spacing w:line="480" w:lineRule="auto"/>
        <w:ind w:firstLine="210" w:firstLineChars="100"/>
        <w:rPr>
          <w:rFonts w:ascii="宋体" w:hAnsi="宋体" w:cs="宋体"/>
          <w:color w:val="auto"/>
          <w:szCs w:val="21"/>
          <w:highlight w:val="none"/>
          <w:shd w:val="clear" w:color="auto" w:fill="FFFFFF" w:themeFill="background1"/>
        </w:rPr>
      </w:pPr>
      <w:bookmarkStart w:id="335" w:name="OLE_LINK1"/>
      <w:r>
        <w:rPr>
          <w:rFonts w:hint="eastAsia" w:ascii="宋体" w:hAnsi="宋体" w:cs="宋体"/>
          <w:color w:val="auto"/>
          <w:szCs w:val="21"/>
          <w:highlight w:val="none"/>
          <w:shd w:val="clear" w:color="auto" w:fill="FFFFFF" w:themeFill="background1"/>
        </w:rPr>
        <w:t xml:space="preserve">甲方：广西壮族自治区港航发展中心（盖章） 乙方：（单位全称）（盖章） </w:t>
      </w:r>
    </w:p>
    <w:p w14:paraId="21E389EC">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法定代表人                                 法定代表人</w:t>
      </w:r>
    </w:p>
    <w:p w14:paraId="79BB00B2">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或其委托代理人签名：                   或其委托代理人签名：</w:t>
      </w:r>
    </w:p>
    <w:p w14:paraId="551B6093">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签字日期：      年   月  日            签字日期：      年   月  日</w:t>
      </w:r>
    </w:p>
    <w:p w14:paraId="5648833B">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单位地址：</w:t>
      </w:r>
      <w:r>
        <w:rPr>
          <w:rFonts w:hint="eastAsia"/>
          <w:color w:val="auto"/>
          <w:highlight w:val="none"/>
          <w:shd w:val="clear" w:color="auto" w:fill="FFFFFF" w:themeFill="background1"/>
        </w:rPr>
        <w:t>南宁市百花岭6号</w:t>
      </w:r>
      <w:r>
        <w:rPr>
          <w:rFonts w:hint="eastAsia" w:ascii="宋体" w:hAnsi="宋体" w:cs="宋体"/>
          <w:color w:val="auto"/>
          <w:szCs w:val="21"/>
          <w:highlight w:val="none"/>
          <w:shd w:val="clear" w:color="auto" w:fill="FFFFFF" w:themeFill="background1"/>
        </w:rPr>
        <w:t xml:space="preserve">             单位地址： </w:t>
      </w:r>
    </w:p>
    <w:p w14:paraId="4BBD69B8">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联系电话：                             联系电话：</w:t>
      </w:r>
    </w:p>
    <w:p w14:paraId="3FD582A4">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传真：                                 传真：</w:t>
      </w:r>
    </w:p>
    <w:p w14:paraId="09276B94">
      <w:pPr>
        <w:spacing w:line="480" w:lineRule="auto"/>
        <w:ind w:firstLine="210" w:firstLineChars="100"/>
        <w:rPr>
          <w:rFonts w:ascii="宋体" w:hAnsi="宋体" w:cs="宋体"/>
          <w:color w:val="auto"/>
          <w:szCs w:val="21"/>
          <w:highlight w:val="none"/>
          <w:shd w:val="clear" w:color="auto" w:fill="FFFFFF" w:themeFill="background1"/>
        </w:rPr>
      </w:pPr>
      <w:r>
        <w:rPr>
          <w:rFonts w:hint="eastAsia" w:ascii="宋体" w:hAnsi="宋体" w:cs="宋体"/>
          <w:color w:val="auto"/>
          <w:szCs w:val="21"/>
          <w:highlight w:val="none"/>
          <w:shd w:val="clear" w:color="auto" w:fill="FFFFFF" w:themeFill="background1"/>
        </w:rPr>
        <w:t>邮政编码：                             邮政编码：　</w:t>
      </w:r>
    </w:p>
    <w:bookmarkEnd w:id="335"/>
    <w:p w14:paraId="7046CF16">
      <w:pPr>
        <w:spacing w:line="360" w:lineRule="auto"/>
        <w:ind w:firstLine="422"/>
        <w:rPr>
          <w:color w:val="auto"/>
          <w:highlight w:val="none"/>
          <w:shd w:val="clear" w:color="auto" w:fill="FFFFFF" w:themeFill="background1"/>
        </w:rPr>
      </w:pPr>
      <w:bookmarkStart w:id="336" w:name="_Toc7528"/>
      <w:bookmarkStart w:id="337" w:name="_Toc366663403"/>
      <w:bookmarkStart w:id="338" w:name="_Toc38903740"/>
    </w:p>
    <w:p w14:paraId="20C7F420">
      <w:pPr>
        <w:ind w:firstLine="422"/>
        <w:rPr>
          <w:color w:val="auto"/>
          <w:highlight w:val="none"/>
          <w:shd w:val="clear" w:color="auto" w:fill="FFFFFF" w:themeFill="background1"/>
        </w:rPr>
      </w:pPr>
    </w:p>
    <w:p w14:paraId="7ADA6B08">
      <w:pPr>
        <w:tabs>
          <w:tab w:val="left" w:pos="864"/>
        </w:tabs>
        <w:outlineLvl w:val="1"/>
        <w:rPr>
          <w:rFonts w:ascii="宋体" w:hAnsi="宋体" w:cs="宋体"/>
          <w:color w:val="auto"/>
          <w:szCs w:val="21"/>
          <w:highlight w:val="none"/>
          <w:shd w:val="clear" w:color="auto" w:fill="FFFFFF" w:themeFill="background1"/>
        </w:rPr>
      </w:pPr>
      <w:r>
        <w:rPr>
          <w:rFonts w:hint="eastAsia" w:ascii="宋体" w:hAnsi="宋体" w:cs="宋体"/>
          <w:b/>
          <w:color w:val="auto"/>
          <w:szCs w:val="21"/>
          <w:highlight w:val="none"/>
          <w:shd w:val="clear" w:color="auto" w:fill="FFFFFF" w:themeFill="background1"/>
        </w:rPr>
        <w:br w:type="page"/>
      </w:r>
      <w:bookmarkStart w:id="339" w:name="_Toc27662"/>
      <w:bookmarkStart w:id="340" w:name="_Toc89866152"/>
      <w:bookmarkStart w:id="341" w:name="_Toc16282"/>
      <w:r>
        <w:rPr>
          <w:rFonts w:hint="eastAsia" w:ascii="宋体" w:hAnsi="宋体" w:cs="宋体"/>
          <w:b/>
          <w:color w:val="auto"/>
          <w:szCs w:val="21"/>
          <w:highlight w:val="none"/>
          <w:shd w:val="clear" w:color="auto" w:fill="FFFFFF" w:themeFill="background1"/>
        </w:rPr>
        <w:t>附件4  履约担保</w:t>
      </w:r>
      <w:bookmarkEnd w:id="336"/>
      <w:bookmarkEnd w:id="337"/>
      <w:bookmarkEnd w:id="338"/>
      <w:bookmarkEnd w:id="339"/>
      <w:bookmarkEnd w:id="340"/>
      <w:bookmarkEnd w:id="341"/>
    </w:p>
    <w:p w14:paraId="643B4557">
      <w:pPr>
        <w:snapToGrid w:val="0"/>
        <w:spacing w:line="360" w:lineRule="auto"/>
        <w:ind w:firstLine="422"/>
        <w:rPr>
          <w:rFonts w:ascii="宋体" w:hAnsi="宋体" w:cs="宋体"/>
          <w:color w:val="auto"/>
          <w:szCs w:val="21"/>
          <w:highlight w:val="none"/>
          <w:shd w:val="clear" w:color="auto" w:fill="FFFFFF" w:themeFill="background1"/>
        </w:rPr>
      </w:pPr>
    </w:p>
    <w:p w14:paraId="4DAAB3AE">
      <w:pPr>
        <w:spacing w:line="360" w:lineRule="auto"/>
        <w:jc w:val="center"/>
        <w:rPr>
          <w:rFonts w:ascii="宋体" w:hAnsi="宋体" w:cs="宋体"/>
          <w:b/>
          <w:color w:val="auto"/>
          <w:szCs w:val="21"/>
          <w:highlight w:val="none"/>
          <w:shd w:val="clear" w:color="auto" w:fill="FFFFFF" w:themeFill="background1"/>
        </w:rPr>
      </w:pPr>
      <w:r>
        <w:rPr>
          <w:rFonts w:hint="eastAsia" w:ascii="宋体" w:hAnsi="宋体" w:cs="宋体"/>
          <w:b/>
          <w:color w:val="auto"/>
          <w:szCs w:val="21"/>
          <w:highlight w:val="none"/>
          <w:shd w:val="clear" w:color="auto" w:fill="FFFFFF" w:themeFill="background1"/>
        </w:rPr>
        <w:t>履约担保</w:t>
      </w:r>
    </w:p>
    <w:p w14:paraId="37A669C9">
      <w:pPr>
        <w:snapToGrid w:val="0"/>
        <w:spacing w:line="360" w:lineRule="auto"/>
        <w:ind w:firstLine="422"/>
        <w:rPr>
          <w:rFonts w:ascii="宋体" w:hAnsi="宋体" w:cs="宋体"/>
          <w:color w:val="auto"/>
          <w:szCs w:val="21"/>
          <w:highlight w:val="none"/>
          <w:shd w:val="clear" w:color="auto" w:fill="FFFFFF" w:themeFill="background1"/>
        </w:rPr>
      </w:pPr>
    </w:p>
    <w:p w14:paraId="1433A786">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广西壮族自治区港航发展中心：</w:t>
      </w:r>
    </w:p>
    <w:p w14:paraId="694149DD">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广西壮族自治区港航发展中心</w:t>
      </w:r>
      <w:r>
        <w:rPr>
          <w:rFonts w:hint="eastAsia" w:ascii="宋体" w:hAnsi="宋体" w:cs="宋体"/>
          <w:color w:val="auto"/>
          <w:szCs w:val="21"/>
          <w:highlight w:val="none"/>
        </w:rPr>
        <w:t>（下称‘业主’）接受</w:t>
      </w:r>
      <w:r>
        <w:rPr>
          <w:rFonts w:hint="eastAsia" w:ascii="宋体" w:hAnsi="宋体" w:cs="宋体"/>
          <w:color w:val="auto"/>
          <w:szCs w:val="21"/>
          <w:highlight w:val="none"/>
          <w:u w:val="single"/>
        </w:rPr>
        <w:t xml:space="preserve">（承包人全称）  </w:t>
      </w:r>
      <w:r>
        <w:rPr>
          <w:rFonts w:hint="eastAsia" w:ascii="宋体" w:hAnsi="宋体" w:cs="宋体"/>
          <w:color w:val="auto"/>
          <w:szCs w:val="21"/>
          <w:highlight w:val="none"/>
        </w:rPr>
        <w:t>（下称‘承包人’）于年月日参加</w:t>
      </w:r>
      <w:r>
        <w:rPr>
          <w:rFonts w:hint="eastAsia" w:ascii="宋体" w:hAnsi="宋体" w:cs="宋体"/>
          <w:color w:val="auto"/>
          <w:szCs w:val="21"/>
          <w:highlight w:val="none"/>
          <w:lang w:eastAsia="zh-CN"/>
        </w:rPr>
        <w:t>钦州港1号至12号外锚地建设工程（外1#、外2#锚地及锚地通道）勘察测量及方案设计</w:t>
      </w:r>
      <w:r>
        <w:rPr>
          <w:rFonts w:hint="eastAsia" w:ascii="宋体" w:hAnsi="宋体" w:cs="宋体"/>
          <w:color w:val="auto"/>
          <w:szCs w:val="21"/>
          <w:highlight w:val="none"/>
        </w:rPr>
        <w:t>的投标。我方愿意无条件地、不可撤消地就承包人履行与你方订立的合同，向你方提供担保。</w:t>
      </w:r>
    </w:p>
    <w:p w14:paraId="3393BFD8">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1、担保金额为人民币</w:t>
      </w:r>
      <w:r>
        <w:rPr>
          <w:rFonts w:hint="eastAsia" w:ascii="宋体" w:hAnsi="宋体" w:cs="宋体"/>
          <w:color w:val="auto"/>
          <w:szCs w:val="21"/>
          <w:highlight w:val="none"/>
          <w:u w:val="single"/>
        </w:rPr>
        <w:t>(大写)  万元（¥   元）</w:t>
      </w:r>
      <w:r>
        <w:rPr>
          <w:rFonts w:hint="eastAsia" w:ascii="宋体" w:hAnsi="宋体" w:cs="宋体"/>
          <w:color w:val="auto"/>
          <w:szCs w:val="21"/>
          <w:highlight w:val="none"/>
        </w:rPr>
        <w:t>。</w:t>
      </w:r>
    </w:p>
    <w:p w14:paraId="5E2575B8">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2、担保有效期自业主与承包人签订的合同生效之日起至承包人按合同要求完成全部工作并全部提交合格的资料后30天止。</w:t>
      </w:r>
    </w:p>
    <w:p w14:paraId="34A819BE">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3、在本担保有效期内，因承包人违反合同约定的义务给你方造成经济损失时，我方在收到你方以书面形式提出的在担保金额内的赔偿要求后，7天内无条件支付。</w:t>
      </w:r>
    </w:p>
    <w:p w14:paraId="0EC4E35D">
      <w:pPr>
        <w:snapToGrid w:val="0"/>
        <w:spacing w:line="360" w:lineRule="auto"/>
        <w:ind w:firstLine="422"/>
        <w:rPr>
          <w:rFonts w:ascii="宋体" w:hAnsi="宋体" w:cs="宋体"/>
          <w:color w:val="auto"/>
          <w:szCs w:val="21"/>
          <w:highlight w:val="none"/>
        </w:rPr>
      </w:pPr>
    </w:p>
    <w:p w14:paraId="52FD0E6E">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 xml:space="preserve">担保银行：   （银行全称）  （盖单位章）  </w:t>
      </w:r>
    </w:p>
    <w:p w14:paraId="7880C576">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法定代表人</w:t>
      </w:r>
    </w:p>
    <w:p w14:paraId="7F407DF3">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或其委托代理人：     (签字)</w:t>
      </w:r>
    </w:p>
    <w:p w14:paraId="726C9E3E">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地    址：</w:t>
      </w:r>
    </w:p>
    <w:p w14:paraId="44E9027B">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邮政编码：</w:t>
      </w:r>
    </w:p>
    <w:p w14:paraId="4FC582F1">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电    话：</w:t>
      </w:r>
    </w:p>
    <w:p w14:paraId="753D45B7">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传    真：</w:t>
      </w:r>
    </w:p>
    <w:p w14:paraId="40C9D469">
      <w:pPr>
        <w:snapToGrid w:val="0"/>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日    期：      年     月     日</w:t>
      </w:r>
    </w:p>
    <w:p w14:paraId="46007C54">
      <w:pPr>
        <w:pStyle w:val="8"/>
        <w:snapToGrid w:val="0"/>
        <w:spacing w:line="360" w:lineRule="auto"/>
        <w:ind w:firstLine="482"/>
        <w:rPr>
          <w:rFonts w:ascii="宋体" w:hAnsi="宋体"/>
          <w:color w:val="auto"/>
          <w:sz w:val="24"/>
          <w:highlight w:val="none"/>
          <w:shd w:val="clear" w:color="auto" w:fill="FFFFFF" w:themeFill="background1"/>
        </w:rPr>
      </w:pPr>
    </w:p>
    <w:p w14:paraId="3852D627">
      <w:pPr>
        <w:spacing w:line="360" w:lineRule="auto"/>
        <w:ind w:firstLine="422"/>
        <w:rPr>
          <w:rFonts w:ascii="Calibri" w:hAnsi="Calibri"/>
          <w:color w:val="auto"/>
          <w:szCs w:val="21"/>
          <w:highlight w:val="none"/>
          <w:shd w:val="clear" w:color="auto" w:fill="FFFFFF" w:themeFill="background1"/>
        </w:rPr>
      </w:pPr>
    </w:p>
    <w:p w14:paraId="45C22F0C">
      <w:pPr>
        <w:ind w:firstLine="422"/>
        <w:rPr>
          <w:color w:val="auto"/>
          <w:highlight w:val="none"/>
          <w:shd w:val="clear" w:color="auto" w:fill="FFFFFF" w:themeFill="background1"/>
        </w:rPr>
      </w:pPr>
    </w:p>
    <w:p w14:paraId="36A40BBF">
      <w:pPr>
        <w:snapToGrid w:val="0"/>
        <w:spacing w:line="480" w:lineRule="auto"/>
        <w:ind w:firstLine="643"/>
        <w:rPr>
          <w:rFonts w:ascii="宋体" w:hAnsi="宋体"/>
          <w:bCs/>
          <w:color w:val="auto"/>
          <w:sz w:val="32"/>
          <w:szCs w:val="32"/>
          <w:highlight w:val="none"/>
          <w:shd w:val="clear" w:color="auto" w:fill="FFFFFF" w:themeFill="background1"/>
        </w:rPr>
      </w:pPr>
    </w:p>
    <w:p w14:paraId="36B7195E">
      <w:pPr>
        <w:snapToGrid w:val="0"/>
        <w:ind w:firstLine="643"/>
        <w:jc w:val="center"/>
        <w:rPr>
          <w:rFonts w:ascii="宋体" w:hAnsi="宋体"/>
          <w:bCs/>
          <w:color w:val="auto"/>
          <w:sz w:val="32"/>
          <w:szCs w:val="32"/>
          <w:highlight w:val="none"/>
          <w:shd w:val="clear" w:color="auto" w:fill="FFFFFF" w:themeFill="background1"/>
        </w:rPr>
      </w:pPr>
    </w:p>
    <w:p w14:paraId="1A252756">
      <w:pPr>
        <w:snapToGrid w:val="0"/>
        <w:ind w:firstLine="643"/>
        <w:jc w:val="center"/>
        <w:rPr>
          <w:rFonts w:ascii="宋体" w:hAnsi="宋体"/>
          <w:bCs/>
          <w:color w:val="auto"/>
          <w:sz w:val="32"/>
          <w:szCs w:val="32"/>
          <w:highlight w:val="none"/>
          <w:shd w:val="clear" w:color="auto" w:fill="FFFFFF" w:themeFill="background1"/>
        </w:rPr>
      </w:pPr>
    </w:p>
    <w:p w14:paraId="52EFA99D">
      <w:pPr>
        <w:snapToGrid w:val="0"/>
        <w:ind w:firstLine="643"/>
        <w:jc w:val="center"/>
        <w:rPr>
          <w:rFonts w:ascii="宋体" w:hAnsi="宋体"/>
          <w:bCs/>
          <w:color w:val="auto"/>
          <w:sz w:val="32"/>
          <w:szCs w:val="32"/>
          <w:highlight w:val="none"/>
          <w:shd w:val="clear" w:color="auto" w:fill="FFFFFF" w:themeFill="background1"/>
        </w:rPr>
      </w:pPr>
    </w:p>
    <w:p w14:paraId="0BC61AC8">
      <w:pPr>
        <w:snapToGrid w:val="0"/>
        <w:ind w:firstLine="643"/>
        <w:jc w:val="center"/>
        <w:rPr>
          <w:rFonts w:ascii="宋体" w:hAnsi="宋体"/>
          <w:bCs/>
          <w:color w:val="auto"/>
          <w:sz w:val="32"/>
          <w:szCs w:val="32"/>
          <w:highlight w:val="none"/>
          <w:shd w:val="clear" w:color="auto" w:fill="FFFFFF" w:themeFill="background1"/>
        </w:rPr>
      </w:pPr>
    </w:p>
    <w:p w14:paraId="4DB26EE2">
      <w:pPr>
        <w:snapToGrid w:val="0"/>
        <w:ind w:firstLine="643"/>
        <w:jc w:val="center"/>
        <w:rPr>
          <w:rFonts w:ascii="宋体" w:hAnsi="宋体"/>
          <w:bCs/>
          <w:color w:val="auto"/>
          <w:sz w:val="32"/>
          <w:szCs w:val="32"/>
          <w:highlight w:val="none"/>
          <w:shd w:val="clear" w:color="auto" w:fill="FFFFFF" w:themeFill="background1"/>
        </w:rPr>
      </w:pPr>
    </w:p>
    <w:p w14:paraId="17EB6C3B">
      <w:pPr>
        <w:snapToGrid w:val="0"/>
        <w:ind w:firstLine="643"/>
        <w:jc w:val="center"/>
        <w:rPr>
          <w:rFonts w:ascii="宋体" w:hAnsi="宋体"/>
          <w:bCs/>
          <w:color w:val="auto"/>
          <w:sz w:val="32"/>
          <w:szCs w:val="32"/>
          <w:highlight w:val="none"/>
          <w:shd w:val="clear" w:color="auto" w:fill="FFFFFF" w:themeFill="background1"/>
        </w:rPr>
      </w:pPr>
    </w:p>
    <w:p w14:paraId="4313E1D1">
      <w:pPr>
        <w:snapToGrid w:val="0"/>
        <w:ind w:firstLine="643"/>
        <w:jc w:val="center"/>
        <w:rPr>
          <w:rFonts w:ascii="宋体" w:hAnsi="宋体"/>
          <w:bCs/>
          <w:color w:val="auto"/>
          <w:sz w:val="32"/>
          <w:szCs w:val="32"/>
          <w:highlight w:val="none"/>
          <w:shd w:val="clear" w:color="auto" w:fill="FFFFFF" w:themeFill="background1"/>
        </w:rPr>
      </w:pPr>
    </w:p>
    <w:p w14:paraId="4A3B2374">
      <w:pPr>
        <w:snapToGrid w:val="0"/>
        <w:ind w:firstLine="643"/>
        <w:jc w:val="center"/>
        <w:rPr>
          <w:rFonts w:ascii="宋体" w:hAnsi="宋体"/>
          <w:bCs/>
          <w:color w:val="auto"/>
          <w:sz w:val="32"/>
          <w:szCs w:val="32"/>
          <w:highlight w:val="none"/>
          <w:shd w:val="clear" w:color="auto" w:fill="FFFFFF" w:themeFill="background1"/>
        </w:rPr>
      </w:pPr>
    </w:p>
    <w:p w14:paraId="756ECF0A">
      <w:pPr>
        <w:snapToGrid w:val="0"/>
        <w:ind w:firstLine="643"/>
        <w:jc w:val="center"/>
        <w:rPr>
          <w:rFonts w:ascii="宋体" w:hAnsi="宋体"/>
          <w:bCs/>
          <w:color w:val="auto"/>
          <w:sz w:val="32"/>
          <w:szCs w:val="32"/>
          <w:highlight w:val="none"/>
          <w:shd w:val="clear" w:color="auto" w:fill="FFFFFF" w:themeFill="background1"/>
        </w:rPr>
      </w:pPr>
    </w:p>
    <w:p w14:paraId="25DDD223">
      <w:pPr>
        <w:snapToGrid w:val="0"/>
        <w:ind w:firstLine="643"/>
        <w:jc w:val="center"/>
        <w:rPr>
          <w:rFonts w:ascii="宋体" w:hAnsi="宋体"/>
          <w:bCs/>
          <w:color w:val="auto"/>
          <w:sz w:val="32"/>
          <w:szCs w:val="32"/>
          <w:highlight w:val="none"/>
          <w:shd w:val="clear" w:color="auto" w:fill="FFFFFF" w:themeFill="background1"/>
        </w:rPr>
      </w:pPr>
    </w:p>
    <w:p w14:paraId="68EFCCCE">
      <w:pPr>
        <w:snapToGrid w:val="0"/>
        <w:ind w:firstLine="643"/>
        <w:jc w:val="center"/>
        <w:rPr>
          <w:rFonts w:ascii="宋体" w:hAnsi="宋体"/>
          <w:bCs/>
          <w:color w:val="auto"/>
          <w:sz w:val="32"/>
          <w:szCs w:val="32"/>
          <w:highlight w:val="none"/>
          <w:shd w:val="clear" w:color="auto" w:fill="FFFFFF" w:themeFill="background1"/>
        </w:rPr>
      </w:pPr>
    </w:p>
    <w:p w14:paraId="25985FFC">
      <w:pPr>
        <w:pStyle w:val="3"/>
        <w:ind w:firstLine="883"/>
        <w:jc w:val="center"/>
        <w:rPr>
          <w:color w:val="auto"/>
          <w:highlight w:val="none"/>
          <w:shd w:val="clear" w:color="auto" w:fill="FFFFFF" w:themeFill="background1"/>
        </w:rPr>
      </w:pPr>
      <w:bookmarkStart w:id="342" w:name="_Toc158033920"/>
      <w:r>
        <w:rPr>
          <w:rFonts w:hint="eastAsia"/>
          <w:color w:val="auto"/>
          <w:highlight w:val="none"/>
          <w:shd w:val="clear" w:color="auto" w:fill="FFFFFF" w:themeFill="background1"/>
        </w:rPr>
        <w:t>第六章　投标文件格式</w:t>
      </w:r>
      <w:bookmarkEnd w:id="342"/>
    </w:p>
    <w:p w14:paraId="0E39C2D5">
      <w:pPr>
        <w:snapToGrid w:val="0"/>
        <w:spacing w:before="50" w:after="50"/>
        <w:ind w:firstLine="643"/>
        <w:outlineLvl w:val="1"/>
        <w:rPr>
          <w:rFonts w:ascii="宋体" w:hAnsi="宋体"/>
          <w:color w:val="auto"/>
          <w:sz w:val="32"/>
          <w:szCs w:val="20"/>
          <w:highlight w:val="none"/>
          <w:shd w:val="clear" w:color="auto" w:fill="FFFFFF" w:themeFill="background1"/>
        </w:rPr>
      </w:pPr>
    </w:p>
    <w:p w14:paraId="6D3F7B04">
      <w:pPr>
        <w:snapToGrid w:val="0"/>
        <w:spacing w:before="50" w:after="50"/>
        <w:ind w:firstLine="643"/>
        <w:outlineLvl w:val="1"/>
        <w:rPr>
          <w:rFonts w:ascii="宋体" w:hAnsi="宋体"/>
          <w:color w:val="auto"/>
          <w:sz w:val="32"/>
          <w:szCs w:val="20"/>
          <w:highlight w:val="none"/>
          <w:shd w:val="clear" w:color="auto" w:fill="FFFFFF" w:themeFill="background1"/>
        </w:rPr>
      </w:pPr>
    </w:p>
    <w:p w14:paraId="3E69019B">
      <w:pPr>
        <w:snapToGrid w:val="0"/>
        <w:spacing w:before="50" w:after="50"/>
        <w:ind w:firstLine="643"/>
        <w:outlineLvl w:val="1"/>
        <w:rPr>
          <w:rFonts w:ascii="宋体" w:hAnsi="宋体"/>
          <w:color w:val="auto"/>
          <w:sz w:val="32"/>
          <w:szCs w:val="20"/>
          <w:highlight w:val="none"/>
          <w:shd w:val="clear" w:color="auto" w:fill="FFFFFF" w:themeFill="background1"/>
        </w:rPr>
      </w:pPr>
    </w:p>
    <w:p w14:paraId="2392BAC3">
      <w:pPr>
        <w:snapToGrid w:val="0"/>
        <w:spacing w:before="50" w:after="50"/>
        <w:ind w:firstLine="643"/>
        <w:outlineLvl w:val="1"/>
        <w:rPr>
          <w:rFonts w:ascii="宋体" w:hAnsi="宋体"/>
          <w:color w:val="auto"/>
          <w:sz w:val="32"/>
          <w:szCs w:val="20"/>
          <w:highlight w:val="none"/>
          <w:shd w:val="clear" w:color="auto" w:fill="FFFFFF" w:themeFill="background1"/>
        </w:rPr>
      </w:pPr>
    </w:p>
    <w:p w14:paraId="0A06A9CB">
      <w:pPr>
        <w:snapToGrid w:val="0"/>
        <w:spacing w:before="50" w:after="50"/>
        <w:ind w:firstLine="643"/>
        <w:outlineLvl w:val="1"/>
        <w:rPr>
          <w:rFonts w:ascii="宋体" w:hAnsi="宋体"/>
          <w:color w:val="auto"/>
          <w:sz w:val="32"/>
          <w:szCs w:val="20"/>
          <w:highlight w:val="none"/>
          <w:shd w:val="clear" w:color="auto" w:fill="FFFFFF" w:themeFill="background1"/>
        </w:rPr>
      </w:pPr>
    </w:p>
    <w:p w14:paraId="0AA5F4EC">
      <w:pPr>
        <w:snapToGrid w:val="0"/>
        <w:spacing w:before="50" w:after="50"/>
        <w:ind w:firstLine="643"/>
        <w:outlineLvl w:val="1"/>
        <w:rPr>
          <w:rFonts w:ascii="宋体" w:hAnsi="宋体"/>
          <w:color w:val="auto"/>
          <w:sz w:val="32"/>
          <w:szCs w:val="20"/>
          <w:highlight w:val="none"/>
          <w:shd w:val="clear" w:color="auto" w:fill="FFFFFF" w:themeFill="background1"/>
        </w:rPr>
      </w:pPr>
    </w:p>
    <w:p w14:paraId="03EAAF99">
      <w:pPr>
        <w:snapToGrid w:val="0"/>
        <w:spacing w:before="50" w:after="50"/>
        <w:ind w:firstLine="643"/>
        <w:outlineLvl w:val="1"/>
        <w:rPr>
          <w:rFonts w:ascii="宋体" w:hAnsi="宋体"/>
          <w:color w:val="auto"/>
          <w:sz w:val="32"/>
          <w:szCs w:val="20"/>
          <w:highlight w:val="none"/>
          <w:shd w:val="clear" w:color="auto" w:fill="FFFFFF" w:themeFill="background1"/>
        </w:rPr>
      </w:pPr>
    </w:p>
    <w:p w14:paraId="607D1D89">
      <w:pPr>
        <w:snapToGrid w:val="0"/>
        <w:spacing w:before="50" w:after="50"/>
        <w:ind w:firstLine="643"/>
        <w:outlineLvl w:val="1"/>
        <w:rPr>
          <w:rFonts w:ascii="宋体" w:hAnsi="宋体"/>
          <w:color w:val="auto"/>
          <w:sz w:val="32"/>
          <w:szCs w:val="20"/>
          <w:highlight w:val="none"/>
          <w:shd w:val="clear" w:color="auto" w:fill="FFFFFF" w:themeFill="background1"/>
        </w:rPr>
      </w:pPr>
    </w:p>
    <w:p w14:paraId="6C7F2670">
      <w:pPr>
        <w:snapToGrid w:val="0"/>
        <w:spacing w:before="50" w:after="50"/>
        <w:ind w:firstLine="643"/>
        <w:outlineLvl w:val="1"/>
        <w:rPr>
          <w:rFonts w:ascii="宋体" w:hAnsi="宋体"/>
          <w:color w:val="auto"/>
          <w:sz w:val="32"/>
          <w:szCs w:val="20"/>
          <w:highlight w:val="none"/>
          <w:shd w:val="clear" w:color="auto" w:fill="FFFFFF" w:themeFill="background1"/>
        </w:rPr>
      </w:pPr>
    </w:p>
    <w:p w14:paraId="1A71328E">
      <w:pPr>
        <w:snapToGrid w:val="0"/>
        <w:spacing w:before="50" w:after="50"/>
        <w:ind w:firstLine="643"/>
        <w:outlineLvl w:val="1"/>
        <w:rPr>
          <w:rFonts w:ascii="宋体" w:hAnsi="宋体"/>
          <w:color w:val="auto"/>
          <w:sz w:val="32"/>
          <w:szCs w:val="20"/>
          <w:highlight w:val="none"/>
          <w:shd w:val="clear" w:color="auto" w:fill="FFFFFF" w:themeFill="background1"/>
        </w:rPr>
      </w:pPr>
    </w:p>
    <w:p w14:paraId="4F15208D">
      <w:pPr>
        <w:ind w:firstLine="643"/>
        <w:rPr>
          <w:b/>
          <w:color w:val="auto"/>
          <w:sz w:val="28"/>
          <w:szCs w:val="28"/>
          <w:highlight w:val="none"/>
          <w:shd w:val="clear" w:color="auto" w:fill="FFFFFF" w:themeFill="background1"/>
        </w:rPr>
      </w:pPr>
      <w:r>
        <w:rPr>
          <w:color w:val="auto"/>
          <w:sz w:val="32"/>
          <w:szCs w:val="20"/>
          <w:highlight w:val="none"/>
          <w:shd w:val="clear" w:color="auto" w:fill="FFFFFF" w:themeFill="background1"/>
        </w:rPr>
        <w:br w:type="page"/>
      </w:r>
      <w:bookmarkStart w:id="343" w:name="_Toc19686836"/>
      <w:bookmarkStart w:id="344" w:name="_Toc254970698"/>
      <w:bookmarkStart w:id="345" w:name="_Toc254970557"/>
      <w:r>
        <w:rPr>
          <w:rFonts w:hint="eastAsia"/>
          <w:b/>
          <w:color w:val="auto"/>
          <w:sz w:val="28"/>
          <w:szCs w:val="28"/>
          <w:highlight w:val="none"/>
          <w:shd w:val="clear" w:color="auto" w:fill="FFFFFF" w:themeFill="background1"/>
        </w:rPr>
        <w:t>一、报价文件格式</w:t>
      </w:r>
      <w:bookmarkEnd w:id="343"/>
    </w:p>
    <w:p w14:paraId="671D69B9">
      <w:pPr>
        <w:snapToGrid w:val="0"/>
        <w:spacing w:beforeLines="50" w:after="50" w:line="360" w:lineRule="auto"/>
        <w:ind w:left="142" w:firstLine="482"/>
        <w:jc w:val="left"/>
        <w:rPr>
          <w:rFonts w:ascii="宋体" w:hAnsi="宋体"/>
          <w:color w:val="auto"/>
          <w:sz w:val="24"/>
          <w:szCs w:val="20"/>
          <w:highlight w:val="none"/>
          <w:shd w:val="clear" w:color="auto" w:fill="FFFFFF" w:themeFill="background1"/>
        </w:rPr>
      </w:pPr>
      <w:r>
        <w:rPr>
          <w:rFonts w:hint="eastAsia" w:ascii="宋体" w:hAnsi="宋体"/>
          <w:b/>
          <w:color w:val="auto"/>
          <w:sz w:val="24"/>
          <w:highlight w:val="none"/>
          <w:shd w:val="clear" w:color="auto" w:fill="FFFFFF" w:themeFill="background1"/>
        </w:rPr>
        <w:t xml:space="preserve">1. 报价文件封面格式： </w:t>
      </w:r>
    </w:p>
    <w:p w14:paraId="6D72CD9D">
      <w:pPr>
        <w:snapToGrid w:val="0"/>
        <w:spacing w:beforeLines="50" w:after="50" w:line="360" w:lineRule="auto"/>
        <w:ind w:left="142" w:firstLine="964"/>
        <w:jc w:val="center"/>
        <w:rPr>
          <w:rFonts w:ascii="宋体" w:hAnsi="宋体" w:eastAsia="方正小标宋简体"/>
          <w:bCs/>
          <w:color w:val="auto"/>
          <w:sz w:val="48"/>
          <w:szCs w:val="48"/>
          <w:highlight w:val="none"/>
          <w:shd w:val="clear" w:color="auto" w:fill="FFFFFF" w:themeFill="background1"/>
        </w:rPr>
      </w:pPr>
      <w:r>
        <w:rPr>
          <w:rFonts w:hint="eastAsia" w:ascii="宋体" w:hAnsi="宋体" w:eastAsia="方正小标宋简体"/>
          <w:bCs/>
          <w:color w:val="auto"/>
          <w:sz w:val="48"/>
          <w:szCs w:val="48"/>
          <w:highlight w:val="none"/>
          <w:shd w:val="clear" w:color="auto" w:fill="FFFFFF" w:themeFill="background1"/>
        </w:rPr>
        <w:t>电子投标文件</w:t>
      </w:r>
    </w:p>
    <w:p w14:paraId="479E7B0C">
      <w:pPr>
        <w:snapToGrid w:val="0"/>
        <w:spacing w:beforeLines="50" w:after="50" w:line="400" w:lineRule="exact"/>
        <w:ind w:firstLine="643"/>
        <w:rPr>
          <w:rFonts w:ascii="宋体" w:hAnsi="宋体"/>
          <w:bCs/>
          <w:color w:val="auto"/>
          <w:sz w:val="32"/>
          <w:szCs w:val="20"/>
          <w:highlight w:val="none"/>
          <w:shd w:val="clear" w:color="auto" w:fill="FFFFFF" w:themeFill="background1"/>
        </w:rPr>
      </w:pPr>
    </w:p>
    <w:p w14:paraId="6B7BA16E">
      <w:pPr>
        <w:snapToGrid w:val="0"/>
        <w:spacing w:beforeLines="50" w:after="50" w:line="400" w:lineRule="exact"/>
        <w:ind w:firstLine="482"/>
        <w:jc w:val="center"/>
        <w:rPr>
          <w:rFonts w:ascii="宋体" w:hAnsi="宋体"/>
          <w:bCs/>
          <w:color w:val="auto"/>
          <w:sz w:val="24"/>
          <w:szCs w:val="20"/>
          <w:highlight w:val="none"/>
          <w:shd w:val="clear" w:color="auto" w:fill="FFFFFF" w:themeFill="background1"/>
        </w:rPr>
      </w:pPr>
    </w:p>
    <w:p w14:paraId="235C7C7C">
      <w:pPr>
        <w:snapToGrid w:val="0"/>
        <w:spacing w:beforeLines="50" w:after="50" w:line="400" w:lineRule="exact"/>
        <w:ind w:firstLine="643"/>
        <w:jc w:val="center"/>
        <w:rPr>
          <w:rFonts w:ascii="宋体" w:hAnsi="宋体"/>
          <w:b/>
          <w:bCs/>
          <w:color w:val="auto"/>
          <w:sz w:val="32"/>
          <w:szCs w:val="32"/>
          <w:highlight w:val="none"/>
          <w:shd w:val="clear" w:color="auto" w:fill="FFFFFF" w:themeFill="background1"/>
        </w:rPr>
      </w:pPr>
      <w:r>
        <w:rPr>
          <w:rFonts w:hint="eastAsia" w:ascii="宋体" w:hAnsi="宋体"/>
          <w:b/>
          <w:bCs/>
          <w:color w:val="auto"/>
          <w:sz w:val="32"/>
          <w:szCs w:val="32"/>
          <w:highlight w:val="none"/>
          <w:shd w:val="clear" w:color="auto" w:fill="FFFFFF" w:themeFill="background1"/>
        </w:rPr>
        <w:t>报价文件</w:t>
      </w:r>
    </w:p>
    <w:p w14:paraId="3DDF0499">
      <w:pPr>
        <w:snapToGrid w:val="0"/>
        <w:spacing w:beforeLines="50" w:after="50" w:line="400" w:lineRule="exact"/>
        <w:ind w:firstLine="482"/>
        <w:rPr>
          <w:rFonts w:ascii="宋体" w:hAnsi="宋体"/>
          <w:bCs/>
          <w:color w:val="auto"/>
          <w:sz w:val="24"/>
          <w:szCs w:val="20"/>
          <w:highlight w:val="none"/>
          <w:shd w:val="clear" w:color="auto" w:fill="FFFFFF" w:themeFill="background1"/>
        </w:rPr>
      </w:pPr>
    </w:p>
    <w:p w14:paraId="47B39A32">
      <w:pPr>
        <w:snapToGrid w:val="0"/>
        <w:spacing w:beforeLines="50" w:after="50" w:line="400" w:lineRule="exact"/>
        <w:ind w:firstLine="482"/>
        <w:rPr>
          <w:rFonts w:ascii="宋体" w:hAnsi="宋体"/>
          <w:bCs/>
          <w:color w:val="auto"/>
          <w:sz w:val="24"/>
          <w:szCs w:val="20"/>
          <w:highlight w:val="none"/>
          <w:shd w:val="clear" w:color="auto" w:fill="FFFFFF" w:themeFill="background1"/>
        </w:rPr>
      </w:pPr>
    </w:p>
    <w:p w14:paraId="5EB2A3F7">
      <w:pPr>
        <w:snapToGrid w:val="0"/>
        <w:spacing w:beforeLines="50" w:after="50" w:line="400" w:lineRule="exact"/>
        <w:ind w:firstLine="482"/>
        <w:rPr>
          <w:rFonts w:ascii="宋体" w:hAnsi="宋体"/>
          <w:bCs/>
          <w:color w:val="auto"/>
          <w:sz w:val="24"/>
          <w:szCs w:val="20"/>
          <w:highlight w:val="none"/>
          <w:shd w:val="clear" w:color="auto" w:fill="FFFFFF" w:themeFill="background1"/>
        </w:rPr>
      </w:pPr>
    </w:p>
    <w:p w14:paraId="189F6E8F">
      <w:pPr>
        <w:snapToGrid w:val="0"/>
        <w:spacing w:beforeLines="50" w:after="50" w:line="400" w:lineRule="exact"/>
        <w:ind w:firstLine="482"/>
        <w:rPr>
          <w:rFonts w:ascii="宋体" w:hAnsi="宋体"/>
          <w:bCs/>
          <w:color w:val="auto"/>
          <w:sz w:val="24"/>
          <w:szCs w:val="20"/>
          <w:highlight w:val="none"/>
          <w:shd w:val="clear" w:color="auto" w:fill="FFFFFF" w:themeFill="background1"/>
        </w:rPr>
      </w:pPr>
    </w:p>
    <w:p w14:paraId="267A9EDF">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 xml:space="preserve">项目名称： </w:t>
      </w:r>
    </w:p>
    <w:p w14:paraId="1B71FD0F">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p>
    <w:p w14:paraId="61739EA5">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 xml:space="preserve">项目编号： </w:t>
      </w:r>
    </w:p>
    <w:p w14:paraId="5276C3C6">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p>
    <w:p w14:paraId="2F2141E4">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所投分标：/</w:t>
      </w:r>
    </w:p>
    <w:p w14:paraId="72BBBB1E">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p>
    <w:p w14:paraId="5CF1C396">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投标人名称：</w:t>
      </w:r>
    </w:p>
    <w:p w14:paraId="075D45D1">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p>
    <w:p w14:paraId="7D271580">
      <w:pPr>
        <w:snapToGrid w:val="0"/>
        <w:spacing w:beforeLines="50" w:after="50" w:line="400" w:lineRule="exact"/>
        <w:ind w:firstLine="360" w:firstLineChars="150"/>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投标人地址：</w:t>
      </w:r>
    </w:p>
    <w:p w14:paraId="7D5F4B59">
      <w:pPr>
        <w:pStyle w:val="8"/>
        <w:snapToGrid w:val="0"/>
        <w:spacing w:before="50" w:after="50" w:line="400" w:lineRule="exact"/>
        <w:ind w:firstLine="960" w:firstLineChars="400"/>
        <w:rPr>
          <w:rFonts w:ascii="宋体" w:hAnsi="宋体"/>
          <w:bCs/>
          <w:color w:val="auto"/>
          <w:sz w:val="24"/>
          <w:szCs w:val="24"/>
          <w:highlight w:val="none"/>
          <w:shd w:val="clear" w:color="auto" w:fill="FFFFFF" w:themeFill="background1"/>
        </w:rPr>
      </w:pPr>
    </w:p>
    <w:p w14:paraId="281EE8CC">
      <w:pPr>
        <w:snapToGrid w:val="0"/>
        <w:spacing w:beforeLines="50" w:after="50" w:line="400" w:lineRule="exact"/>
        <w:ind w:firstLine="482"/>
        <w:rPr>
          <w:rFonts w:ascii="宋体" w:hAnsi="宋体"/>
          <w:color w:val="auto"/>
          <w:sz w:val="30"/>
          <w:szCs w:val="20"/>
          <w:highlight w:val="none"/>
          <w:shd w:val="clear" w:color="auto" w:fill="FFFFFF" w:themeFill="background1"/>
        </w:rPr>
      </w:pPr>
      <w:r>
        <w:rPr>
          <w:rFonts w:hint="eastAsia" w:ascii="宋体" w:hAnsi="宋体"/>
          <w:color w:val="auto"/>
          <w:sz w:val="24"/>
          <w:highlight w:val="none"/>
          <w:shd w:val="clear" w:color="auto" w:fill="FFFFFF" w:themeFill="background1"/>
        </w:rPr>
        <w:t xml:space="preserve">                                   年  月  日</w:t>
      </w:r>
    </w:p>
    <w:p w14:paraId="240A9822">
      <w:pPr>
        <w:snapToGrid w:val="0"/>
        <w:spacing w:beforeLines="50" w:after="50" w:line="360" w:lineRule="auto"/>
        <w:ind w:firstLine="482"/>
        <w:jc w:val="left"/>
        <w:rPr>
          <w:rFonts w:ascii="宋体" w:hAnsi="宋体"/>
          <w:color w:val="auto"/>
          <w:sz w:val="24"/>
          <w:szCs w:val="20"/>
          <w:highlight w:val="none"/>
          <w:shd w:val="clear" w:color="auto" w:fill="FFFFFF" w:themeFill="background1"/>
        </w:rPr>
      </w:pPr>
      <w:r>
        <w:rPr>
          <w:rFonts w:hint="eastAsia" w:ascii="宋体" w:hAnsi="宋体"/>
          <w:b/>
          <w:color w:val="auto"/>
          <w:sz w:val="24"/>
          <w:highlight w:val="none"/>
          <w:shd w:val="clear" w:color="auto" w:fill="FFFFFF" w:themeFill="background1"/>
        </w:rPr>
        <w:br w:type="page"/>
      </w:r>
      <w:r>
        <w:rPr>
          <w:rFonts w:hint="eastAsia" w:ascii="宋体" w:hAnsi="宋体"/>
          <w:b/>
          <w:color w:val="auto"/>
          <w:sz w:val="24"/>
          <w:highlight w:val="none"/>
          <w:shd w:val="clear" w:color="auto" w:fill="FFFFFF" w:themeFill="background1"/>
        </w:rPr>
        <w:t>2.</w:t>
      </w:r>
      <w:r>
        <w:rPr>
          <w:rFonts w:hint="eastAsia" w:ascii="宋体" w:hAnsi="宋体"/>
          <w:b/>
          <w:bCs/>
          <w:color w:val="auto"/>
          <w:sz w:val="24"/>
          <w:highlight w:val="none"/>
          <w:shd w:val="clear" w:color="auto" w:fill="FFFFFF" w:themeFill="background1"/>
        </w:rPr>
        <w:t>报价文件目录</w:t>
      </w:r>
    </w:p>
    <w:p w14:paraId="4AC1A353">
      <w:pPr>
        <w:snapToGrid w:val="0"/>
        <w:spacing w:before="50" w:afterLines="50" w:line="360" w:lineRule="auto"/>
        <w:ind w:firstLine="422"/>
        <w:jc w:val="left"/>
        <w:rPr>
          <w:rFonts w:ascii="宋体" w:hAnsi="宋体"/>
          <w:b/>
          <w:color w:val="auto"/>
          <w:sz w:val="24"/>
          <w:highlight w:val="none"/>
          <w:shd w:val="clear" w:color="auto" w:fill="FFFFFF" w:themeFill="background1"/>
        </w:rPr>
      </w:pPr>
      <w:r>
        <w:rPr>
          <w:rFonts w:hint="eastAsia" w:ascii="宋体" w:hAnsi="宋体"/>
          <w:color w:val="auto"/>
          <w:szCs w:val="21"/>
          <w:highlight w:val="none"/>
          <w:shd w:val="clear" w:color="auto" w:fill="FFFFFF" w:themeFill="background1"/>
        </w:rPr>
        <w:t>根据招标文件规定及投标人提供的材料自行编写目录。</w:t>
      </w:r>
    </w:p>
    <w:p w14:paraId="4AAA3D9C">
      <w:pPr>
        <w:snapToGrid w:val="0"/>
        <w:spacing w:beforeLines="50" w:after="50"/>
        <w:ind w:firstLine="480"/>
        <w:rPr>
          <w:rFonts w:ascii="宋体" w:hAnsi="宋体"/>
          <w:b/>
          <w:color w:val="auto"/>
          <w:sz w:val="24"/>
          <w:highlight w:val="none"/>
          <w:shd w:val="clear" w:color="auto" w:fill="FFFFFF" w:themeFill="background1"/>
        </w:rPr>
      </w:pPr>
    </w:p>
    <w:p w14:paraId="4D19202F">
      <w:pPr>
        <w:snapToGrid w:val="0"/>
        <w:spacing w:beforeLines="50" w:after="50"/>
        <w:ind w:firstLine="480"/>
        <w:rPr>
          <w:rFonts w:ascii="宋体" w:hAnsi="宋体"/>
          <w:b/>
          <w:color w:val="auto"/>
          <w:sz w:val="24"/>
          <w:highlight w:val="none"/>
          <w:shd w:val="clear" w:color="auto" w:fill="FFFFFF" w:themeFill="background1"/>
        </w:rPr>
      </w:pPr>
    </w:p>
    <w:p w14:paraId="0E92C1BD">
      <w:pPr>
        <w:snapToGrid w:val="0"/>
        <w:spacing w:beforeLines="50" w:after="50"/>
        <w:ind w:firstLine="480"/>
        <w:rPr>
          <w:rFonts w:ascii="宋体" w:hAnsi="宋体"/>
          <w:b/>
          <w:color w:val="auto"/>
          <w:sz w:val="24"/>
          <w:highlight w:val="none"/>
          <w:shd w:val="clear" w:color="auto" w:fill="FFFFFF" w:themeFill="background1"/>
        </w:rPr>
      </w:pPr>
    </w:p>
    <w:p w14:paraId="1ABFB1BE">
      <w:pPr>
        <w:snapToGrid w:val="0"/>
        <w:spacing w:beforeLines="50" w:after="50"/>
        <w:ind w:left="142" w:firstLine="482"/>
        <w:jc w:val="left"/>
        <w:rPr>
          <w:rFonts w:ascii="宋体" w:hAnsi="宋体"/>
          <w:b/>
          <w:color w:val="auto"/>
          <w:sz w:val="24"/>
          <w:highlight w:val="none"/>
        </w:rPr>
      </w:pPr>
      <w:r>
        <w:rPr>
          <w:rFonts w:hint="eastAsia" w:ascii="宋体" w:hAnsi="宋体"/>
          <w:b/>
          <w:color w:val="auto"/>
          <w:sz w:val="24"/>
          <w:highlight w:val="none"/>
          <w:shd w:val="clear" w:color="auto" w:fill="FFFFFF" w:themeFill="background1"/>
        </w:rPr>
        <w:br w:type="page"/>
      </w:r>
      <w:r>
        <w:rPr>
          <w:rFonts w:hint="eastAsia" w:ascii="宋体" w:hAnsi="宋体"/>
          <w:b/>
          <w:color w:val="auto"/>
          <w:sz w:val="24"/>
          <w:highlight w:val="none"/>
        </w:rPr>
        <w:t>3. 投标函格式：</w:t>
      </w:r>
    </w:p>
    <w:p w14:paraId="3050118A">
      <w:pPr>
        <w:snapToGrid w:val="0"/>
        <w:spacing w:beforeLines="50" w:after="50" w:line="320" w:lineRule="exact"/>
        <w:ind w:firstLine="643"/>
        <w:jc w:val="center"/>
        <w:rPr>
          <w:rFonts w:ascii="宋体" w:hAnsi="宋体"/>
          <w:b/>
          <w:color w:val="auto"/>
          <w:sz w:val="32"/>
          <w:szCs w:val="32"/>
          <w:highlight w:val="none"/>
        </w:rPr>
      </w:pPr>
      <w:r>
        <w:rPr>
          <w:rFonts w:hint="eastAsia" w:ascii="宋体" w:hAnsi="宋体"/>
          <w:b/>
          <w:color w:val="auto"/>
          <w:sz w:val="32"/>
          <w:szCs w:val="32"/>
          <w:highlight w:val="none"/>
        </w:rPr>
        <w:t>投 标 函</w:t>
      </w:r>
    </w:p>
    <w:p w14:paraId="7653C755">
      <w:pPr>
        <w:snapToGrid w:val="0"/>
        <w:spacing w:beforeLines="50" w:after="50" w:line="320" w:lineRule="exact"/>
        <w:ind w:firstLine="480"/>
        <w:jc w:val="center"/>
        <w:rPr>
          <w:rFonts w:ascii="宋体" w:hAnsi="宋体"/>
          <w:b/>
          <w:color w:val="auto"/>
          <w:sz w:val="24"/>
          <w:szCs w:val="20"/>
          <w:highlight w:val="none"/>
        </w:rPr>
      </w:pPr>
    </w:p>
    <w:p w14:paraId="72174509">
      <w:pPr>
        <w:snapToGrid w:val="0"/>
        <w:spacing w:line="360" w:lineRule="auto"/>
        <w:ind w:firstLine="482"/>
        <w:rPr>
          <w:rFonts w:ascii="宋体" w:hAnsi="宋体"/>
          <w:color w:val="auto"/>
          <w:sz w:val="24"/>
          <w:highlight w:val="none"/>
        </w:rPr>
      </w:pPr>
      <w:r>
        <w:rPr>
          <w:rFonts w:hint="eastAsia" w:ascii="宋体" w:hAnsi="宋体"/>
          <w:color w:val="auto"/>
          <w:sz w:val="24"/>
          <w:highlight w:val="none"/>
        </w:rPr>
        <w:t>致：（采购人名称）</w:t>
      </w:r>
    </w:p>
    <w:p w14:paraId="0E3834F8">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2CD0F75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据此函，我方宣布同意如下：</w:t>
      </w:r>
    </w:p>
    <w:p w14:paraId="594F3B0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2F330E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3C4B8E6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3.本投标有效期自投标截止之日起</w:t>
      </w:r>
      <w:r>
        <w:rPr>
          <w:rFonts w:hint="eastAsia" w:ascii="宋体" w:hAnsi="宋体"/>
          <w:color w:val="auto"/>
          <w:sz w:val="24"/>
          <w:highlight w:val="none"/>
          <w:u w:val="single"/>
        </w:rPr>
        <w:t>90</w:t>
      </w:r>
      <w:r>
        <w:rPr>
          <w:rFonts w:hint="eastAsia" w:ascii="宋体" w:hAnsi="宋体"/>
          <w:color w:val="auto"/>
          <w:sz w:val="24"/>
          <w:highlight w:val="none"/>
        </w:rPr>
        <w:t>日。</w:t>
      </w:r>
    </w:p>
    <w:p w14:paraId="3621946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0C1C52E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190E0F4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2071CE7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13E21F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69C60B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452F77F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B7B25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64E85DF6">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7C25D20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F85FAF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75A933A5">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2BA81EE">
      <w:pPr>
        <w:snapToGrid w:val="0"/>
        <w:spacing w:line="360" w:lineRule="auto"/>
        <w:ind w:firstLine="480" w:firstLineChars="200"/>
        <w:jc w:val="left"/>
        <w:rPr>
          <w:rFonts w:hint="eastAsia" w:ascii="宋体" w:hAnsi="宋体"/>
          <w:color w:val="auto"/>
          <w:sz w:val="24"/>
          <w:highlight w:val="none"/>
        </w:rPr>
      </w:pPr>
    </w:p>
    <w:p w14:paraId="40EDB37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7B10C429">
      <w:pPr>
        <w:pStyle w:val="31"/>
        <w:snapToGrid w:val="0"/>
        <w:spacing w:before="295" w:after="295" w:line="360" w:lineRule="auto"/>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352C5A34">
      <w:pPr>
        <w:pStyle w:val="31"/>
        <w:snapToGrid w:val="0"/>
        <w:spacing w:before="295" w:after="295" w:line="360" w:lineRule="auto"/>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2393A8DC">
      <w:pPr>
        <w:pStyle w:val="31"/>
        <w:snapToGrid w:val="0"/>
        <w:spacing w:before="295" w:after="295" w:line="360" w:lineRule="auto"/>
        <w:ind w:firstLine="482"/>
        <w:rPr>
          <w:rFonts w:hAnsi="宋体"/>
          <w:color w:val="auto"/>
          <w:sz w:val="24"/>
          <w:highlight w:val="none"/>
          <w:shd w:val="clear" w:color="auto" w:fill="FFFFFF" w:themeFill="background1"/>
        </w:rPr>
      </w:pPr>
    </w:p>
    <w:p w14:paraId="56F6F0EB">
      <w:pPr>
        <w:snapToGrid w:val="0"/>
        <w:spacing w:beforeLines="50" w:after="50"/>
        <w:ind w:firstLine="422"/>
        <w:jc w:val="left"/>
        <w:rPr>
          <w:rFonts w:ascii="宋体" w:hAnsi="宋体"/>
          <w:b/>
          <w:color w:val="auto"/>
          <w:sz w:val="24"/>
          <w:szCs w:val="20"/>
          <w:highlight w:val="none"/>
          <w:shd w:val="clear" w:color="auto" w:fill="FFFFFF" w:themeFill="background1"/>
        </w:rPr>
      </w:pPr>
      <w:r>
        <w:rPr>
          <w:rFonts w:hAnsi="宋体"/>
          <w:color w:val="auto"/>
          <w:highlight w:val="none"/>
          <w:u w:val="single"/>
          <w:shd w:val="clear" w:color="auto" w:fill="FFFFFF" w:themeFill="background1"/>
        </w:rPr>
        <w:br w:type="page"/>
      </w:r>
      <w:r>
        <w:rPr>
          <w:rFonts w:hint="eastAsia" w:ascii="宋体" w:hAnsi="宋体"/>
          <w:b/>
          <w:color w:val="auto"/>
          <w:sz w:val="24"/>
          <w:highlight w:val="none"/>
          <w:shd w:val="clear" w:color="auto" w:fill="FFFFFF" w:themeFill="background1"/>
        </w:rPr>
        <w:t>4. 开标一览表</w:t>
      </w:r>
    </w:p>
    <w:p w14:paraId="7E87672E">
      <w:pPr>
        <w:snapToGrid w:val="0"/>
        <w:spacing w:before="50" w:after="50"/>
        <w:ind w:firstLine="602"/>
        <w:jc w:val="center"/>
        <w:rPr>
          <w:rFonts w:ascii="宋体" w:hAnsi="宋体"/>
          <w:b/>
          <w:color w:val="auto"/>
          <w:sz w:val="30"/>
          <w:highlight w:val="none"/>
          <w:shd w:val="clear" w:color="auto" w:fill="FFFFFF" w:themeFill="background1"/>
        </w:rPr>
      </w:pPr>
      <w:r>
        <w:rPr>
          <w:rFonts w:hint="eastAsia" w:ascii="宋体" w:hAnsi="宋体"/>
          <w:b/>
          <w:color w:val="auto"/>
          <w:sz w:val="30"/>
          <w:highlight w:val="none"/>
          <w:shd w:val="clear" w:color="auto" w:fill="FFFFFF" w:themeFill="background1"/>
        </w:rPr>
        <w:t>开标一览表</w:t>
      </w:r>
    </w:p>
    <w:p w14:paraId="02A378F4">
      <w:pPr>
        <w:snapToGrid w:val="0"/>
        <w:spacing w:before="50" w:after="50"/>
        <w:ind w:firstLine="600"/>
        <w:jc w:val="center"/>
        <w:rPr>
          <w:rFonts w:ascii="宋体" w:hAnsi="宋体"/>
          <w:b/>
          <w:color w:val="auto"/>
          <w:sz w:val="30"/>
          <w:szCs w:val="20"/>
          <w:highlight w:val="none"/>
          <w:shd w:val="clear" w:color="auto" w:fill="FFFFFF" w:themeFill="background1"/>
        </w:rPr>
      </w:pPr>
    </w:p>
    <w:p w14:paraId="06B59EB3">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C1CB4F6">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p w14:paraId="3B5E17CF">
      <w:pPr>
        <w:snapToGrid w:val="0"/>
        <w:spacing w:before="50" w:after="50" w:line="360" w:lineRule="auto"/>
        <w:ind w:firstLine="482"/>
        <w:rPr>
          <w:rFonts w:hint="eastAsia" w:ascii="宋体" w:hAnsi="宋体"/>
          <w:color w:val="auto"/>
          <w:sz w:val="24"/>
          <w:highlight w:val="none"/>
          <w:shd w:val="clear" w:color="auto" w:fill="FFFFFF" w:themeFill="background1"/>
        </w:rPr>
      </w:pPr>
    </w:p>
    <w:tbl>
      <w:tblPr>
        <w:tblStyle w:val="62"/>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628"/>
        <w:gridCol w:w="902"/>
        <w:gridCol w:w="781"/>
        <w:gridCol w:w="1681"/>
        <w:gridCol w:w="1439"/>
      </w:tblGrid>
      <w:tr w14:paraId="234C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9" w:hRule="atLeast"/>
          <w:jc w:val="center"/>
        </w:trPr>
        <w:tc>
          <w:tcPr>
            <w:tcW w:w="634" w:type="pct"/>
            <w:tcBorders>
              <w:top w:val="single" w:color="auto" w:sz="12" w:space="0"/>
              <w:left w:val="single" w:color="auto" w:sz="12" w:space="0"/>
              <w:bottom w:val="single" w:color="auto" w:sz="4" w:space="0"/>
              <w:right w:val="single" w:color="auto" w:sz="4" w:space="0"/>
            </w:tcBorders>
            <w:vAlign w:val="center"/>
          </w:tcPr>
          <w:p w14:paraId="1B7C3C89">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序号</w:t>
            </w:r>
          </w:p>
        </w:tc>
        <w:tc>
          <w:tcPr>
            <w:tcW w:w="1878" w:type="pct"/>
            <w:tcBorders>
              <w:top w:val="single" w:color="auto" w:sz="12" w:space="0"/>
              <w:left w:val="single" w:color="auto" w:sz="4" w:space="0"/>
              <w:bottom w:val="single" w:color="auto" w:sz="4" w:space="0"/>
              <w:right w:val="single" w:color="auto" w:sz="4" w:space="0"/>
            </w:tcBorders>
            <w:vAlign w:val="center"/>
          </w:tcPr>
          <w:p w14:paraId="22AC2F38">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标的名称</w:t>
            </w:r>
          </w:p>
        </w:tc>
        <w:tc>
          <w:tcPr>
            <w:tcW w:w="467" w:type="pct"/>
            <w:tcBorders>
              <w:top w:val="single" w:color="auto" w:sz="12" w:space="0"/>
              <w:left w:val="single" w:color="auto" w:sz="4" w:space="0"/>
              <w:bottom w:val="single" w:color="auto" w:sz="4" w:space="0"/>
              <w:right w:val="single" w:color="auto" w:sz="4" w:space="0"/>
            </w:tcBorders>
            <w:vAlign w:val="center"/>
          </w:tcPr>
          <w:p w14:paraId="71B9696C">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单位</w:t>
            </w:r>
          </w:p>
        </w:tc>
        <w:tc>
          <w:tcPr>
            <w:tcW w:w="404" w:type="pct"/>
            <w:tcBorders>
              <w:top w:val="single" w:color="auto" w:sz="12" w:space="0"/>
              <w:left w:val="single" w:color="auto" w:sz="4" w:space="0"/>
              <w:bottom w:val="single" w:color="auto" w:sz="4" w:space="0"/>
              <w:right w:val="single" w:color="auto" w:sz="4" w:space="0"/>
            </w:tcBorders>
            <w:vAlign w:val="center"/>
          </w:tcPr>
          <w:p w14:paraId="0D2EAD8B">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数量</w:t>
            </w:r>
          </w:p>
        </w:tc>
        <w:tc>
          <w:tcPr>
            <w:tcW w:w="870" w:type="pct"/>
            <w:tcBorders>
              <w:top w:val="single" w:color="auto" w:sz="12" w:space="0"/>
              <w:left w:val="single" w:color="auto" w:sz="4" w:space="0"/>
              <w:bottom w:val="single" w:color="auto" w:sz="4" w:space="0"/>
              <w:right w:val="single" w:color="auto" w:sz="4" w:space="0"/>
            </w:tcBorders>
            <w:vAlign w:val="center"/>
          </w:tcPr>
          <w:p w14:paraId="784398D3">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投标报价</w:t>
            </w:r>
          </w:p>
          <w:p w14:paraId="09596F86">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（元）</w:t>
            </w:r>
          </w:p>
        </w:tc>
        <w:tc>
          <w:tcPr>
            <w:tcW w:w="745" w:type="pct"/>
            <w:tcBorders>
              <w:top w:val="single" w:color="auto" w:sz="12" w:space="0"/>
              <w:left w:val="single" w:color="auto" w:sz="4" w:space="0"/>
              <w:bottom w:val="single" w:color="auto" w:sz="4" w:space="0"/>
              <w:right w:val="single" w:color="auto" w:sz="12" w:space="0"/>
            </w:tcBorders>
            <w:vAlign w:val="center"/>
          </w:tcPr>
          <w:p w14:paraId="343E47F2">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备注</w:t>
            </w:r>
          </w:p>
        </w:tc>
      </w:tr>
      <w:tr w14:paraId="343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634" w:type="pct"/>
            <w:tcBorders>
              <w:top w:val="single" w:color="auto" w:sz="4" w:space="0"/>
              <w:left w:val="single" w:color="auto" w:sz="12" w:space="0"/>
              <w:right w:val="single" w:color="auto" w:sz="4" w:space="0"/>
            </w:tcBorders>
            <w:vAlign w:val="center"/>
          </w:tcPr>
          <w:p w14:paraId="76A55F31">
            <w:pPr>
              <w:snapToGrid w:val="0"/>
              <w:jc w:val="center"/>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1</w:t>
            </w:r>
          </w:p>
        </w:tc>
        <w:tc>
          <w:tcPr>
            <w:tcW w:w="1878" w:type="pct"/>
            <w:tcBorders>
              <w:top w:val="single" w:color="auto" w:sz="4" w:space="0"/>
              <w:left w:val="single" w:color="auto" w:sz="4" w:space="0"/>
              <w:right w:val="single" w:color="auto" w:sz="4" w:space="0"/>
            </w:tcBorders>
            <w:vAlign w:val="center"/>
          </w:tcPr>
          <w:p w14:paraId="1AAAFAD9">
            <w:pPr>
              <w:snapToGrid w:val="0"/>
              <w:jc w:val="center"/>
              <w:rPr>
                <w:rFonts w:ascii="宋体" w:hAnsi="宋体" w:eastAsia="宋体"/>
                <w:b/>
                <w:color w:val="auto"/>
                <w:szCs w:val="21"/>
                <w:highlight w:val="none"/>
                <w:shd w:val="clear" w:color="auto" w:fill="FFFFFF" w:themeFill="background1"/>
              </w:rPr>
            </w:pPr>
            <w:r>
              <w:rPr>
                <w:rFonts w:hint="eastAsia" w:ascii="宋体" w:hAnsi="宋体" w:eastAsia="宋体"/>
                <w:b/>
                <w:color w:val="auto"/>
                <w:szCs w:val="21"/>
                <w:highlight w:val="none"/>
                <w:shd w:val="clear" w:color="auto" w:fill="FFFFFF" w:themeFill="background1"/>
                <w:lang w:eastAsia="zh-CN"/>
              </w:rPr>
              <w:t>外1#、外2#锚地及锚地通道勘察测量</w:t>
            </w:r>
          </w:p>
        </w:tc>
        <w:tc>
          <w:tcPr>
            <w:tcW w:w="467" w:type="pct"/>
            <w:tcBorders>
              <w:top w:val="single" w:color="auto" w:sz="4" w:space="0"/>
              <w:left w:val="single" w:color="auto" w:sz="4" w:space="0"/>
              <w:right w:val="single" w:color="auto" w:sz="4" w:space="0"/>
            </w:tcBorders>
            <w:vAlign w:val="center"/>
          </w:tcPr>
          <w:p w14:paraId="4C9B50F8">
            <w:pPr>
              <w:snapToGrid w:val="0"/>
              <w:ind w:firstLine="211" w:firstLineChars="100"/>
              <w:jc w:val="both"/>
              <w:rPr>
                <w:rFonts w:hint="eastAsia" w:ascii="宋体" w:hAnsi="宋体" w:eastAsia="宋体"/>
                <w:b/>
                <w:color w:val="auto"/>
                <w:szCs w:val="21"/>
                <w:highlight w:val="none"/>
                <w:shd w:val="clear" w:color="auto" w:fill="FFFFFF" w:themeFill="background1"/>
                <w:lang w:eastAsia="zh-CN"/>
              </w:rPr>
            </w:pPr>
            <w:r>
              <w:rPr>
                <w:rFonts w:hint="eastAsia" w:ascii="宋体" w:hAnsi="宋体"/>
                <w:b/>
                <w:color w:val="auto"/>
                <w:szCs w:val="21"/>
                <w:highlight w:val="none"/>
                <w:shd w:val="clear" w:color="auto" w:fill="FFFFFF" w:themeFill="background1"/>
                <w:lang w:eastAsia="zh-CN"/>
              </w:rPr>
              <w:t>项</w:t>
            </w:r>
          </w:p>
        </w:tc>
        <w:tc>
          <w:tcPr>
            <w:tcW w:w="404" w:type="pct"/>
            <w:tcBorders>
              <w:top w:val="single" w:color="auto" w:sz="4" w:space="0"/>
              <w:left w:val="single" w:color="auto" w:sz="4" w:space="0"/>
              <w:right w:val="single" w:color="auto" w:sz="4" w:space="0"/>
            </w:tcBorders>
            <w:vAlign w:val="center"/>
          </w:tcPr>
          <w:p w14:paraId="08733A44">
            <w:pPr>
              <w:snapToGrid w:val="0"/>
              <w:jc w:val="center"/>
              <w:rPr>
                <w:rFonts w:hint="eastAsia" w:ascii="宋体" w:hAnsi="宋体" w:eastAsia="宋体"/>
                <w:b/>
                <w:color w:val="auto"/>
                <w:szCs w:val="21"/>
                <w:highlight w:val="none"/>
                <w:shd w:val="clear" w:color="auto" w:fill="FFFFFF" w:themeFill="background1"/>
                <w:lang w:val="en-US" w:eastAsia="zh-CN"/>
              </w:rPr>
            </w:pPr>
            <w:r>
              <w:rPr>
                <w:rFonts w:hint="eastAsia" w:ascii="宋体" w:hAnsi="宋体"/>
                <w:b/>
                <w:color w:val="auto"/>
                <w:szCs w:val="21"/>
                <w:highlight w:val="none"/>
                <w:shd w:val="clear" w:color="auto" w:fill="FFFFFF" w:themeFill="background1"/>
                <w:lang w:val="en-US" w:eastAsia="zh-CN"/>
              </w:rPr>
              <w:t>1</w:t>
            </w:r>
          </w:p>
        </w:tc>
        <w:tc>
          <w:tcPr>
            <w:tcW w:w="870" w:type="pct"/>
            <w:tcBorders>
              <w:top w:val="single" w:color="auto" w:sz="4" w:space="0"/>
              <w:left w:val="single" w:color="auto" w:sz="4" w:space="0"/>
              <w:right w:val="single" w:color="auto" w:sz="4" w:space="0"/>
            </w:tcBorders>
            <w:vAlign w:val="center"/>
          </w:tcPr>
          <w:p w14:paraId="53D30839">
            <w:pPr>
              <w:snapToGrid w:val="0"/>
              <w:ind w:firstLine="422"/>
              <w:rPr>
                <w:rFonts w:ascii="宋体" w:hAnsi="宋体"/>
                <w:color w:val="auto"/>
                <w:szCs w:val="21"/>
                <w:highlight w:val="none"/>
                <w:shd w:val="clear" w:color="auto" w:fill="FFFFFF" w:themeFill="background1"/>
              </w:rPr>
            </w:pPr>
          </w:p>
        </w:tc>
        <w:tc>
          <w:tcPr>
            <w:tcW w:w="745" w:type="pct"/>
            <w:tcBorders>
              <w:top w:val="single" w:color="auto" w:sz="4" w:space="0"/>
              <w:left w:val="single" w:color="auto" w:sz="4" w:space="0"/>
              <w:right w:val="single" w:color="auto" w:sz="12" w:space="0"/>
            </w:tcBorders>
            <w:vAlign w:val="center"/>
          </w:tcPr>
          <w:p w14:paraId="2C54777C">
            <w:pPr>
              <w:snapToGrid w:val="0"/>
              <w:ind w:firstLine="422"/>
              <w:rPr>
                <w:rFonts w:ascii="宋体" w:hAnsi="宋体"/>
                <w:color w:val="auto"/>
                <w:szCs w:val="21"/>
                <w:highlight w:val="none"/>
                <w:shd w:val="clear" w:color="auto" w:fill="FFFFFF" w:themeFill="background1"/>
              </w:rPr>
            </w:pPr>
          </w:p>
        </w:tc>
      </w:tr>
      <w:tr w14:paraId="110A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634" w:type="pct"/>
            <w:tcBorders>
              <w:top w:val="single" w:color="auto" w:sz="4" w:space="0"/>
              <w:left w:val="single" w:color="auto" w:sz="12" w:space="0"/>
              <w:right w:val="single" w:color="auto" w:sz="4" w:space="0"/>
            </w:tcBorders>
            <w:vAlign w:val="center"/>
          </w:tcPr>
          <w:p w14:paraId="4A5AB93A">
            <w:pPr>
              <w:snapToGrid w:val="0"/>
              <w:jc w:val="center"/>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2</w:t>
            </w:r>
          </w:p>
        </w:tc>
        <w:tc>
          <w:tcPr>
            <w:tcW w:w="1878" w:type="pct"/>
            <w:tcBorders>
              <w:top w:val="single" w:color="auto" w:sz="4" w:space="0"/>
              <w:left w:val="single" w:color="auto" w:sz="4" w:space="0"/>
              <w:right w:val="single" w:color="auto" w:sz="4" w:space="0"/>
            </w:tcBorders>
            <w:vAlign w:val="center"/>
          </w:tcPr>
          <w:p w14:paraId="6BF7D76E">
            <w:pPr>
              <w:snapToGrid w:val="0"/>
              <w:jc w:val="center"/>
              <w:rPr>
                <w:rFonts w:ascii="宋体" w:hAnsi="宋体" w:eastAsia="宋体"/>
                <w:b/>
                <w:color w:val="auto"/>
                <w:szCs w:val="21"/>
                <w:highlight w:val="none"/>
                <w:shd w:val="clear" w:color="auto" w:fill="FFFFFF" w:themeFill="background1"/>
              </w:rPr>
            </w:pPr>
            <w:r>
              <w:rPr>
                <w:rFonts w:hint="eastAsia" w:ascii="宋体" w:hAnsi="宋体" w:eastAsia="宋体"/>
                <w:b/>
                <w:color w:val="auto"/>
                <w:szCs w:val="21"/>
                <w:highlight w:val="none"/>
                <w:shd w:val="clear" w:color="auto" w:fill="FFFFFF" w:themeFill="background1"/>
                <w:lang w:eastAsia="zh-CN"/>
              </w:rPr>
              <w:t>有关</w:t>
            </w:r>
            <w:r>
              <w:rPr>
                <w:rFonts w:hint="eastAsia" w:ascii="宋体" w:hAnsi="宋体" w:eastAsia="宋体"/>
                <w:b/>
                <w:color w:val="auto"/>
                <w:szCs w:val="21"/>
                <w:highlight w:val="none"/>
                <w:shd w:val="clear" w:color="auto" w:fill="FFFFFF" w:themeFill="background1"/>
              </w:rPr>
              <w:t>方案设计及</w:t>
            </w:r>
            <w:r>
              <w:rPr>
                <w:rFonts w:hint="eastAsia" w:ascii="宋体" w:hAnsi="宋体" w:eastAsia="宋体"/>
                <w:b/>
                <w:color w:val="auto"/>
                <w:szCs w:val="21"/>
                <w:highlight w:val="none"/>
                <w:shd w:val="clear" w:color="auto" w:fill="FFFFFF" w:themeFill="background1"/>
                <w:lang w:eastAsia="zh-CN"/>
              </w:rPr>
              <w:t>专题报告编制</w:t>
            </w:r>
          </w:p>
        </w:tc>
        <w:tc>
          <w:tcPr>
            <w:tcW w:w="467" w:type="pct"/>
            <w:tcBorders>
              <w:top w:val="single" w:color="auto" w:sz="4" w:space="0"/>
              <w:left w:val="single" w:color="auto" w:sz="4" w:space="0"/>
              <w:right w:val="single" w:color="auto" w:sz="4" w:space="0"/>
            </w:tcBorders>
            <w:vAlign w:val="center"/>
          </w:tcPr>
          <w:p w14:paraId="7B138D8A">
            <w:pPr>
              <w:snapToGrid w:val="0"/>
              <w:ind w:firstLine="211" w:firstLineChars="100"/>
              <w:jc w:val="both"/>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lang w:eastAsia="zh-CN"/>
              </w:rPr>
              <w:t>项</w:t>
            </w:r>
          </w:p>
        </w:tc>
        <w:tc>
          <w:tcPr>
            <w:tcW w:w="404" w:type="pct"/>
            <w:tcBorders>
              <w:top w:val="single" w:color="auto" w:sz="4" w:space="0"/>
              <w:left w:val="single" w:color="auto" w:sz="4" w:space="0"/>
              <w:right w:val="single" w:color="auto" w:sz="4" w:space="0"/>
            </w:tcBorders>
            <w:vAlign w:val="center"/>
          </w:tcPr>
          <w:p w14:paraId="68EAE203">
            <w:pPr>
              <w:snapToGrid w:val="0"/>
              <w:jc w:val="center"/>
              <w:rPr>
                <w:rFonts w:hint="eastAsia" w:ascii="宋体" w:hAnsi="宋体" w:eastAsia="宋体"/>
                <w:b/>
                <w:color w:val="auto"/>
                <w:szCs w:val="21"/>
                <w:highlight w:val="none"/>
                <w:shd w:val="clear" w:color="auto" w:fill="FFFFFF" w:themeFill="background1"/>
                <w:lang w:val="en-US" w:eastAsia="zh-CN"/>
              </w:rPr>
            </w:pPr>
            <w:r>
              <w:rPr>
                <w:rFonts w:hint="eastAsia" w:ascii="宋体" w:hAnsi="宋体"/>
                <w:b/>
                <w:color w:val="auto"/>
                <w:szCs w:val="21"/>
                <w:highlight w:val="none"/>
                <w:shd w:val="clear" w:color="auto" w:fill="FFFFFF" w:themeFill="background1"/>
                <w:lang w:val="en-US" w:eastAsia="zh-CN"/>
              </w:rPr>
              <w:t>1</w:t>
            </w:r>
          </w:p>
        </w:tc>
        <w:tc>
          <w:tcPr>
            <w:tcW w:w="870" w:type="pct"/>
            <w:tcBorders>
              <w:top w:val="single" w:color="auto" w:sz="4" w:space="0"/>
              <w:left w:val="single" w:color="auto" w:sz="4" w:space="0"/>
              <w:right w:val="single" w:color="auto" w:sz="4" w:space="0"/>
            </w:tcBorders>
            <w:vAlign w:val="center"/>
          </w:tcPr>
          <w:p w14:paraId="12D162AD">
            <w:pPr>
              <w:snapToGrid w:val="0"/>
              <w:ind w:firstLine="422"/>
              <w:jc w:val="center"/>
              <w:rPr>
                <w:rFonts w:ascii="宋体" w:hAnsi="宋体"/>
                <w:color w:val="auto"/>
                <w:szCs w:val="21"/>
                <w:highlight w:val="none"/>
                <w:shd w:val="clear" w:color="auto" w:fill="FFFFFF" w:themeFill="background1"/>
              </w:rPr>
            </w:pPr>
          </w:p>
        </w:tc>
        <w:tc>
          <w:tcPr>
            <w:tcW w:w="745" w:type="pct"/>
            <w:tcBorders>
              <w:top w:val="single" w:color="auto" w:sz="4" w:space="0"/>
              <w:left w:val="single" w:color="auto" w:sz="4" w:space="0"/>
              <w:right w:val="single" w:color="auto" w:sz="12" w:space="0"/>
            </w:tcBorders>
            <w:vAlign w:val="center"/>
          </w:tcPr>
          <w:p w14:paraId="3EC4C105">
            <w:pPr>
              <w:snapToGrid w:val="0"/>
              <w:ind w:firstLine="422"/>
              <w:rPr>
                <w:rFonts w:ascii="宋体" w:hAnsi="宋体"/>
                <w:color w:val="auto"/>
                <w:szCs w:val="21"/>
                <w:highlight w:val="none"/>
                <w:shd w:val="clear" w:color="auto" w:fill="FFFFFF" w:themeFill="background1"/>
              </w:rPr>
            </w:pPr>
          </w:p>
        </w:tc>
      </w:tr>
      <w:tr w14:paraId="4021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634" w:type="pct"/>
            <w:tcBorders>
              <w:top w:val="single" w:color="auto" w:sz="4" w:space="0"/>
              <w:left w:val="single" w:color="auto" w:sz="12" w:space="0"/>
              <w:bottom w:val="single" w:color="auto" w:sz="4" w:space="0"/>
              <w:right w:val="single" w:color="auto" w:sz="4" w:space="0"/>
            </w:tcBorders>
            <w:vAlign w:val="center"/>
          </w:tcPr>
          <w:p w14:paraId="308C6704">
            <w:pPr>
              <w:snapToGrid w:val="0"/>
              <w:jc w:val="center"/>
              <w:rPr>
                <w:rFonts w:ascii="宋体" w:hAnsi="宋体"/>
                <w:b/>
                <w:bCs/>
                <w:color w:val="auto"/>
                <w:szCs w:val="21"/>
                <w:highlight w:val="none"/>
                <w:shd w:val="clear" w:color="auto" w:fill="FFFFFF" w:themeFill="background1"/>
              </w:rPr>
            </w:pPr>
            <w:r>
              <w:rPr>
                <w:rFonts w:ascii="宋体" w:hAnsi="宋体"/>
                <w:b/>
                <w:bCs/>
                <w:color w:val="auto"/>
                <w:szCs w:val="21"/>
                <w:highlight w:val="none"/>
                <w:shd w:val="clear" w:color="auto" w:fill="FFFFFF" w:themeFill="background1"/>
              </w:rPr>
              <w:t>3</w:t>
            </w:r>
          </w:p>
        </w:tc>
        <w:tc>
          <w:tcPr>
            <w:tcW w:w="2749" w:type="pct"/>
            <w:gridSpan w:val="3"/>
            <w:tcBorders>
              <w:top w:val="single" w:color="auto" w:sz="4" w:space="0"/>
              <w:left w:val="single" w:color="auto" w:sz="4" w:space="0"/>
              <w:bottom w:val="single" w:color="auto" w:sz="4" w:space="0"/>
              <w:right w:val="single" w:color="auto" w:sz="4" w:space="0"/>
            </w:tcBorders>
            <w:vAlign w:val="center"/>
          </w:tcPr>
          <w:p w14:paraId="64883BCC">
            <w:pPr>
              <w:snapToGrid w:val="0"/>
              <w:ind w:firstLine="42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项目总报价</w:t>
            </w:r>
          </w:p>
        </w:tc>
        <w:tc>
          <w:tcPr>
            <w:tcW w:w="870" w:type="pct"/>
            <w:tcBorders>
              <w:top w:val="single" w:color="auto" w:sz="4" w:space="0"/>
              <w:left w:val="single" w:color="auto" w:sz="4" w:space="0"/>
              <w:bottom w:val="single" w:color="auto" w:sz="4" w:space="0"/>
              <w:right w:val="single" w:color="auto" w:sz="4" w:space="0"/>
            </w:tcBorders>
            <w:vAlign w:val="center"/>
          </w:tcPr>
          <w:p w14:paraId="146C9683">
            <w:pPr>
              <w:snapToGrid w:val="0"/>
              <w:ind w:firstLine="420"/>
              <w:rPr>
                <w:rFonts w:ascii="宋体" w:hAnsi="宋体"/>
                <w:b/>
                <w:bCs/>
                <w:color w:val="auto"/>
                <w:szCs w:val="21"/>
                <w:highlight w:val="none"/>
                <w:shd w:val="clear" w:color="auto" w:fill="FFFFFF" w:themeFill="background1"/>
              </w:rPr>
            </w:pPr>
          </w:p>
        </w:tc>
        <w:tc>
          <w:tcPr>
            <w:tcW w:w="745" w:type="pct"/>
            <w:tcBorders>
              <w:top w:val="single" w:color="auto" w:sz="4" w:space="0"/>
              <w:left w:val="single" w:color="auto" w:sz="4" w:space="0"/>
              <w:bottom w:val="single" w:color="auto" w:sz="4" w:space="0"/>
              <w:right w:val="single" w:color="auto" w:sz="12" w:space="0"/>
            </w:tcBorders>
            <w:vAlign w:val="center"/>
          </w:tcPr>
          <w:p w14:paraId="1A3E650B">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（1+2）</w:t>
            </w:r>
          </w:p>
        </w:tc>
      </w:tr>
    </w:tbl>
    <w:p w14:paraId="0CD666E3">
      <w:pPr>
        <w:snapToGrid w:val="0"/>
        <w:spacing w:before="50" w:after="50" w:line="360" w:lineRule="auto"/>
        <w:ind w:firstLine="482"/>
        <w:rPr>
          <w:rFonts w:ascii="宋体" w:hAnsi="宋体"/>
          <w:color w:val="auto"/>
          <w:sz w:val="24"/>
          <w:highlight w:val="none"/>
          <w:shd w:val="clear" w:color="auto" w:fill="FFFFFF" w:themeFill="background1"/>
        </w:rPr>
      </w:pPr>
    </w:p>
    <w:p w14:paraId="1FFDD87C">
      <w:pPr>
        <w:snapToGrid w:val="0"/>
        <w:spacing w:before="50" w:after="50" w:line="360" w:lineRule="auto"/>
        <w:ind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注:</w:t>
      </w:r>
    </w:p>
    <w:p w14:paraId="5A5F323D">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1.投标人应根据本招标项目工程特点和工作内容，分别填写本表各项目；</w:t>
      </w:r>
    </w:p>
    <w:p w14:paraId="2A1DAF97">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2.投标人应将详细的计算依据、计算过程及优惠附在报价清单后；</w:t>
      </w:r>
    </w:p>
    <w:p w14:paraId="0FC3D933">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3.含有关评审会议的劳务费、会务费、专家咨询费和专家交通费用等等各种费用。</w:t>
      </w:r>
    </w:p>
    <w:p w14:paraId="4BFF9FED">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4.投标人的开标一览表必须加盖投标人电子签章并由法定代表人或者委托代理人签字或者电子签名，</w:t>
      </w:r>
      <w:r>
        <w:rPr>
          <w:rFonts w:hint="eastAsia" w:ascii="宋体" w:hAnsi="宋体"/>
          <w:b/>
          <w:color w:val="auto"/>
          <w:sz w:val="24"/>
          <w:highlight w:val="none"/>
          <w:shd w:val="clear" w:color="auto" w:fill="FFFFFF" w:themeFill="background1"/>
        </w:rPr>
        <w:t>否则其投标作无效标处理</w:t>
      </w:r>
      <w:r>
        <w:rPr>
          <w:rFonts w:hint="eastAsia" w:ascii="宋体" w:hAnsi="宋体"/>
          <w:color w:val="auto"/>
          <w:sz w:val="24"/>
          <w:highlight w:val="none"/>
          <w:shd w:val="clear" w:color="auto" w:fill="FFFFFF" w:themeFill="background1"/>
        </w:rPr>
        <w:t>。</w:t>
      </w:r>
    </w:p>
    <w:p w14:paraId="084AE1CE">
      <w:pPr>
        <w:snapToGrid w:val="0"/>
        <w:spacing w:line="360" w:lineRule="auto"/>
        <w:ind w:firstLine="480" w:firstLineChars="200"/>
        <w:jc w:val="left"/>
        <w:rPr>
          <w:rFonts w:ascii="宋体" w:hAnsi="宋体"/>
          <w:b/>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5.</w:t>
      </w:r>
      <w:r>
        <w:rPr>
          <w:rFonts w:hint="eastAsia" w:ascii="宋体" w:hAnsi="宋体"/>
          <w:color w:val="auto"/>
          <w:sz w:val="24"/>
          <w:highlight w:val="none"/>
          <w:shd w:val="clear" w:color="auto" w:fill="FFFFFF" w:themeFill="background1"/>
        </w:rPr>
        <w:t>报价一经涂改，应在涂改处加盖投标人公章</w:t>
      </w:r>
      <w:r>
        <w:rPr>
          <w:rFonts w:hint="eastAsia" w:ascii="宋体" w:hAnsi="宋体" w:cs="仿宋_GB2312"/>
          <w:color w:val="auto"/>
          <w:sz w:val="24"/>
          <w:highlight w:val="none"/>
          <w:shd w:val="clear" w:color="auto" w:fill="FFFFFF" w:themeFill="background1"/>
        </w:rPr>
        <w:t>或者加盖电子签章</w:t>
      </w:r>
      <w:r>
        <w:rPr>
          <w:rFonts w:hint="eastAsia" w:ascii="宋体" w:hAnsi="宋体"/>
          <w:color w:val="auto"/>
          <w:sz w:val="24"/>
          <w:highlight w:val="none"/>
          <w:shd w:val="clear" w:color="auto" w:fill="FFFFFF" w:themeFill="background1"/>
        </w:rPr>
        <w:t>或者由法定代表人或者委托代理人签字（或者电子签名）</w:t>
      </w:r>
      <w:r>
        <w:rPr>
          <w:rFonts w:hint="eastAsia" w:ascii="宋体" w:hAnsi="宋体"/>
          <w:b/>
          <w:color w:val="auto"/>
          <w:sz w:val="24"/>
          <w:highlight w:val="none"/>
          <w:shd w:val="clear" w:color="auto" w:fill="FFFFFF" w:themeFill="background1"/>
        </w:rPr>
        <w:t>，否则其投标作无效标处理。</w:t>
      </w:r>
    </w:p>
    <w:p w14:paraId="47C7E590">
      <w:pPr>
        <w:snapToGrid w:val="0"/>
        <w:spacing w:line="360" w:lineRule="auto"/>
        <w:ind w:firstLine="480" w:firstLineChars="200"/>
        <w:rPr>
          <w:rFonts w:ascii="宋体" w:hAnsi="宋体"/>
          <w:b/>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6.如有多分标，按分标分别提供开标一览表，</w:t>
      </w:r>
      <w:r>
        <w:rPr>
          <w:rFonts w:hint="eastAsia" w:ascii="宋体" w:hAnsi="宋体"/>
          <w:b/>
          <w:color w:val="auto"/>
          <w:sz w:val="24"/>
          <w:highlight w:val="none"/>
          <w:shd w:val="clear" w:color="auto" w:fill="FFFFFF" w:themeFill="background1"/>
        </w:rPr>
        <w:t>否则投标无效。</w:t>
      </w:r>
    </w:p>
    <w:p w14:paraId="4F04B4F9">
      <w:pPr>
        <w:snapToGrid w:val="0"/>
        <w:spacing w:line="360" w:lineRule="auto"/>
        <w:ind w:left="-2" w:leftChars="-1" w:right="-817" w:rightChars="-389"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法定代表人或者委托代理人（签字或者电子签名）： </w:t>
      </w:r>
    </w:p>
    <w:p w14:paraId="6B004DBD">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投标人名称（电子签章）：</w:t>
      </w:r>
    </w:p>
    <w:p w14:paraId="1FB5E2FA">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日期：    年   月   日</w:t>
      </w:r>
    </w:p>
    <w:p w14:paraId="29D4FE06">
      <w:pPr>
        <w:ind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br w:type="page"/>
      </w:r>
    </w:p>
    <w:p w14:paraId="56C95B5F">
      <w:pPr>
        <w:snapToGrid w:val="0"/>
        <w:spacing w:beforeLines="50" w:after="50"/>
        <w:ind w:firstLine="422"/>
        <w:jc w:val="left"/>
        <w:rPr>
          <w:rFonts w:hint="default" w:ascii="宋体" w:hAnsi="宋体" w:eastAsia="宋体"/>
          <w:b/>
          <w:color w:val="auto"/>
          <w:sz w:val="24"/>
          <w:highlight w:val="none"/>
          <w:shd w:val="clear" w:color="auto" w:fill="FFFFFF" w:themeFill="background1"/>
          <w:lang w:val="en-US" w:eastAsia="zh-CN"/>
        </w:rPr>
      </w:pPr>
      <w:bookmarkStart w:id="346" w:name="_Toc18319"/>
      <w:bookmarkStart w:id="347" w:name="_Toc16547"/>
      <w:r>
        <w:rPr>
          <w:rFonts w:hint="eastAsia" w:ascii="宋体" w:hAnsi="宋体" w:eastAsia="宋体"/>
          <w:b/>
          <w:color w:val="auto"/>
          <w:sz w:val="24"/>
          <w:highlight w:val="none"/>
          <w:shd w:val="clear" w:color="auto" w:fill="FFFFFF" w:themeFill="background1"/>
          <w:lang w:val="en-US" w:eastAsia="zh-CN"/>
        </w:rPr>
        <w:t>5.</w:t>
      </w:r>
      <w:r>
        <w:rPr>
          <w:rFonts w:hint="eastAsia" w:ascii="宋体" w:hAnsi="宋体" w:eastAsia="宋体"/>
          <w:b/>
          <w:color w:val="auto"/>
          <w:sz w:val="24"/>
          <w:highlight w:val="none"/>
          <w:shd w:val="clear" w:color="auto" w:fill="FFFFFF" w:themeFill="background1"/>
        </w:rPr>
        <w:t>分项报价表</w:t>
      </w:r>
    </w:p>
    <w:p w14:paraId="5A389D46">
      <w:pPr>
        <w:pStyle w:val="374"/>
        <w:snapToGrid w:val="0"/>
        <w:spacing w:beforeLines="50" w:afterLines="50" w:line="360" w:lineRule="auto"/>
        <w:ind w:firstLine="241" w:firstLineChars="100"/>
        <w:outlineLvl w:val="2"/>
        <w:rPr>
          <w:rFonts w:hint="eastAsia" w:ascii="宋体" w:hAnsi="宋体" w:cs="宋体"/>
          <w:b/>
          <w:color w:val="auto"/>
          <w:sz w:val="24"/>
          <w:highlight w:val="none"/>
          <w:shd w:val="clear" w:color="auto" w:fill="FFFFFF" w:themeFill="background1"/>
        </w:rPr>
      </w:pPr>
    </w:p>
    <w:p w14:paraId="5FA8A814">
      <w:pPr>
        <w:pStyle w:val="374"/>
        <w:snapToGrid w:val="0"/>
        <w:spacing w:beforeLines="50" w:afterLines="50" w:line="360" w:lineRule="auto"/>
        <w:ind w:firstLine="241" w:firstLineChars="100"/>
        <w:outlineLvl w:val="2"/>
        <w:rPr>
          <w:rFonts w:ascii="宋体" w:hAnsi="宋体" w:cs="宋体"/>
          <w:b/>
          <w:color w:val="auto"/>
          <w:sz w:val="24"/>
          <w:highlight w:val="none"/>
          <w:shd w:val="clear" w:color="auto" w:fill="FFFFFF" w:themeFill="background1"/>
        </w:rPr>
      </w:pPr>
      <w:r>
        <w:rPr>
          <w:rFonts w:hint="eastAsia" w:ascii="宋体" w:hAnsi="宋体" w:cs="宋体"/>
          <w:b/>
          <w:color w:val="auto"/>
          <w:sz w:val="24"/>
          <w:highlight w:val="none"/>
          <w:shd w:val="clear" w:color="auto" w:fill="FFFFFF" w:themeFill="background1"/>
          <w:lang w:eastAsia="zh-CN"/>
        </w:rPr>
        <w:t>（一）</w:t>
      </w:r>
      <w:r>
        <w:rPr>
          <w:rFonts w:hint="eastAsia" w:ascii="宋体" w:hAnsi="宋体" w:cs="宋体"/>
          <w:b/>
          <w:color w:val="auto"/>
          <w:sz w:val="24"/>
          <w:highlight w:val="none"/>
          <w:shd w:val="clear" w:color="auto" w:fill="FFFFFF" w:themeFill="background1"/>
        </w:rPr>
        <w:t>投标报价说明</w:t>
      </w:r>
      <w:bookmarkEnd w:id="346"/>
      <w:bookmarkEnd w:id="347"/>
    </w:p>
    <w:p w14:paraId="3E2FC141">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1.1“报价清单”应与投标人须知、合同条款和技术要求一起使用。</w:t>
      </w:r>
    </w:p>
    <w:p w14:paraId="25F5A986">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1.2“报价清单”为通用表格，投标人应根据本招标项目工作内容，按照表格格式详细填写，以免遗漏或有误。投标人没有报价的项目，发包人将认为有关费用已包含在其他项目之中，不另行支付。凡清单项目中未包括但在本项目中又必须完成的工作内容，均被认为已包含在清单各项目报价中，发包人不另行支付。</w:t>
      </w:r>
    </w:p>
    <w:p w14:paraId="082BD131">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1.3投标人应在“报价清单”后附计算说明，包括计算方法、取费依据等，以便招标人对投标人报价的合理性作出判断。</w:t>
      </w:r>
    </w:p>
    <w:p w14:paraId="3CC9493F">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1.4投标报价为投标人完成本招标项目所有工作内容的全部费用。主要包括：</w:t>
      </w:r>
    </w:p>
    <w:p w14:paraId="64EB2A95">
      <w:pPr>
        <w:pStyle w:val="375"/>
        <w:snapToGrid w:val="0"/>
        <w:spacing w:line="360" w:lineRule="exact"/>
        <w:ind w:firstLine="480" w:firstLineChars="20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所有为完成招标内容所需的全部人工、材料、交通、设备、仪器、质检（自检）、运杂、安装、临时设施、安全生产及通航保障措施、安全警戒、航行公告、缺陷修复、管理、保险、知识产权费、利润、税金等及与此有关的一切费用；</w:t>
      </w:r>
    </w:p>
    <w:p w14:paraId="590B3C98">
      <w:pPr>
        <w:pStyle w:val="375"/>
        <w:snapToGrid w:val="0"/>
        <w:spacing w:line="360" w:lineRule="exact"/>
        <w:ind w:firstLine="480" w:firstLineChars="20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（2）收集资料的费用。除发包人按招标文件约定向承包人提供的资料外，为完成本招标项目所有其他应收集的资料均由承包人自行收集，应支付的费用由承包人自主支付；</w:t>
      </w:r>
    </w:p>
    <w:p w14:paraId="49F78CC1">
      <w:pPr>
        <w:pStyle w:val="375"/>
        <w:snapToGrid w:val="0"/>
        <w:spacing w:line="360" w:lineRule="exact"/>
        <w:ind w:firstLine="480" w:firstLineChars="20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（3）为完成本项目工作需要办理有关许可的费用和补偿费用。</w:t>
      </w:r>
    </w:p>
    <w:p w14:paraId="57E3F077">
      <w:pPr>
        <w:pStyle w:val="375"/>
        <w:snapToGrid w:val="0"/>
        <w:spacing w:line="360" w:lineRule="exact"/>
        <w:ind w:firstLine="480" w:firstLineChars="20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（4）与工作过程及成果验收有关的评审会议劳务费、会务费、专家咨询费和专家交通费用等会议相关费用。</w:t>
      </w:r>
    </w:p>
    <w:p w14:paraId="27375B54">
      <w:pPr>
        <w:pStyle w:val="375"/>
        <w:snapToGrid w:val="0"/>
        <w:spacing w:line="360" w:lineRule="exact"/>
        <w:ind w:firstLine="480" w:firstLineChars="20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（5）出版和提供成果资料的费用。</w:t>
      </w:r>
    </w:p>
    <w:p w14:paraId="03D8F43D">
      <w:pPr>
        <w:pStyle w:val="375"/>
        <w:snapToGrid w:val="0"/>
        <w:spacing w:line="360" w:lineRule="exact"/>
        <w:ind w:firstLine="480" w:firstLineChars="20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（6）为完成本招标文件规定的义务，投标人认为有必要计入的其他费用。</w:t>
      </w:r>
    </w:p>
    <w:p w14:paraId="192369C1">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1.5投标人的费用应以国家现行标准、有关规定、收费标准为依据，根据本招标文件规定的工作内容、有关规定及投标人自身的能力，自行测算本项目费用。</w:t>
      </w:r>
    </w:p>
    <w:p w14:paraId="657C0AC8">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1.6投标人“报价清单”中报价应以人民币为单位。</w:t>
      </w:r>
    </w:p>
    <w:p w14:paraId="57667C23">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1.7投标人“报价清单”中的任何算术错误，发包人将按投标人须知规定的原则予以修正。</w:t>
      </w:r>
    </w:p>
    <w:p w14:paraId="42BEEF37">
      <w:pPr>
        <w:pStyle w:val="375"/>
        <w:snapToGrid w:val="0"/>
        <w:spacing w:line="360" w:lineRule="exact"/>
        <w:ind w:left="420" w:leftChars="200" w:firstLine="0"/>
        <w:rPr>
          <w:rFonts w:ascii="宋体" w:hAnsi="宋体" w:eastAsia="宋体" w:cs="宋体"/>
          <w:b w:val="0"/>
          <w:bCs/>
          <w:color w:val="auto"/>
          <w:sz w:val="24"/>
          <w:highlight w:val="none"/>
          <w:shd w:val="clear" w:color="auto" w:fill="FFFFFF" w:themeFill="background1"/>
        </w:rPr>
      </w:pPr>
      <w:r>
        <w:rPr>
          <w:rFonts w:hint="eastAsia" w:ascii="宋体" w:hAnsi="宋体" w:eastAsia="宋体" w:cs="宋体"/>
          <w:b w:val="0"/>
          <w:bCs/>
          <w:color w:val="auto"/>
          <w:sz w:val="24"/>
          <w:highlight w:val="none"/>
          <w:shd w:val="clear" w:color="auto" w:fill="FFFFFF" w:themeFill="background1"/>
        </w:rPr>
        <w:t>1.8在合同实施期间，本项目费用不随国家政策调整或法规、标准及市场因素的变化而进行调整。但如果工作量发生变化时，费用应进行相应调整，费用的调整按合同规定执行。</w:t>
      </w:r>
      <w:bookmarkStart w:id="348" w:name="_Toc20517"/>
    </w:p>
    <w:p w14:paraId="3AF1C149">
      <w:pPr>
        <w:pStyle w:val="375"/>
        <w:snapToGrid w:val="0"/>
        <w:spacing w:line="300" w:lineRule="auto"/>
        <w:ind w:left="420" w:leftChars="200" w:firstLine="0"/>
        <w:rPr>
          <w:rFonts w:ascii="宋体" w:hAnsi="宋体"/>
          <w:bCs/>
          <w:color w:val="auto"/>
          <w:sz w:val="24"/>
          <w:highlight w:val="none"/>
          <w:shd w:val="clear" w:color="auto" w:fill="FFFFFF" w:themeFill="background1"/>
        </w:rPr>
      </w:pPr>
    </w:p>
    <w:p w14:paraId="21020E02">
      <w:pPr>
        <w:snapToGrid w:val="0"/>
        <w:spacing w:beforeLines="50" w:afterLines="50" w:line="360" w:lineRule="auto"/>
        <w:ind w:left="420" w:leftChars="200" w:firstLine="482"/>
        <w:jc w:val="center"/>
        <w:outlineLvl w:val="2"/>
        <w:rPr>
          <w:rFonts w:ascii="宋体" w:hAnsi="宋体"/>
          <w:b/>
          <w:color w:val="auto"/>
          <w:sz w:val="24"/>
          <w:highlight w:val="none"/>
          <w:shd w:val="clear" w:color="auto" w:fill="FFFFFF" w:themeFill="background1"/>
        </w:rPr>
      </w:pPr>
      <w:r>
        <w:rPr>
          <w:rFonts w:hint="eastAsia" w:ascii="宋体" w:hAnsi="宋体" w:cs="宋体"/>
          <w:b/>
          <w:color w:val="auto"/>
          <w:sz w:val="24"/>
          <w:highlight w:val="none"/>
          <w:shd w:val="clear" w:color="auto" w:fill="FFFFFF" w:themeFill="background1"/>
        </w:rPr>
        <w:br w:type="page"/>
      </w:r>
      <w:bookmarkEnd w:id="348"/>
      <w:bookmarkStart w:id="349" w:name="_Toc22142"/>
      <w:r>
        <w:rPr>
          <w:rFonts w:hint="eastAsia" w:ascii="宋体" w:hAnsi="宋体" w:cs="宋体"/>
          <w:b/>
          <w:color w:val="auto"/>
          <w:sz w:val="24"/>
          <w:highlight w:val="none"/>
          <w:shd w:val="clear" w:color="auto" w:fill="FFFFFF" w:themeFill="background1"/>
          <w:lang w:eastAsia="zh-CN"/>
        </w:rPr>
        <w:t>（二）</w:t>
      </w:r>
      <w:r>
        <w:rPr>
          <w:rFonts w:hint="eastAsia" w:ascii="宋体" w:hAnsi="宋体"/>
          <w:b/>
          <w:color w:val="auto"/>
          <w:sz w:val="24"/>
          <w:highlight w:val="none"/>
          <w:shd w:val="clear" w:color="auto" w:fill="FFFFFF" w:themeFill="background1"/>
        </w:rPr>
        <w:t>报价清单汇总表</w:t>
      </w:r>
      <w:bookmarkEnd w:id="349"/>
    </w:p>
    <w:p w14:paraId="28A84FD9">
      <w:pPr>
        <w:pStyle w:val="374"/>
        <w:snapToGrid w:val="0"/>
        <w:spacing w:beforeLines="50" w:afterLines="50" w:line="360" w:lineRule="auto"/>
        <w:ind w:firstLine="241" w:firstLineChars="100"/>
        <w:jc w:val="center"/>
        <w:outlineLvl w:val="2"/>
        <w:rPr>
          <w:rFonts w:ascii="宋体" w:hAnsi="宋体" w:cs="宋体"/>
          <w:b/>
          <w:color w:val="auto"/>
          <w:sz w:val="24"/>
          <w:highlight w:val="none"/>
          <w:shd w:val="clear" w:color="auto" w:fill="FFFFFF" w:themeFill="background1"/>
        </w:rPr>
      </w:pPr>
    </w:p>
    <w:p w14:paraId="6950FA55">
      <w:pPr>
        <w:autoSpaceDE w:val="0"/>
        <w:autoSpaceDN w:val="0"/>
        <w:snapToGrid w:val="0"/>
        <w:spacing w:line="360" w:lineRule="auto"/>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项目名称：</w:t>
      </w:r>
      <w:r>
        <w:rPr>
          <w:rFonts w:hint="eastAsia" w:ascii="宋体" w:hAnsi="宋体"/>
          <w:color w:val="auto"/>
          <w:szCs w:val="21"/>
          <w:highlight w:val="none"/>
          <w:shd w:val="clear" w:color="auto" w:fill="FFFFFF" w:themeFill="background1"/>
          <w:lang w:eastAsia="zh-CN"/>
        </w:rPr>
        <w:t>钦州港1号至12号外锚地建设工程（外1#、外2#锚地及锚地通道）勘察测量及方案设计</w:t>
      </w:r>
      <w:r>
        <w:rPr>
          <w:rFonts w:hint="eastAsia" w:ascii="宋体" w:hAnsi="宋体"/>
          <w:color w:val="auto"/>
          <w:szCs w:val="21"/>
          <w:highlight w:val="none"/>
          <w:shd w:val="clear" w:color="auto" w:fill="FFFFFF" w:themeFill="background1"/>
        </w:rPr>
        <w:t xml:space="preserve"> </w:t>
      </w:r>
      <w:r>
        <w:rPr>
          <w:rFonts w:hint="eastAsia" w:ascii="宋体" w:hAnsi="宋体"/>
          <w:color w:val="auto"/>
          <w:szCs w:val="21"/>
          <w:highlight w:val="none"/>
          <w:shd w:val="clear" w:color="auto" w:fill="FFFFFF" w:themeFill="background1"/>
          <w:lang w:val="en-US" w:eastAsia="zh-CN"/>
        </w:rPr>
        <w:t xml:space="preserve">                                                      </w:t>
      </w:r>
      <w:r>
        <w:rPr>
          <w:rFonts w:hint="eastAsia" w:ascii="宋体" w:hAnsi="宋体"/>
          <w:color w:val="auto"/>
          <w:szCs w:val="21"/>
          <w:highlight w:val="none"/>
          <w:shd w:val="clear" w:color="auto" w:fill="FFFFFF" w:themeFill="background1"/>
        </w:rPr>
        <w:t>单位：元</w:t>
      </w:r>
    </w:p>
    <w:tbl>
      <w:tblPr>
        <w:tblStyle w:val="62"/>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627"/>
        <w:gridCol w:w="902"/>
        <w:gridCol w:w="781"/>
        <w:gridCol w:w="1681"/>
        <w:gridCol w:w="1440"/>
      </w:tblGrid>
      <w:tr w14:paraId="27F0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634" w:type="pct"/>
            <w:tcBorders>
              <w:top w:val="single" w:color="auto" w:sz="12" w:space="0"/>
              <w:left w:val="single" w:color="auto" w:sz="12" w:space="0"/>
              <w:bottom w:val="single" w:color="auto" w:sz="4" w:space="0"/>
              <w:right w:val="single" w:color="auto" w:sz="4" w:space="0"/>
            </w:tcBorders>
            <w:vAlign w:val="center"/>
          </w:tcPr>
          <w:p w14:paraId="07EDE5AF">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序号</w:t>
            </w:r>
          </w:p>
        </w:tc>
        <w:tc>
          <w:tcPr>
            <w:tcW w:w="1877" w:type="pct"/>
            <w:tcBorders>
              <w:top w:val="single" w:color="auto" w:sz="12" w:space="0"/>
              <w:left w:val="single" w:color="auto" w:sz="4" w:space="0"/>
              <w:bottom w:val="single" w:color="auto" w:sz="4" w:space="0"/>
              <w:right w:val="single" w:color="auto" w:sz="4" w:space="0"/>
            </w:tcBorders>
            <w:vAlign w:val="center"/>
          </w:tcPr>
          <w:p w14:paraId="40FDE405">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标的名称</w:t>
            </w:r>
          </w:p>
        </w:tc>
        <w:tc>
          <w:tcPr>
            <w:tcW w:w="467" w:type="pct"/>
            <w:tcBorders>
              <w:top w:val="single" w:color="auto" w:sz="12" w:space="0"/>
              <w:left w:val="single" w:color="auto" w:sz="4" w:space="0"/>
              <w:bottom w:val="single" w:color="auto" w:sz="4" w:space="0"/>
              <w:right w:val="single" w:color="auto" w:sz="4" w:space="0"/>
            </w:tcBorders>
            <w:vAlign w:val="center"/>
          </w:tcPr>
          <w:p w14:paraId="68E959A0">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单位</w:t>
            </w:r>
          </w:p>
        </w:tc>
        <w:tc>
          <w:tcPr>
            <w:tcW w:w="404" w:type="pct"/>
            <w:tcBorders>
              <w:top w:val="single" w:color="auto" w:sz="12" w:space="0"/>
              <w:left w:val="single" w:color="auto" w:sz="4" w:space="0"/>
              <w:bottom w:val="single" w:color="auto" w:sz="4" w:space="0"/>
              <w:right w:val="single" w:color="auto" w:sz="4" w:space="0"/>
            </w:tcBorders>
            <w:vAlign w:val="center"/>
          </w:tcPr>
          <w:p w14:paraId="6D0EA3D0">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数量</w:t>
            </w:r>
          </w:p>
        </w:tc>
        <w:tc>
          <w:tcPr>
            <w:tcW w:w="870" w:type="pct"/>
            <w:tcBorders>
              <w:top w:val="single" w:color="auto" w:sz="12" w:space="0"/>
              <w:left w:val="single" w:color="auto" w:sz="4" w:space="0"/>
              <w:bottom w:val="single" w:color="auto" w:sz="4" w:space="0"/>
              <w:right w:val="single" w:color="auto" w:sz="4" w:space="0"/>
            </w:tcBorders>
            <w:vAlign w:val="center"/>
          </w:tcPr>
          <w:p w14:paraId="56210123">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投标报价</w:t>
            </w:r>
          </w:p>
          <w:p w14:paraId="3D007A2F">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（元）</w:t>
            </w:r>
          </w:p>
        </w:tc>
        <w:tc>
          <w:tcPr>
            <w:tcW w:w="745" w:type="pct"/>
            <w:tcBorders>
              <w:top w:val="single" w:color="auto" w:sz="12" w:space="0"/>
              <w:left w:val="single" w:color="auto" w:sz="4" w:space="0"/>
              <w:bottom w:val="single" w:color="auto" w:sz="4" w:space="0"/>
              <w:right w:val="single" w:color="auto" w:sz="12" w:space="0"/>
            </w:tcBorders>
            <w:vAlign w:val="center"/>
          </w:tcPr>
          <w:p w14:paraId="5DF46C17">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备注</w:t>
            </w:r>
          </w:p>
        </w:tc>
      </w:tr>
      <w:tr w14:paraId="7B81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634" w:type="pct"/>
            <w:tcBorders>
              <w:top w:val="single" w:color="auto" w:sz="4" w:space="0"/>
              <w:left w:val="single" w:color="auto" w:sz="12" w:space="0"/>
              <w:right w:val="single" w:color="auto" w:sz="4" w:space="0"/>
            </w:tcBorders>
            <w:vAlign w:val="center"/>
          </w:tcPr>
          <w:p w14:paraId="3DB1B3BB">
            <w:pPr>
              <w:snapToGrid w:val="0"/>
              <w:jc w:val="center"/>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1</w:t>
            </w:r>
          </w:p>
        </w:tc>
        <w:tc>
          <w:tcPr>
            <w:tcW w:w="1877" w:type="pct"/>
            <w:tcBorders>
              <w:top w:val="single" w:color="auto" w:sz="4" w:space="0"/>
              <w:left w:val="single" w:color="auto" w:sz="4" w:space="0"/>
              <w:right w:val="single" w:color="auto" w:sz="4" w:space="0"/>
            </w:tcBorders>
            <w:vAlign w:val="center"/>
          </w:tcPr>
          <w:p w14:paraId="29EDE24B">
            <w:pPr>
              <w:snapToGrid w:val="0"/>
              <w:jc w:val="center"/>
              <w:rPr>
                <w:rFonts w:ascii="宋体" w:hAnsi="宋体" w:eastAsia="宋体"/>
                <w:b/>
                <w:color w:val="auto"/>
                <w:szCs w:val="21"/>
                <w:highlight w:val="none"/>
                <w:shd w:val="clear" w:color="auto" w:fill="FFFFFF" w:themeFill="background1"/>
              </w:rPr>
            </w:pPr>
            <w:r>
              <w:rPr>
                <w:rFonts w:hint="eastAsia" w:ascii="宋体" w:hAnsi="宋体" w:eastAsia="宋体"/>
                <w:b/>
                <w:color w:val="auto"/>
                <w:szCs w:val="21"/>
                <w:highlight w:val="none"/>
                <w:shd w:val="clear" w:color="auto" w:fill="FFFFFF" w:themeFill="background1"/>
                <w:lang w:eastAsia="zh-CN"/>
              </w:rPr>
              <w:t>外1#、外2#锚地及锚地通道勘察测量</w:t>
            </w:r>
          </w:p>
        </w:tc>
        <w:tc>
          <w:tcPr>
            <w:tcW w:w="467" w:type="pct"/>
            <w:tcBorders>
              <w:top w:val="single" w:color="auto" w:sz="4" w:space="0"/>
              <w:left w:val="single" w:color="auto" w:sz="4" w:space="0"/>
              <w:right w:val="single" w:color="auto" w:sz="4" w:space="0"/>
            </w:tcBorders>
            <w:vAlign w:val="center"/>
          </w:tcPr>
          <w:p w14:paraId="1283AD55">
            <w:pPr>
              <w:snapToGrid w:val="0"/>
              <w:ind w:firstLine="211" w:firstLineChars="100"/>
              <w:jc w:val="both"/>
              <w:rPr>
                <w:rFonts w:hint="eastAsia" w:ascii="宋体" w:hAnsi="宋体" w:eastAsia="宋体"/>
                <w:b/>
                <w:color w:val="auto"/>
                <w:szCs w:val="21"/>
                <w:highlight w:val="none"/>
                <w:shd w:val="clear" w:color="auto" w:fill="FFFFFF" w:themeFill="background1"/>
                <w:lang w:eastAsia="zh-CN"/>
              </w:rPr>
            </w:pPr>
            <w:r>
              <w:rPr>
                <w:rFonts w:hint="eastAsia" w:ascii="宋体" w:hAnsi="宋体"/>
                <w:b/>
                <w:color w:val="auto"/>
                <w:szCs w:val="21"/>
                <w:highlight w:val="none"/>
                <w:shd w:val="clear" w:color="auto" w:fill="FFFFFF" w:themeFill="background1"/>
                <w:lang w:eastAsia="zh-CN"/>
              </w:rPr>
              <w:t>项</w:t>
            </w:r>
          </w:p>
        </w:tc>
        <w:tc>
          <w:tcPr>
            <w:tcW w:w="404" w:type="pct"/>
            <w:tcBorders>
              <w:top w:val="single" w:color="auto" w:sz="4" w:space="0"/>
              <w:left w:val="single" w:color="auto" w:sz="4" w:space="0"/>
              <w:right w:val="single" w:color="auto" w:sz="4" w:space="0"/>
            </w:tcBorders>
            <w:vAlign w:val="center"/>
          </w:tcPr>
          <w:p w14:paraId="0BF7C6F5">
            <w:pPr>
              <w:snapToGrid w:val="0"/>
              <w:ind w:firstLine="420"/>
              <w:jc w:val="center"/>
              <w:rPr>
                <w:rFonts w:hint="eastAsia" w:ascii="宋体" w:hAnsi="宋体" w:eastAsia="宋体"/>
                <w:b/>
                <w:color w:val="auto"/>
                <w:szCs w:val="21"/>
                <w:highlight w:val="none"/>
                <w:shd w:val="clear" w:color="auto" w:fill="FFFFFF" w:themeFill="background1"/>
                <w:lang w:val="en-US" w:eastAsia="zh-CN"/>
              </w:rPr>
            </w:pPr>
            <w:r>
              <w:rPr>
                <w:rFonts w:hint="eastAsia" w:ascii="宋体" w:hAnsi="宋体"/>
                <w:b/>
                <w:color w:val="auto"/>
                <w:szCs w:val="21"/>
                <w:highlight w:val="none"/>
                <w:shd w:val="clear" w:color="auto" w:fill="FFFFFF" w:themeFill="background1"/>
                <w:lang w:val="en-US" w:eastAsia="zh-CN"/>
              </w:rPr>
              <w:t>1</w:t>
            </w:r>
          </w:p>
        </w:tc>
        <w:tc>
          <w:tcPr>
            <w:tcW w:w="870" w:type="pct"/>
            <w:tcBorders>
              <w:top w:val="single" w:color="auto" w:sz="4" w:space="0"/>
              <w:left w:val="single" w:color="auto" w:sz="4" w:space="0"/>
              <w:right w:val="single" w:color="auto" w:sz="4" w:space="0"/>
            </w:tcBorders>
            <w:vAlign w:val="center"/>
          </w:tcPr>
          <w:p w14:paraId="23672841">
            <w:pPr>
              <w:snapToGrid w:val="0"/>
              <w:ind w:firstLine="422"/>
              <w:rPr>
                <w:rFonts w:ascii="宋体" w:hAnsi="宋体"/>
                <w:color w:val="auto"/>
                <w:szCs w:val="21"/>
                <w:highlight w:val="none"/>
                <w:shd w:val="clear" w:color="auto" w:fill="FFFFFF" w:themeFill="background1"/>
              </w:rPr>
            </w:pPr>
          </w:p>
        </w:tc>
        <w:tc>
          <w:tcPr>
            <w:tcW w:w="745" w:type="pct"/>
            <w:tcBorders>
              <w:top w:val="single" w:color="auto" w:sz="4" w:space="0"/>
              <w:left w:val="single" w:color="auto" w:sz="4" w:space="0"/>
              <w:right w:val="single" w:color="auto" w:sz="12" w:space="0"/>
            </w:tcBorders>
            <w:vAlign w:val="center"/>
          </w:tcPr>
          <w:p w14:paraId="6EE156A4">
            <w:pPr>
              <w:snapToGrid w:val="0"/>
              <w:ind w:firstLine="422"/>
              <w:rPr>
                <w:rFonts w:ascii="宋体" w:hAnsi="宋体"/>
                <w:color w:val="auto"/>
                <w:szCs w:val="21"/>
                <w:highlight w:val="none"/>
                <w:shd w:val="clear" w:color="auto" w:fill="FFFFFF" w:themeFill="background1"/>
              </w:rPr>
            </w:pPr>
          </w:p>
        </w:tc>
      </w:tr>
      <w:tr w14:paraId="0CD2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634" w:type="pct"/>
            <w:tcBorders>
              <w:top w:val="single" w:color="auto" w:sz="4" w:space="0"/>
              <w:left w:val="single" w:color="auto" w:sz="12" w:space="0"/>
              <w:right w:val="single" w:color="auto" w:sz="4" w:space="0"/>
            </w:tcBorders>
            <w:vAlign w:val="center"/>
          </w:tcPr>
          <w:p w14:paraId="62404AFB">
            <w:pPr>
              <w:snapToGrid w:val="0"/>
              <w:jc w:val="center"/>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rPr>
              <w:t>2</w:t>
            </w:r>
          </w:p>
        </w:tc>
        <w:tc>
          <w:tcPr>
            <w:tcW w:w="1877" w:type="pct"/>
            <w:tcBorders>
              <w:top w:val="single" w:color="auto" w:sz="4" w:space="0"/>
              <w:left w:val="single" w:color="auto" w:sz="4" w:space="0"/>
              <w:right w:val="single" w:color="auto" w:sz="4" w:space="0"/>
            </w:tcBorders>
            <w:vAlign w:val="center"/>
          </w:tcPr>
          <w:p w14:paraId="4494E592">
            <w:pPr>
              <w:snapToGrid w:val="0"/>
              <w:jc w:val="center"/>
              <w:rPr>
                <w:rFonts w:ascii="宋体" w:hAnsi="宋体" w:eastAsia="宋体"/>
                <w:b/>
                <w:color w:val="auto"/>
                <w:szCs w:val="21"/>
                <w:highlight w:val="none"/>
                <w:shd w:val="clear" w:color="auto" w:fill="FFFFFF" w:themeFill="background1"/>
              </w:rPr>
            </w:pPr>
            <w:r>
              <w:rPr>
                <w:rFonts w:hint="eastAsia" w:ascii="宋体" w:hAnsi="宋体" w:eastAsia="宋体"/>
                <w:b/>
                <w:color w:val="auto"/>
                <w:szCs w:val="21"/>
                <w:highlight w:val="none"/>
                <w:shd w:val="clear" w:color="auto" w:fill="FFFFFF" w:themeFill="background1"/>
                <w:lang w:eastAsia="zh-CN"/>
              </w:rPr>
              <w:t>有关</w:t>
            </w:r>
            <w:r>
              <w:rPr>
                <w:rFonts w:hint="eastAsia" w:ascii="宋体" w:hAnsi="宋体" w:eastAsia="宋体"/>
                <w:b/>
                <w:color w:val="auto"/>
                <w:szCs w:val="21"/>
                <w:highlight w:val="none"/>
                <w:shd w:val="clear" w:color="auto" w:fill="FFFFFF" w:themeFill="background1"/>
              </w:rPr>
              <w:t>方案设计及</w:t>
            </w:r>
            <w:r>
              <w:rPr>
                <w:rFonts w:hint="eastAsia" w:ascii="宋体" w:hAnsi="宋体" w:eastAsia="宋体"/>
                <w:b/>
                <w:color w:val="auto"/>
                <w:szCs w:val="21"/>
                <w:highlight w:val="none"/>
                <w:shd w:val="clear" w:color="auto" w:fill="FFFFFF" w:themeFill="background1"/>
                <w:lang w:eastAsia="zh-CN"/>
              </w:rPr>
              <w:t>专题报告编制</w:t>
            </w:r>
          </w:p>
        </w:tc>
        <w:tc>
          <w:tcPr>
            <w:tcW w:w="467" w:type="pct"/>
            <w:tcBorders>
              <w:top w:val="single" w:color="auto" w:sz="4" w:space="0"/>
              <w:left w:val="single" w:color="auto" w:sz="4" w:space="0"/>
              <w:right w:val="single" w:color="auto" w:sz="4" w:space="0"/>
            </w:tcBorders>
            <w:vAlign w:val="center"/>
          </w:tcPr>
          <w:p w14:paraId="6583305F">
            <w:pPr>
              <w:snapToGrid w:val="0"/>
              <w:ind w:firstLine="211" w:firstLineChars="100"/>
              <w:jc w:val="both"/>
              <w:rPr>
                <w:rFonts w:ascii="宋体" w:hAnsi="宋体"/>
                <w:b/>
                <w:color w:val="auto"/>
                <w:szCs w:val="21"/>
                <w:highlight w:val="none"/>
                <w:shd w:val="clear" w:color="auto" w:fill="FFFFFF" w:themeFill="background1"/>
              </w:rPr>
            </w:pPr>
            <w:r>
              <w:rPr>
                <w:rFonts w:hint="eastAsia" w:ascii="宋体" w:hAnsi="宋体"/>
                <w:b/>
                <w:color w:val="auto"/>
                <w:szCs w:val="21"/>
                <w:highlight w:val="none"/>
                <w:shd w:val="clear" w:color="auto" w:fill="FFFFFF" w:themeFill="background1"/>
                <w:lang w:eastAsia="zh-CN"/>
              </w:rPr>
              <w:t>项</w:t>
            </w:r>
          </w:p>
        </w:tc>
        <w:tc>
          <w:tcPr>
            <w:tcW w:w="404" w:type="pct"/>
            <w:tcBorders>
              <w:top w:val="single" w:color="auto" w:sz="4" w:space="0"/>
              <w:left w:val="single" w:color="auto" w:sz="4" w:space="0"/>
              <w:right w:val="single" w:color="auto" w:sz="4" w:space="0"/>
            </w:tcBorders>
            <w:vAlign w:val="center"/>
          </w:tcPr>
          <w:p w14:paraId="1D3AAD2F">
            <w:pPr>
              <w:snapToGrid w:val="0"/>
              <w:ind w:firstLine="420"/>
              <w:jc w:val="center"/>
              <w:rPr>
                <w:rFonts w:hint="eastAsia" w:ascii="宋体" w:hAnsi="宋体" w:eastAsia="宋体"/>
                <w:b/>
                <w:color w:val="auto"/>
                <w:szCs w:val="21"/>
                <w:highlight w:val="none"/>
                <w:shd w:val="clear" w:color="auto" w:fill="FFFFFF" w:themeFill="background1"/>
                <w:lang w:val="en-US" w:eastAsia="zh-CN"/>
              </w:rPr>
            </w:pPr>
            <w:r>
              <w:rPr>
                <w:rFonts w:hint="eastAsia" w:ascii="宋体" w:hAnsi="宋体"/>
                <w:b/>
                <w:color w:val="auto"/>
                <w:szCs w:val="21"/>
                <w:highlight w:val="none"/>
                <w:shd w:val="clear" w:color="auto" w:fill="FFFFFF" w:themeFill="background1"/>
                <w:lang w:val="en-US" w:eastAsia="zh-CN"/>
              </w:rPr>
              <w:t>1</w:t>
            </w:r>
          </w:p>
        </w:tc>
        <w:tc>
          <w:tcPr>
            <w:tcW w:w="870" w:type="pct"/>
            <w:tcBorders>
              <w:top w:val="single" w:color="auto" w:sz="4" w:space="0"/>
              <w:left w:val="single" w:color="auto" w:sz="4" w:space="0"/>
              <w:right w:val="single" w:color="auto" w:sz="4" w:space="0"/>
            </w:tcBorders>
            <w:vAlign w:val="center"/>
          </w:tcPr>
          <w:p w14:paraId="6C6857A2">
            <w:pPr>
              <w:snapToGrid w:val="0"/>
              <w:ind w:firstLine="422"/>
              <w:jc w:val="center"/>
              <w:rPr>
                <w:rFonts w:ascii="宋体" w:hAnsi="宋体"/>
                <w:color w:val="auto"/>
                <w:szCs w:val="21"/>
                <w:highlight w:val="none"/>
                <w:shd w:val="clear" w:color="auto" w:fill="FFFFFF" w:themeFill="background1"/>
              </w:rPr>
            </w:pPr>
          </w:p>
        </w:tc>
        <w:tc>
          <w:tcPr>
            <w:tcW w:w="745" w:type="pct"/>
            <w:tcBorders>
              <w:top w:val="single" w:color="auto" w:sz="4" w:space="0"/>
              <w:left w:val="single" w:color="auto" w:sz="4" w:space="0"/>
              <w:right w:val="single" w:color="auto" w:sz="12" w:space="0"/>
            </w:tcBorders>
            <w:vAlign w:val="center"/>
          </w:tcPr>
          <w:p w14:paraId="1BA5A5B1">
            <w:pPr>
              <w:snapToGrid w:val="0"/>
              <w:ind w:firstLine="422"/>
              <w:rPr>
                <w:rFonts w:ascii="宋体" w:hAnsi="宋体"/>
                <w:color w:val="auto"/>
                <w:szCs w:val="21"/>
                <w:highlight w:val="none"/>
                <w:shd w:val="clear" w:color="auto" w:fill="FFFFFF" w:themeFill="background1"/>
              </w:rPr>
            </w:pPr>
          </w:p>
        </w:tc>
      </w:tr>
      <w:tr w14:paraId="24E8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634" w:type="pct"/>
            <w:tcBorders>
              <w:top w:val="single" w:color="auto" w:sz="4" w:space="0"/>
              <w:left w:val="single" w:color="auto" w:sz="12" w:space="0"/>
              <w:bottom w:val="single" w:color="auto" w:sz="4" w:space="0"/>
              <w:right w:val="single" w:color="auto" w:sz="4" w:space="0"/>
            </w:tcBorders>
            <w:vAlign w:val="center"/>
          </w:tcPr>
          <w:p w14:paraId="3F3CFE39">
            <w:pPr>
              <w:snapToGrid w:val="0"/>
              <w:jc w:val="center"/>
              <w:rPr>
                <w:rFonts w:ascii="宋体" w:hAnsi="宋体"/>
                <w:b/>
                <w:bCs/>
                <w:color w:val="auto"/>
                <w:szCs w:val="21"/>
                <w:highlight w:val="none"/>
                <w:shd w:val="clear" w:color="auto" w:fill="FFFFFF" w:themeFill="background1"/>
              </w:rPr>
            </w:pPr>
            <w:r>
              <w:rPr>
                <w:rFonts w:ascii="宋体" w:hAnsi="宋体"/>
                <w:b/>
                <w:bCs/>
                <w:color w:val="auto"/>
                <w:szCs w:val="21"/>
                <w:highlight w:val="none"/>
                <w:shd w:val="clear" w:color="auto" w:fill="FFFFFF" w:themeFill="background1"/>
              </w:rPr>
              <w:t>3</w:t>
            </w:r>
          </w:p>
        </w:tc>
        <w:tc>
          <w:tcPr>
            <w:tcW w:w="1877" w:type="pct"/>
            <w:tcBorders>
              <w:top w:val="single" w:color="auto" w:sz="4" w:space="0"/>
              <w:left w:val="single" w:color="auto" w:sz="4" w:space="0"/>
              <w:bottom w:val="single" w:color="auto" w:sz="4" w:space="0"/>
              <w:right w:val="single" w:color="auto" w:sz="4" w:space="0"/>
            </w:tcBorders>
            <w:vAlign w:val="center"/>
          </w:tcPr>
          <w:p w14:paraId="4EBA74C2">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项目总报价</w:t>
            </w:r>
          </w:p>
        </w:tc>
        <w:tc>
          <w:tcPr>
            <w:tcW w:w="467" w:type="pct"/>
            <w:tcBorders>
              <w:top w:val="single" w:color="auto" w:sz="4" w:space="0"/>
              <w:left w:val="single" w:color="auto" w:sz="4" w:space="0"/>
              <w:bottom w:val="single" w:color="auto" w:sz="4" w:space="0"/>
              <w:right w:val="single" w:color="auto" w:sz="4" w:space="0"/>
            </w:tcBorders>
          </w:tcPr>
          <w:p w14:paraId="746F7D0F">
            <w:pPr>
              <w:snapToGrid w:val="0"/>
              <w:ind w:firstLine="420"/>
              <w:rPr>
                <w:rFonts w:ascii="宋体" w:hAnsi="宋体"/>
                <w:b/>
                <w:bCs/>
                <w:color w:val="auto"/>
                <w:szCs w:val="21"/>
                <w:highlight w:val="none"/>
                <w:shd w:val="clear" w:color="auto" w:fill="FFFFFF" w:themeFill="background1"/>
              </w:rPr>
            </w:pPr>
          </w:p>
        </w:tc>
        <w:tc>
          <w:tcPr>
            <w:tcW w:w="404" w:type="pct"/>
            <w:tcBorders>
              <w:top w:val="single" w:color="auto" w:sz="4" w:space="0"/>
              <w:left w:val="single" w:color="auto" w:sz="4" w:space="0"/>
              <w:bottom w:val="single" w:color="auto" w:sz="4" w:space="0"/>
              <w:right w:val="single" w:color="auto" w:sz="4" w:space="0"/>
            </w:tcBorders>
          </w:tcPr>
          <w:p w14:paraId="4FEF8313">
            <w:pPr>
              <w:snapToGrid w:val="0"/>
              <w:ind w:firstLine="420"/>
              <w:rPr>
                <w:rFonts w:ascii="宋体" w:hAnsi="宋体"/>
                <w:b/>
                <w:bCs/>
                <w:color w:val="auto"/>
                <w:szCs w:val="21"/>
                <w:highlight w:val="none"/>
                <w:shd w:val="clear" w:color="auto" w:fill="FFFFFF" w:themeFill="background1"/>
              </w:rPr>
            </w:pPr>
          </w:p>
        </w:tc>
        <w:tc>
          <w:tcPr>
            <w:tcW w:w="870" w:type="pct"/>
            <w:tcBorders>
              <w:top w:val="single" w:color="auto" w:sz="4" w:space="0"/>
              <w:left w:val="single" w:color="auto" w:sz="4" w:space="0"/>
              <w:bottom w:val="single" w:color="auto" w:sz="4" w:space="0"/>
              <w:right w:val="single" w:color="auto" w:sz="4" w:space="0"/>
            </w:tcBorders>
            <w:vAlign w:val="center"/>
          </w:tcPr>
          <w:p w14:paraId="27BC96DD">
            <w:pPr>
              <w:snapToGrid w:val="0"/>
              <w:ind w:firstLine="420"/>
              <w:rPr>
                <w:rFonts w:ascii="宋体" w:hAnsi="宋体"/>
                <w:b/>
                <w:bCs/>
                <w:color w:val="auto"/>
                <w:szCs w:val="21"/>
                <w:highlight w:val="none"/>
                <w:shd w:val="clear" w:color="auto" w:fill="FFFFFF" w:themeFill="background1"/>
              </w:rPr>
            </w:pPr>
          </w:p>
        </w:tc>
        <w:tc>
          <w:tcPr>
            <w:tcW w:w="745" w:type="pct"/>
            <w:tcBorders>
              <w:top w:val="single" w:color="auto" w:sz="4" w:space="0"/>
              <w:left w:val="single" w:color="auto" w:sz="4" w:space="0"/>
              <w:bottom w:val="single" w:color="auto" w:sz="4" w:space="0"/>
              <w:right w:val="single" w:color="auto" w:sz="12" w:space="0"/>
            </w:tcBorders>
            <w:vAlign w:val="center"/>
          </w:tcPr>
          <w:p w14:paraId="6AEB791B">
            <w:pPr>
              <w:snapToGrid w:val="0"/>
              <w:jc w:val="center"/>
              <w:rPr>
                <w:rFonts w:ascii="宋体" w:hAnsi="宋体"/>
                <w:b/>
                <w:bCs/>
                <w:color w:val="auto"/>
                <w:szCs w:val="21"/>
                <w:highlight w:val="none"/>
                <w:shd w:val="clear" w:color="auto" w:fill="FFFFFF" w:themeFill="background1"/>
              </w:rPr>
            </w:pPr>
            <w:r>
              <w:rPr>
                <w:rFonts w:hint="eastAsia" w:ascii="宋体" w:hAnsi="宋体"/>
                <w:b/>
                <w:bCs/>
                <w:color w:val="auto"/>
                <w:szCs w:val="21"/>
                <w:highlight w:val="none"/>
                <w:shd w:val="clear" w:color="auto" w:fill="FFFFFF" w:themeFill="background1"/>
              </w:rPr>
              <w:t>（1+2）</w:t>
            </w:r>
          </w:p>
        </w:tc>
      </w:tr>
    </w:tbl>
    <w:p w14:paraId="55C83FA0">
      <w:pPr>
        <w:pStyle w:val="374"/>
        <w:ind w:firstLine="180" w:firstLineChars="100"/>
        <w:rPr>
          <w:rFonts w:ascii="宋体" w:hAnsi="宋体"/>
          <w:color w:val="auto"/>
          <w:sz w:val="18"/>
          <w:szCs w:val="18"/>
          <w:highlight w:val="none"/>
          <w:shd w:val="clear" w:color="auto" w:fill="FFFFFF" w:themeFill="background1"/>
        </w:rPr>
      </w:pPr>
    </w:p>
    <w:p w14:paraId="5EFB7A90">
      <w:pPr>
        <w:autoSpaceDE w:val="0"/>
        <w:autoSpaceDN w:val="0"/>
        <w:snapToGrid w:val="0"/>
        <w:spacing w:line="360" w:lineRule="auto"/>
        <w:ind w:firstLine="422"/>
        <w:textAlignment w:val="bottom"/>
        <w:rPr>
          <w:rFonts w:ascii="宋体" w:hAnsi="宋体" w:cs="仿宋"/>
          <w:color w:val="auto"/>
          <w:szCs w:val="21"/>
          <w:highlight w:val="none"/>
          <w:shd w:val="clear" w:color="auto" w:fill="FFFFFF" w:themeFill="background1"/>
        </w:rPr>
      </w:pPr>
      <w:r>
        <w:rPr>
          <w:rFonts w:hint="eastAsia" w:ascii="宋体" w:hAnsi="宋体" w:cs="仿宋"/>
          <w:color w:val="auto"/>
          <w:szCs w:val="21"/>
          <w:highlight w:val="none"/>
          <w:shd w:val="clear" w:color="auto" w:fill="FFFFFF" w:themeFill="background1"/>
        </w:rPr>
        <w:t>注：</w:t>
      </w:r>
    </w:p>
    <w:p w14:paraId="3F5115C6">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1.投标人应根据本招标项目工程特点和工作内容，分别填写本表各项目；</w:t>
      </w:r>
    </w:p>
    <w:p w14:paraId="111BB7B6">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2.投标人应将详细的计算依据、计算过程及优惠附在报价清单后；</w:t>
      </w:r>
    </w:p>
    <w:p w14:paraId="5EFFB36D">
      <w:pPr>
        <w:autoSpaceDE w:val="0"/>
        <w:autoSpaceDN w:val="0"/>
        <w:snapToGrid w:val="0"/>
        <w:spacing w:line="360" w:lineRule="auto"/>
        <w:ind w:firstLine="422"/>
        <w:textAlignment w:val="bottom"/>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3.含有关评审会议的劳务费、会务费、专家咨询费和专家交通费用等等各种费用。</w:t>
      </w:r>
    </w:p>
    <w:p w14:paraId="13F2EEDC">
      <w:pPr>
        <w:snapToGrid w:val="0"/>
        <w:spacing w:line="360" w:lineRule="auto"/>
        <w:ind w:firstLine="422"/>
        <w:rPr>
          <w:rFonts w:ascii="宋体" w:hAnsi="宋体"/>
          <w:color w:val="auto"/>
          <w:szCs w:val="21"/>
          <w:highlight w:val="none"/>
          <w:shd w:val="clear" w:color="auto" w:fill="FFFFFF" w:themeFill="background1"/>
        </w:rPr>
      </w:pPr>
    </w:p>
    <w:p w14:paraId="007BA398">
      <w:pPr>
        <w:snapToGrid w:val="0"/>
        <w:spacing w:line="360" w:lineRule="auto"/>
        <w:ind w:left="-2" w:leftChars="-1" w:right="-817" w:rightChars="-389" w:firstLine="3424" w:firstLineChars="1427"/>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法定代表人或者委托代理人（签字或者电子签名）： </w:t>
      </w:r>
    </w:p>
    <w:p w14:paraId="1E69F67D">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投标人名称（电子签章）：</w:t>
      </w:r>
    </w:p>
    <w:p w14:paraId="6C25037E">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日期：    年   月   日</w:t>
      </w:r>
    </w:p>
    <w:p w14:paraId="68BB66E3">
      <w:pPr>
        <w:pStyle w:val="23"/>
        <w:ind w:firstLine="482"/>
        <w:rPr>
          <w:color w:val="auto"/>
          <w:highlight w:val="none"/>
          <w:shd w:val="clear" w:color="auto" w:fill="FFFFFF" w:themeFill="background1"/>
        </w:rPr>
      </w:pPr>
    </w:p>
    <w:p w14:paraId="0D999DA3">
      <w:pPr>
        <w:ind w:firstLine="482"/>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br w:type="page"/>
      </w:r>
    </w:p>
    <w:p w14:paraId="6EA1DD93">
      <w:pPr>
        <w:snapToGrid w:val="0"/>
        <w:spacing w:line="360" w:lineRule="auto"/>
        <w:ind w:firstLine="482" w:firstLineChars="200"/>
        <w:jc w:val="center"/>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lang w:eastAsia="zh-CN"/>
        </w:rPr>
        <w:t>（三）</w:t>
      </w:r>
      <w:r>
        <w:rPr>
          <w:rFonts w:hint="eastAsia" w:ascii="宋体" w:hAnsi="宋体"/>
          <w:b/>
          <w:color w:val="auto"/>
          <w:sz w:val="24"/>
          <w:highlight w:val="none"/>
          <w:shd w:val="clear" w:color="auto" w:fill="FFFFFF" w:themeFill="background1"/>
        </w:rPr>
        <w:t>可研（含专题）费计算表</w:t>
      </w:r>
    </w:p>
    <w:p w14:paraId="0DAAE581">
      <w:pPr>
        <w:snapToGrid w:val="0"/>
        <w:spacing w:line="360" w:lineRule="auto"/>
        <w:ind w:firstLine="916" w:firstLineChars="3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项目名称:                      项目编号：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4"/>
      </w:tblGrid>
      <w:tr w14:paraId="3546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5" w:hRule="atLeast"/>
        </w:trPr>
        <w:tc>
          <w:tcPr>
            <w:tcW w:w="9064" w:type="dxa"/>
            <w:noWrap/>
            <w:vAlign w:val="center"/>
          </w:tcPr>
          <w:p w14:paraId="5DC0B228">
            <w:pPr>
              <w:snapToGrid w:val="0"/>
              <w:spacing w:line="360" w:lineRule="auto"/>
              <w:ind w:firstLine="482"/>
              <w:rPr>
                <w:rFonts w:ascii="宋体" w:hAnsi="宋体"/>
                <w:color w:val="auto"/>
                <w:sz w:val="24"/>
                <w:highlight w:val="none"/>
                <w:shd w:val="clear" w:color="auto" w:fill="FFFFFF" w:themeFill="background1"/>
              </w:rPr>
            </w:pPr>
          </w:p>
          <w:p w14:paraId="39611E64">
            <w:pPr>
              <w:snapToGrid w:val="0"/>
              <w:spacing w:line="360" w:lineRule="auto"/>
              <w:ind w:firstLine="482"/>
              <w:rPr>
                <w:rFonts w:ascii="宋体" w:hAnsi="宋体"/>
                <w:color w:val="auto"/>
                <w:sz w:val="24"/>
                <w:highlight w:val="none"/>
                <w:shd w:val="clear" w:color="auto" w:fill="FFFFFF" w:themeFill="background1"/>
              </w:rPr>
            </w:pPr>
          </w:p>
          <w:p w14:paraId="4749C4E3">
            <w:pPr>
              <w:snapToGrid w:val="0"/>
              <w:spacing w:line="360" w:lineRule="auto"/>
              <w:ind w:firstLine="482"/>
              <w:rPr>
                <w:rFonts w:ascii="宋体" w:hAnsi="宋体"/>
                <w:color w:val="auto"/>
                <w:sz w:val="24"/>
                <w:highlight w:val="none"/>
                <w:shd w:val="clear" w:color="auto" w:fill="FFFFFF" w:themeFill="background1"/>
              </w:rPr>
            </w:pPr>
          </w:p>
          <w:p w14:paraId="4A4B3D0C">
            <w:pPr>
              <w:snapToGrid w:val="0"/>
              <w:spacing w:line="360" w:lineRule="auto"/>
              <w:ind w:left="-109" w:leftChars="-52" w:firstLine="482"/>
              <w:rPr>
                <w:rFonts w:ascii="宋体" w:hAnsi="宋体"/>
                <w:color w:val="auto"/>
                <w:sz w:val="24"/>
                <w:highlight w:val="none"/>
                <w:shd w:val="clear" w:color="auto" w:fill="FFFFFF" w:themeFill="background1"/>
              </w:rPr>
            </w:pPr>
          </w:p>
          <w:p w14:paraId="6B1F322C">
            <w:pPr>
              <w:snapToGrid w:val="0"/>
              <w:spacing w:line="360" w:lineRule="auto"/>
              <w:ind w:firstLine="482"/>
              <w:rPr>
                <w:rFonts w:ascii="宋体" w:hAnsi="宋体"/>
                <w:color w:val="auto"/>
                <w:sz w:val="24"/>
                <w:highlight w:val="none"/>
                <w:shd w:val="clear" w:color="auto" w:fill="FFFFFF" w:themeFill="background1"/>
              </w:rPr>
            </w:pPr>
          </w:p>
          <w:p w14:paraId="6177629B">
            <w:pPr>
              <w:snapToGrid w:val="0"/>
              <w:spacing w:line="360" w:lineRule="auto"/>
              <w:ind w:firstLine="482"/>
              <w:rPr>
                <w:rFonts w:ascii="宋体" w:hAnsi="宋体"/>
                <w:color w:val="auto"/>
                <w:sz w:val="24"/>
                <w:highlight w:val="none"/>
                <w:shd w:val="clear" w:color="auto" w:fill="FFFFFF" w:themeFill="background1"/>
              </w:rPr>
            </w:pPr>
          </w:p>
          <w:p w14:paraId="033D8BAE">
            <w:pPr>
              <w:snapToGrid w:val="0"/>
              <w:spacing w:line="360" w:lineRule="auto"/>
              <w:ind w:firstLine="482"/>
              <w:rPr>
                <w:rFonts w:ascii="宋体" w:hAnsi="宋体"/>
                <w:color w:val="auto"/>
                <w:sz w:val="24"/>
                <w:highlight w:val="none"/>
                <w:shd w:val="clear" w:color="auto" w:fill="FFFFFF" w:themeFill="background1"/>
              </w:rPr>
            </w:pPr>
          </w:p>
          <w:p w14:paraId="5C7EE9AB">
            <w:pPr>
              <w:snapToGrid w:val="0"/>
              <w:spacing w:line="360" w:lineRule="auto"/>
              <w:ind w:firstLine="482"/>
              <w:rPr>
                <w:rFonts w:ascii="宋体" w:hAnsi="宋体"/>
                <w:color w:val="auto"/>
                <w:sz w:val="24"/>
                <w:highlight w:val="none"/>
                <w:shd w:val="clear" w:color="auto" w:fill="FFFFFF" w:themeFill="background1"/>
              </w:rPr>
            </w:pPr>
          </w:p>
          <w:p w14:paraId="22019FA2">
            <w:pPr>
              <w:snapToGrid w:val="0"/>
              <w:spacing w:line="360" w:lineRule="auto"/>
              <w:ind w:firstLine="482"/>
              <w:rPr>
                <w:rFonts w:ascii="宋体" w:hAnsi="宋体"/>
                <w:color w:val="auto"/>
                <w:sz w:val="24"/>
                <w:highlight w:val="none"/>
                <w:shd w:val="clear" w:color="auto" w:fill="FFFFFF" w:themeFill="background1"/>
              </w:rPr>
            </w:pPr>
          </w:p>
          <w:p w14:paraId="2C3D42BC">
            <w:pPr>
              <w:snapToGrid w:val="0"/>
              <w:spacing w:line="360" w:lineRule="auto"/>
              <w:ind w:firstLine="482"/>
              <w:rPr>
                <w:rFonts w:ascii="宋体" w:hAnsi="宋体"/>
                <w:color w:val="auto"/>
                <w:sz w:val="24"/>
                <w:highlight w:val="none"/>
                <w:shd w:val="clear" w:color="auto" w:fill="FFFFFF" w:themeFill="background1"/>
              </w:rPr>
            </w:pPr>
          </w:p>
          <w:p w14:paraId="6F504CC0">
            <w:pPr>
              <w:snapToGrid w:val="0"/>
              <w:spacing w:line="360" w:lineRule="auto"/>
              <w:ind w:firstLine="482"/>
              <w:rPr>
                <w:rFonts w:ascii="宋体" w:hAnsi="宋体"/>
                <w:color w:val="auto"/>
                <w:sz w:val="24"/>
                <w:highlight w:val="none"/>
                <w:shd w:val="clear" w:color="auto" w:fill="FFFFFF" w:themeFill="background1"/>
              </w:rPr>
            </w:pPr>
          </w:p>
          <w:p w14:paraId="3A6AAA30">
            <w:pPr>
              <w:snapToGrid w:val="0"/>
              <w:spacing w:line="360" w:lineRule="auto"/>
              <w:ind w:firstLine="482"/>
              <w:rPr>
                <w:rFonts w:ascii="宋体" w:hAnsi="宋体"/>
                <w:color w:val="auto"/>
                <w:sz w:val="24"/>
                <w:highlight w:val="none"/>
                <w:shd w:val="clear" w:color="auto" w:fill="FFFFFF" w:themeFill="background1"/>
              </w:rPr>
            </w:pPr>
          </w:p>
          <w:p w14:paraId="17714952">
            <w:pPr>
              <w:snapToGrid w:val="0"/>
              <w:spacing w:line="360" w:lineRule="auto"/>
              <w:ind w:firstLine="482"/>
              <w:rPr>
                <w:rFonts w:ascii="宋体" w:hAnsi="宋体"/>
                <w:color w:val="auto"/>
                <w:sz w:val="24"/>
                <w:highlight w:val="none"/>
                <w:shd w:val="clear" w:color="auto" w:fill="FFFFFF" w:themeFill="background1"/>
              </w:rPr>
            </w:pPr>
          </w:p>
          <w:p w14:paraId="1D244B68">
            <w:pPr>
              <w:snapToGrid w:val="0"/>
              <w:spacing w:line="360" w:lineRule="auto"/>
              <w:ind w:firstLine="482"/>
              <w:rPr>
                <w:rFonts w:ascii="宋体" w:hAnsi="宋体"/>
                <w:color w:val="auto"/>
                <w:sz w:val="24"/>
                <w:highlight w:val="none"/>
                <w:shd w:val="clear" w:color="auto" w:fill="FFFFFF" w:themeFill="background1"/>
              </w:rPr>
            </w:pPr>
          </w:p>
          <w:p w14:paraId="796C90A7">
            <w:pPr>
              <w:snapToGrid w:val="0"/>
              <w:spacing w:line="360" w:lineRule="auto"/>
              <w:ind w:firstLine="482"/>
              <w:rPr>
                <w:rFonts w:ascii="宋体" w:hAnsi="宋体"/>
                <w:color w:val="auto"/>
                <w:sz w:val="24"/>
                <w:highlight w:val="none"/>
                <w:shd w:val="clear" w:color="auto" w:fill="FFFFFF" w:themeFill="background1"/>
              </w:rPr>
            </w:pPr>
          </w:p>
          <w:p w14:paraId="01548BF5">
            <w:pPr>
              <w:snapToGrid w:val="0"/>
              <w:spacing w:line="360" w:lineRule="auto"/>
              <w:ind w:firstLine="482"/>
              <w:rPr>
                <w:rFonts w:ascii="宋体" w:hAnsi="宋体"/>
                <w:color w:val="auto"/>
                <w:sz w:val="24"/>
                <w:highlight w:val="none"/>
                <w:shd w:val="clear" w:color="auto" w:fill="FFFFFF" w:themeFill="background1"/>
              </w:rPr>
            </w:pPr>
          </w:p>
        </w:tc>
      </w:tr>
    </w:tbl>
    <w:p w14:paraId="7E78436A">
      <w:pPr>
        <w:snapToGrid w:val="0"/>
        <w:spacing w:line="360" w:lineRule="auto"/>
        <w:ind w:left="-2" w:leftChars="-1" w:right="-817" w:rightChars="-389" w:firstLine="2880" w:firstLineChars="1200"/>
        <w:rPr>
          <w:rFonts w:ascii="宋体" w:hAnsi="宋体"/>
          <w:color w:val="auto"/>
          <w:sz w:val="24"/>
          <w:highlight w:val="none"/>
          <w:shd w:val="clear" w:color="auto" w:fill="FFFFFF" w:themeFill="background1"/>
        </w:rPr>
      </w:pPr>
    </w:p>
    <w:p w14:paraId="0C2D3F3F">
      <w:pPr>
        <w:snapToGrid w:val="0"/>
        <w:spacing w:line="360" w:lineRule="auto"/>
        <w:ind w:left="-2" w:leftChars="-1" w:right="-817" w:rightChars="-389" w:firstLine="2880" w:firstLineChars="1200"/>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法定代表人或者委托代理人（签字或者电子签名）： </w:t>
      </w:r>
    </w:p>
    <w:p w14:paraId="57E06FF6">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投标人名称（电子签章）：</w:t>
      </w:r>
    </w:p>
    <w:p w14:paraId="321459AA">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日期：    年   月   日</w:t>
      </w:r>
    </w:p>
    <w:p w14:paraId="1002F663">
      <w:pPr>
        <w:pStyle w:val="44"/>
        <w:ind w:firstLine="422"/>
        <w:rPr>
          <w:color w:val="auto"/>
          <w:highlight w:val="none"/>
          <w:shd w:val="clear" w:color="auto" w:fill="FFFFFF" w:themeFill="background1"/>
        </w:rPr>
      </w:pPr>
    </w:p>
    <w:p w14:paraId="4CA6DA89">
      <w:pPr>
        <w:ind w:firstLine="422"/>
        <w:rPr>
          <w:color w:val="auto"/>
          <w:highlight w:val="none"/>
          <w:shd w:val="clear" w:color="auto" w:fill="FFFFFF" w:themeFill="background1"/>
        </w:rPr>
      </w:pPr>
    </w:p>
    <w:p w14:paraId="09D31DF5">
      <w:pPr>
        <w:pStyle w:val="44"/>
        <w:ind w:firstLine="422"/>
        <w:rPr>
          <w:color w:val="auto"/>
          <w:highlight w:val="none"/>
          <w:shd w:val="clear" w:color="auto" w:fill="FFFFFF" w:themeFill="background1"/>
        </w:rPr>
      </w:pPr>
    </w:p>
    <w:p w14:paraId="35173379">
      <w:pPr>
        <w:snapToGrid w:val="0"/>
        <w:spacing w:beforeLines="50" w:after="50"/>
        <w:ind w:firstLine="482"/>
        <w:jc w:val="left"/>
        <w:rPr>
          <w:color w:val="auto"/>
          <w:highlight w:val="none"/>
          <w:shd w:val="clear" w:color="auto" w:fill="FFFFFF" w:themeFill="background1"/>
        </w:rPr>
      </w:pPr>
      <w:r>
        <w:rPr>
          <w:rFonts w:ascii="宋体" w:hAnsi="宋体"/>
          <w:b/>
          <w:color w:val="auto"/>
          <w:sz w:val="24"/>
          <w:highlight w:val="none"/>
          <w:shd w:val="clear" w:color="auto" w:fill="FFFFFF" w:themeFill="background1"/>
        </w:rPr>
        <w:t>5</w:t>
      </w:r>
      <w:r>
        <w:rPr>
          <w:rFonts w:hint="eastAsia" w:ascii="宋体" w:hAnsi="宋体"/>
          <w:b/>
          <w:color w:val="auto"/>
          <w:sz w:val="24"/>
          <w:highlight w:val="none"/>
          <w:shd w:val="clear" w:color="auto" w:fill="FFFFFF" w:themeFill="background1"/>
        </w:rPr>
        <w:t>.中小企业声明函格式</w:t>
      </w:r>
    </w:p>
    <w:p w14:paraId="62B83136">
      <w:pPr>
        <w:ind w:firstLine="422"/>
        <w:rPr>
          <w:color w:val="auto"/>
          <w:highlight w:val="none"/>
          <w:shd w:val="clear" w:color="auto" w:fill="FFFFFF" w:themeFill="background1"/>
        </w:rPr>
      </w:pPr>
    </w:p>
    <w:p w14:paraId="53460257">
      <w:pPr>
        <w:ind w:firstLine="883"/>
        <w:jc w:val="center"/>
        <w:rPr>
          <w:rFonts w:ascii="方正小标宋简体" w:hAnsi="方正小标宋简体" w:eastAsia="方正小标宋简体" w:cs="方正小标宋简体"/>
          <w:color w:val="auto"/>
          <w:sz w:val="44"/>
          <w:szCs w:val="44"/>
          <w:highlight w:val="none"/>
          <w:shd w:val="clear" w:color="auto" w:fill="FFFFFF" w:themeFill="background1"/>
        </w:rPr>
      </w:pPr>
      <w:r>
        <w:rPr>
          <w:rFonts w:hint="eastAsia" w:ascii="方正小标宋简体" w:hAnsi="方正小标宋简体" w:eastAsia="方正小标宋简体" w:cs="方正小标宋简体"/>
          <w:color w:val="auto"/>
          <w:sz w:val="44"/>
          <w:szCs w:val="44"/>
          <w:highlight w:val="none"/>
          <w:shd w:val="clear" w:color="auto" w:fill="FFFFFF" w:themeFill="background1"/>
        </w:rPr>
        <w:t>中小企业声明函（服务）</w:t>
      </w:r>
    </w:p>
    <w:p w14:paraId="3B4CD8C2">
      <w:pPr>
        <w:spacing w:before="2" w:line="500" w:lineRule="exact"/>
        <w:ind w:firstLine="480"/>
        <w:rPr>
          <w:rFonts w:ascii="宋体" w:hAnsi="宋体" w:cs="宋体"/>
          <w:b/>
          <w:bCs/>
          <w:color w:val="auto"/>
          <w:sz w:val="24"/>
          <w:highlight w:val="none"/>
          <w:shd w:val="clear" w:color="auto" w:fill="FFFFFF" w:themeFill="background1"/>
        </w:rPr>
      </w:pPr>
    </w:p>
    <w:p w14:paraId="003765CF">
      <w:pPr>
        <w:pStyle w:val="23"/>
        <w:spacing w:line="500" w:lineRule="exact"/>
        <w:ind w:right="142" w:firstLine="480" w:firstLineChars="200"/>
        <w:rPr>
          <w:rFonts w:ascii="宋体" w:hAnsi="宋体"/>
          <w:color w:val="auto"/>
          <w:highlight w:val="none"/>
          <w:shd w:val="clear" w:color="auto" w:fill="FFFFFF" w:themeFill="background1"/>
        </w:rPr>
      </w:pPr>
      <w:r>
        <w:rPr>
          <w:rFonts w:hint="eastAsia" w:ascii="宋体" w:hAnsi="宋体"/>
          <w:color w:val="auto"/>
          <w:highlight w:val="none"/>
          <w:shd w:val="clear" w:color="auto" w:fill="FFFFFF" w:themeFill="background1"/>
        </w:rPr>
        <w:t>本公司郑重声明，根据《政府采购促进中小企业发展管理办法》（财库﹝2020﹞46号）的规定，本公司参加</w:t>
      </w:r>
      <w:r>
        <w:rPr>
          <w:rFonts w:hint="eastAsia" w:ascii="宋体" w:hAnsi="宋体"/>
          <w:color w:val="auto"/>
          <w:highlight w:val="none"/>
          <w:u w:val="single"/>
          <w:shd w:val="clear" w:color="auto" w:fill="FFFFFF" w:themeFill="background1"/>
        </w:rPr>
        <w:t>（单位名称）</w:t>
      </w:r>
      <w:r>
        <w:rPr>
          <w:rFonts w:hint="eastAsia" w:ascii="宋体" w:hAnsi="宋体"/>
          <w:color w:val="auto"/>
          <w:highlight w:val="none"/>
          <w:shd w:val="clear" w:color="auto" w:fill="FFFFFF" w:themeFill="background1"/>
        </w:rPr>
        <w:t>的</w:t>
      </w:r>
      <w:r>
        <w:rPr>
          <w:rFonts w:hint="eastAsia" w:ascii="宋体" w:hAnsi="宋体"/>
          <w:color w:val="auto"/>
          <w:highlight w:val="none"/>
          <w:u w:val="single"/>
          <w:shd w:val="clear" w:color="auto" w:fill="FFFFFF" w:themeFill="background1"/>
        </w:rPr>
        <w:t>（项目名称）</w:t>
      </w:r>
      <w:r>
        <w:rPr>
          <w:rFonts w:hint="eastAsia" w:ascii="宋体" w:hAnsi="宋体"/>
          <w:color w:val="auto"/>
          <w:highlight w:val="none"/>
          <w:shd w:val="clear" w:color="auto" w:fill="FFFFFF" w:themeFill="background1"/>
        </w:rPr>
        <w:t>采购活动，服务全部由符合政策要求的中小企业承接。相关企业（含签订分包意向协议的中小企业）的具体情况如下：</w:t>
      </w:r>
    </w:p>
    <w:p w14:paraId="5765FD8C">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996EA3F">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95EDCEA">
      <w:pPr>
        <w:pStyle w:val="23"/>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0B9EE140">
      <w:pPr>
        <w:pStyle w:val="23"/>
        <w:spacing w:before="34" w:line="500" w:lineRule="exact"/>
        <w:ind w:right="142" w:firstLine="48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2435ABFC">
      <w:pPr>
        <w:pStyle w:val="23"/>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6B7A1AF9">
      <w:pPr>
        <w:pStyle w:val="23"/>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r>
        <w:rPr>
          <w:rFonts w:ascii="宋体" w:hAnsi="宋体"/>
          <w:color w:val="auto"/>
          <w:highlight w:val="none"/>
        </w:rPr>
        <w:t xml:space="preserve"> </w:t>
      </w:r>
    </w:p>
    <w:p w14:paraId="50A8A481">
      <w:pPr>
        <w:pStyle w:val="23"/>
        <w:spacing w:before="56" w:line="500" w:lineRule="exact"/>
        <w:ind w:left="3960" w:right="1808"/>
        <w:rPr>
          <w:rFonts w:hint="eastAsia" w:ascii="宋体" w:hAnsi="宋体"/>
          <w:color w:val="auto"/>
          <w:highlight w:val="none"/>
        </w:rPr>
      </w:pPr>
      <w:r>
        <w:rPr>
          <w:rFonts w:ascii="宋体" w:hAnsi="宋体"/>
          <w:color w:val="auto"/>
          <w:highlight w:val="none"/>
        </w:rPr>
        <w:t>日 期：</w:t>
      </w:r>
    </w:p>
    <w:p w14:paraId="5D3F39C6">
      <w:pPr>
        <w:ind w:firstLine="482"/>
        <w:rPr>
          <w:rFonts w:ascii="宋体" w:hAnsi="宋体"/>
          <w:color w:val="auto"/>
          <w:sz w:val="24"/>
          <w:highlight w:val="none"/>
          <w:shd w:val="clear" w:color="auto" w:fill="FFFFFF" w:themeFill="background1"/>
        </w:rPr>
      </w:pPr>
    </w:p>
    <w:p w14:paraId="0C2EB05D">
      <w:pPr>
        <w:pStyle w:val="23"/>
        <w:spacing w:before="34" w:line="500" w:lineRule="exact"/>
        <w:ind w:right="142" w:firstLine="480" w:firstLineChars="200"/>
        <w:rPr>
          <w:rFonts w:ascii="宋体" w:hAnsi="宋体"/>
          <w:b/>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注：享受《政府采购促进中小企业发展管理办法》（财库〔2020〕46号）规定的中小企业扶持政策的，采购人、采购代理机构应当随中标结果公开中标供应商的《中小企业声明函》。从业</w:t>
      </w:r>
      <w:r>
        <w:rPr>
          <w:rFonts w:hint="eastAsia" w:ascii="宋体" w:hAnsi="宋体" w:eastAsia="宋体"/>
          <w:color w:val="auto"/>
          <w:highlight w:val="none"/>
        </w:rPr>
        <w:t>人员</w:t>
      </w:r>
      <w:r>
        <w:rPr>
          <w:rFonts w:hint="eastAsia" w:ascii="宋体" w:hAnsi="宋体"/>
          <w:color w:val="auto"/>
          <w:sz w:val="24"/>
          <w:highlight w:val="none"/>
          <w:shd w:val="clear" w:color="auto" w:fill="FFFFFF" w:themeFill="background1"/>
        </w:rPr>
        <w:t>、营业收入、资产总额填报上一年度数据，无上一年度数据的新成立企业可不填报。</w:t>
      </w:r>
      <w:r>
        <w:rPr>
          <w:color w:val="auto"/>
          <w:highlight w:val="none"/>
          <w:shd w:val="clear" w:color="auto" w:fill="FFFFFF" w:themeFill="background1"/>
        </w:rPr>
        <w:br w:type="page"/>
      </w:r>
      <w:r>
        <w:rPr>
          <w:rFonts w:hint="eastAsia" w:ascii="宋体" w:hAnsi="宋体"/>
          <w:b/>
          <w:color w:val="auto"/>
          <w:sz w:val="24"/>
          <w:highlight w:val="none"/>
          <w:shd w:val="clear" w:color="auto" w:fill="FFFFFF" w:themeFill="background1"/>
        </w:rPr>
        <w:t>6.残疾人福利性单位声明函格式</w:t>
      </w:r>
    </w:p>
    <w:p w14:paraId="30C9E03F">
      <w:pPr>
        <w:spacing w:line="588" w:lineRule="exact"/>
        <w:ind w:firstLine="664"/>
        <w:jc w:val="center"/>
        <w:rPr>
          <w:rFonts w:ascii="仿宋_GB2312" w:eastAsia="仿宋_GB2312"/>
          <w:b/>
          <w:color w:val="auto"/>
          <w:spacing w:val="6"/>
          <w:sz w:val="32"/>
          <w:szCs w:val="32"/>
          <w:highlight w:val="none"/>
          <w:shd w:val="clear" w:color="auto" w:fill="FFFFFF" w:themeFill="background1"/>
        </w:rPr>
      </w:pPr>
      <w:bookmarkStart w:id="350" w:name="OLE_LINK13"/>
      <w:bookmarkStart w:id="351" w:name="OLE_LINK14"/>
    </w:p>
    <w:p w14:paraId="0BDDC8DA">
      <w:pPr>
        <w:spacing w:line="588" w:lineRule="exact"/>
        <w:ind w:firstLine="907"/>
        <w:jc w:val="center"/>
        <w:rPr>
          <w:rFonts w:ascii="方正小标宋简体" w:hAnsi="方正小标宋简体" w:eastAsia="方正小标宋简体" w:cs="方正小标宋简体"/>
          <w:bCs/>
          <w:color w:val="auto"/>
          <w:spacing w:val="6"/>
          <w:sz w:val="44"/>
          <w:szCs w:val="44"/>
          <w:highlight w:val="none"/>
          <w:shd w:val="clear" w:color="auto" w:fill="FFFFFF" w:themeFill="background1"/>
        </w:rPr>
      </w:pPr>
      <w:r>
        <w:rPr>
          <w:rFonts w:hint="eastAsia" w:ascii="方正小标宋简体" w:hAnsi="方正小标宋简体" w:eastAsia="方正小标宋简体" w:cs="方正小标宋简体"/>
          <w:bCs/>
          <w:color w:val="auto"/>
          <w:spacing w:val="6"/>
          <w:sz w:val="44"/>
          <w:szCs w:val="44"/>
          <w:highlight w:val="none"/>
          <w:shd w:val="clear" w:color="auto" w:fill="FFFFFF" w:themeFill="background1"/>
        </w:rPr>
        <w:t>残疾人福利性单位声明函</w:t>
      </w:r>
    </w:p>
    <w:bookmarkEnd w:id="350"/>
    <w:bookmarkEnd w:id="351"/>
    <w:p w14:paraId="71AC9255">
      <w:pPr>
        <w:spacing w:line="588" w:lineRule="exact"/>
        <w:ind w:firstLine="624"/>
        <w:rPr>
          <w:rFonts w:ascii="仿宋_GB2312" w:eastAsia="仿宋_GB2312"/>
          <w:b/>
          <w:color w:val="auto"/>
          <w:spacing w:val="6"/>
          <w:sz w:val="30"/>
          <w:szCs w:val="30"/>
          <w:highlight w:val="none"/>
          <w:shd w:val="clear" w:color="auto" w:fill="FFFFFF" w:themeFill="background1"/>
        </w:rPr>
      </w:pPr>
    </w:p>
    <w:p w14:paraId="72747E91">
      <w:pPr>
        <w:spacing w:line="360" w:lineRule="auto"/>
        <w:ind w:firstLine="504" w:firstLineChars="200"/>
        <w:rPr>
          <w:rFonts w:ascii="宋体" w:hAnsi="宋体"/>
          <w:color w:val="auto"/>
          <w:spacing w:val="6"/>
          <w:sz w:val="24"/>
          <w:highlight w:val="none"/>
          <w:shd w:val="clear" w:color="auto" w:fill="FFFFFF" w:themeFill="background1"/>
        </w:rPr>
      </w:pPr>
      <w:r>
        <w:rPr>
          <w:rFonts w:hint="eastAsia" w:ascii="宋体" w:hAnsi="宋体"/>
          <w:color w:val="auto"/>
          <w:spacing w:val="6"/>
          <w:sz w:val="24"/>
          <w:highlight w:val="none"/>
          <w:shd w:val="clear" w:color="auto" w:fill="FFFFFF" w:themeFill="background1"/>
        </w:rPr>
        <w:t>本单位郑重声明，根据《财政部 民政部 中国残疾人联合会关于促进残疾人就业政府采购政策的通知》（财库</w:t>
      </w:r>
      <w:r>
        <w:rPr>
          <w:rFonts w:hint="eastAsia" w:ascii="宋体" w:hAnsi="宋体"/>
          <w:color w:val="auto"/>
          <w:sz w:val="24"/>
          <w:highlight w:val="none"/>
          <w:shd w:val="clear" w:color="auto" w:fill="FFFFFF" w:themeFill="background1"/>
        </w:rPr>
        <w:t>〔2017〕 141</w:t>
      </w:r>
      <w:r>
        <w:rPr>
          <w:rFonts w:hint="eastAsia" w:ascii="宋体" w:hAnsi="宋体"/>
          <w:color w:val="auto"/>
          <w:spacing w:val="6"/>
          <w:sz w:val="24"/>
          <w:highlight w:val="none"/>
          <w:shd w:val="clear" w:color="auto" w:fill="FFFFFF" w:themeFill="background1"/>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shd w:val="clear" w:color="auto" w:fill="FFFFFF" w:themeFill="background1"/>
        </w:rPr>
        <w:t>疾人福利性单位制造的货物（不包括使用非残疾人福利性单位注册商标的货物）。</w:t>
      </w:r>
    </w:p>
    <w:p w14:paraId="1ACBDF95">
      <w:pPr>
        <w:spacing w:line="360" w:lineRule="auto"/>
        <w:ind w:firstLine="504" w:firstLineChars="200"/>
        <w:rPr>
          <w:rFonts w:ascii="宋体" w:hAnsi="宋体"/>
          <w:color w:val="auto"/>
          <w:spacing w:val="6"/>
          <w:sz w:val="24"/>
          <w:highlight w:val="none"/>
          <w:shd w:val="clear" w:color="auto" w:fill="FFFFFF" w:themeFill="background1"/>
        </w:rPr>
      </w:pPr>
      <w:r>
        <w:rPr>
          <w:rFonts w:hint="eastAsia" w:ascii="宋体" w:hAnsi="宋体"/>
          <w:color w:val="auto"/>
          <w:spacing w:val="6"/>
          <w:sz w:val="24"/>
          <w:highlight w:val="none"/>
          <w:shd w:val="clear" w:color="auto" w:fill="FFFFFF" w:themeFill="background1"/>
        </w:rPr>
        <w:t>本单位对上述声明的真实性负责。如有虚假，将依法承担相应责任。</w:t>
      </w:r>
    </w:p>
    <w:p w14:paraId="1A07F114">
      <w:pPr>
        <w:spacing w:line="360" w:lineRule="auto"/>
        <w:ind w:firstLine="504" w:firstLineChars="200"/>
        <w:rPr>
          <w:rFonts w:ascii="宋体" w:hAnsi="宋体"/>
          <w:color w:val="auto"/>
          <w:spacing w:val="6"/>
          <w:sz w:val="24"/>
          <w:highlight w:val="none"/>
          <w:shd w:val="clear" w:color="auto" w:fill="FFFFFF" w:themeFill="background1"/>
        </w:rPr>
      </w:pPr>
    </w:p>
    <w:p w14:paraId="3203ED9C">
      <w:pPr>
        <w:spacing w:line="360" w:lineRule="auto"/>
        <w:ind w:firstLine="504" w:firstLineChars="200"/>
        <w:rPr>
          <w:rFonts w:ascii="宋体" w:hAnsi="宋体"/>
          <w:color w:val="auto"/>
          <w:spacing w:val="6"/>
          <w:sz w:val="24"/>
          <w:highlight w:val="none"/>
          <w:shd w:val="clear" w:color="auto" w:fill="FFFFFF" w:themeFill="background1"/>
        </w:rPr>
      </w:pPr>
    </w:p>
    <w:p w14:paraId="038DEF2E">
      <w:pPr>
        <w:tabs>
          <w:tab w:val="left" w:pos="4860"/>
        </w:tabs>
        <w:spacing w:line="360" w:lineRule="auto"/>
        <w:ind w:right="1560" w:firstLine="504" w:firstLineChars="200"/>
        <w:contextualSpacing/>
        <w:jc w:val="center"/>
        <w:rPr>
          <w:rFonts w:ascii="宋体" w:hAnsi="宋体"/>
          <w:color w:val="auto"/>
          <w:spacing w:val="6"/>
          <w:sz w:val="24"/>
          <w:highlight w:val="none"/>
          <w:shd w:val="clear" w:color="auto" w:fill="FFFFFF" w:themeFill="background1"/>
        </w:rPr>
      </w:pPr>
      <w:r>
        <w:rPr>
          <w:rFonts w:hint="eastAsia" w:ascii="宋体" w:hAnsi="宋体"/>
          <w:color w:val="auto"/>
          <w:spacing w:val="6"/>
          <w:sz w:val="24"/>
          <w:highlight w:val="none"/>
          <w:shd w:val="clear" w:color="auto" w:fill="FFFFFF" w:themeFill="background1"/>
        </w:rPr>
        <w:t>单位名称（电子签章）：</w:t>
      </w:r>
    </w:p>
    <w:p w14:paraId="4BE03B18">
      <w:pPr>
        <w:tabs>
          <w:tab w:val="left" w:pos="4860"/>
        </w:tabs>
        <w:spacing w:line="360" w:lineRule="auto"/>
        <w:ind w:right="1560" w:firstLine="504" w:firstLineChars="200"/>
        <w:contextualSpacing/>
        <w:jc w:val="center"/>
        <w:rPr>
          <w:rFonts w:ascii="宋体" w:hAnsi="宋体"/>
          <w:color w:val="auto"/>
          <w:spacing w:val="6"/>
          <w:sz w:val="24"/>
          <w:highlight w:val="none"/>
          <w:shd w:val="clear" w:color="auto" w:fill="FFFFFF" w:themeFill="background1"/>
        </w:rPr>
      </w:pPr>
      <w:r>
        <w:rPr>
          <w:rFonts w:hint="eastAsia" w:ascii="宋体" w:hAnsi="宋体"/>
          <w:color w:val="auto"/>
          <w:spacing w:val="6"/>
          <w:sz w:val="24"/>
          <w:highlight w:val="none"/>
          <w:shd w:val="clear" w:color="auto" w:fill="FFFFFF" w:themeFill="background1"/>
        </w:rPr>
        <w:t>日  期：</w:t>
      </w:r>
    </w:p>
    <w:p w14:paraId="4C632626">
      <w:pPr>
        <w:spacing w:line="360" w:lineRule="auto"/>
        <w:ind w:firstLine="482"/>
        <w:rPr>
          <w:rFonts w:ascii="宋体" w:hAnsi="宋体"/>
          <w:color w:val="auto"/>
          <w:sz w:val="24"/>
          <w:highlight w:val="none"/>
          <w:shd w:val="clear" w:color="auto" w:fill="FFFFFF" w:themeFill="background1"/>
        </w:rPr>
      </w:pPr>
    </w:p>
    <w:p w14:paraId="5834660A">
      <w:pPr>
        <w:spacing w:line="360" w:lineRule="auto"/>
        <w:ind w:firstLine="482"/>
        <w:rPr>
          <w:rFonts w:ascii="宋体" w:hAnsi="宋体"/>
          <w:color w:val="auto"/>
          <w:sz w:val="24"/>
          <w:highlight w:val="none"/>
          <w:shd w:val="clear" w:color="auto" w:fill="FFFFFF" w:themeFill="background1"/>
        </w:rPr>
      </w:pPr>
    </w:p>
    <w:p w14:paraId="3CA79D58">
      <w:pPr>
        <w:spacing w:line="360" w:lineRule="auto"/>
        <w:ind w:firstLine="482"/>
        <w:rPr>
          <w:rFonts w:ascii="宋体" w:hAnsi="宋体"/>
          <w:color w:val="auto"/>
          <w:sz w:val="24"/>
          <w:highlight w:val="none"/>
          <w:shd w:val="clear" w:color="auto" w:fill="FFFFFF" w:themeFill="background1"/>
        </w:rPr>
      </w:pPr>
    </w:p>
    <w:p w14:paraId="6477418B">
      <w:pPr>
        <w:spacing w:line="360" w:lineRule="auto"/>
        <w:ind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注：请根据自己的真实情况出具《残疾人福利性单位声明函》。依法享受中小企业优惠政策的，采购人或者采购代理机构在公告中标结果时，同时公告其《残疾人福利性单位声明函》，接受社会监督。</w:t>
      </w:r>
    </w:p>
    <w:p w14:paraId="7054AB96">
      <w:pPr>
        <w:pStyle w:val="44"/>
        <w:ind w:firstLine="422"/>
        <w:rPr>
          <w:color w:val="auto"/>
          <w:highlight w:val="none"/>
          <w:shd w:val="clear" w:color="auto" w:fill="FFFFFF" w:themeFill="background1"/>
        </w:rPr>
      </w:pPr>
    </w:p>
    <w:p w14:paraId="55BEB458">
      <w:pPr>
        <w:ind w:firstLine="482"/>
        <w:rPr>
          <w:b/>
          <w:color w:val="auto"/>
          <w:sz w:val="28"/>
          <w:szCs w:val="28"/>
          <w:highlight w:val="none"/>
          <w:shd w:val="clear" w:color="auto" w:fill="FFFFFF" w:themeFill="background1"/>
        </w:rPr>
      </w:pPr>
      <w:r>
        <w:rPr>
          <w:rFonts w:ascii="宋体" w:hAnsi="宋体"/>
          <w:b/>
          <w:bCs/>
          <w:color w:val="auto"/>
          <w:sz w:val="24"/>
          <w:highlight w:val="none"/>
          <w:shd w:val="clear" w:color="auto" w:fill="FFFFFF" w:themeFill="background1"/>
        </w:rPr>
        <w:br w:type="page"/>
      </w:r>
      <w:bookmarkStart w:id="352" w:name="_Toc19686837"/>
      <w:r>
        <w:rPr>
          <w:rFonts w:hint="eastAsia"/>
          <w:b/>
          <w:color w:val="auto"/>
          <w:sz w:val="28"/>
          <w:szCs w:val="28"/>
          <w:highlight w:val="none"/>
          <w:shd w:val="clear" w:color="auto" w:fill="FFFFFF" w:themeFill="background1"/>
        </w:rPr>
        <w:t>二、资格证明文件格式</w:t>
      </w:r>
      <w:bookmarkEnd w:id="344"/>
      <w:bookmarkEnd w:id="345"/>
      <w:bookmarkEnd w:id="352"/>
    </w:p>
    <w:p w14:paraId="0790F271">
      <w:pPr>
        <w:numPr>
          <w:ilvl w:val="2"/>
          <w:numId w:val="28"/>
        </w:numPr>
        <w:snapToGrid w:val="0"/>
        <w:spacing w:beforeLines="50" w:after="50" w:line="360" w:lineRule="auto"/>
        <w:ind w:left="0" w:firstLine="482"/>
        <w:jc w:val="left"/>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t xml:space="preserve">资格证明文件封面格式： </w:t>
      </w:r>
    </w:p>
    <w:p w14:paraId="4E170097">
      <w:pPr>
        <w:snapToGrid w:val="0"/>
        <w:spacing w:beforeLines="50" w:after="50"/>
        <w:ind w:firstLine="964"/>
        <w:jc w:val="center"/>
        <w:rPr>
          <w:rFonts w:ascii="宋体" w:hAnsi="宋体" w:eastAsia="方正小标宋简体"/>
          <w:bCs/>
          <w:color w:val="auto"/>
          <w:sz w:val="48"/>
          <w:szCs w:val="48"/>
          <w:highlight w:val="none"/>
          <w:shd w:val="clear" w:color="auto" w:fill="FFFFFF" w:themeFill="background1"/>
        </w:rPr>
      </w:pPr>
      <w:r>
        <w:rPr>
          <w:rFonts w:hint="eastAsia" w:ascii="宋体" w:hAnsi="宋体" w:eastAsia="方正小标宋简体"/>
          <w:bCs/>
          <w:color w:val="auto"/>
          <w:sz w:val="48"/>
          <w:szCs w:val="48"/>
          <w:highlight w:val="none"/>
          <w:shd w:val="clear" w:color="auto" w:fill="FFFFFF" w:themeFill="background1"/>
        </w:rPr>
        <w:t>电子投标文件</w:t>
      </w:r>
    </w:p>
    <w:p w14:paraId="40DC60A4">
      <w:pPr>
        <w:snapToGrid w:val="0"/>
        <w:spacing w:beforeLines="50" w:after="50"/>
        <w:ind w:firstLine="482"/>
        <w:rPr>
          <w:rFonts w:ascii="宋体" w:hAnsi="宋体"/>
          <w:color w:val="auto"/>
          <w:sz w:val="24"/>
          <w:szCs w:val="20"/>
          <w:highlight w:val="none"/>
          <w:shd w:val="clear" w:color="auto" w:fill="FFFFFF" w:themeFill="background1"/>
        </w:rPr>
      </w:pPr>
    </w:p>
    <w:p w14:paraId="4C5D4471">
      <w:pPr>
        <w:snapToGrid w:val="0"/>
        <w:spacing w:beforeLines="50" w:after="50"/>
        <w:ind w:firstLine="643"/>
        <w:jc w:val="center"/>
        <w:rPr>
          <w:rFonts w:ascii="宋体" w:hAnsi="宋体"/>
          <w:b/>
          <w:color w:val="auto"/>
          <w:sz w:val="24"/>
          <w:szCs w:val="20"/>
          <w:highlight w:val="none"/>
          <w:shd w:val="clear" w:color="auto" w:fill="FFFFFF" w:themeFill="background1"/>
        </w:rPr>
      </w:pPr>
      <w:r>
        <w:rPr>
          <w:rFonts w:hint="eastAsia" w:ascii="宋体" w:hAnsi="宋体"/>
          <w:b/>
          <w:color w:val="auto"/>
          <w:sz w:val="32"/>
          <w:szCs w:val="32"/>
          <w:highlight w:val="none"/>
          <w:shd w:val="clear" w:color="auto" w:fill="FFFFFF" w:themeFill="background1"/>
        </w:rPr>
        <w:t>资格证明文件</w:t>
      </w:r>
    </w:p>
    <w:p w14:paraId="2687C9C3">
      <w:pPr>
        <w:snapToGrid w:val="0"/>
        <w:spacing w:beforeLines="50" w:after="50"/>
        <w:ind w:firstLine="482"/>
        <w:rPr>
          <w:rFonts w:ascii="宋体" w:hAnsi="宋体"/>
          <w:bCs/>
          <w:color w:val="auto"/>
          <w:sz w:val="24"/>
          <w:szCs w:val="20"/>
          <w:highlight w:val="none"/>
          <w:shd w:val="clear" w:color="auto" w:fill="FFFFFF" w:themeFill="background1"/>
        </w:rPr>
      </w:pPr>
    </w:p>
    <w:p w14:paraId="344EAF29">
      <w:pPr>
        <w:snapToGrid w:val="0"/>
        <w:spacing w:beforeLines="50" w:after="50"/>
        <w:ind w:firstLine="482"/>
        <w:rPr>
          <w:rFonts w:ascii="宋体" w:hAnsi="宋体"/>
          <w:bCs/>
          <w:color w:val="auto"/>
          <w:sz w:val="24"/>
          <w:szCs w:val="20"/>
          <w:highlight w:val="none"/>
          <w:shd w:val="clear" w:color="auto" w:fill="FFFFFF" w:themeFill="background1"/>
        </w:rPr>
      </w:pPr>
    </w:p>
    <w:p w14:paraId="512B3B7A">
      <w:pPr>
        <w:snapToGrid w:val="0"/>
        <w:spacing w:beforeLines="50" w:after="50"/>
        <w:ind w:firstLine="482"/>
        <w:rPr>
          <w:rFonts w:ascii="宋体" w:hAnsi="宋体"/>
          <w:bCs/>
          <w:color w:val="auto"/>
          <w:sz w:val="24"/>
          <w:szCs w:val="20"/>
          <w:highlight w:val="none"/>
          <w:shd w:val="clear" w:color="auto" w:fill="FFFFFF" w:themeFill="background1"/>
        </w:rPr>
      </w:pPr>
    </w:p>
    <w:p w14:paraId="3C2857B6">
      <w:pPr>
        <w:snapToGrid w:val="0"/>
        <w:spacing w:beforeLines="50" w:after="50"/>
        <w:ind w:firstLine="482"/>
        <w:rPr>
          <w:rFonts w:ascii="宋体" w:hAnsi="宋体"/>
          <w:bCs/>
          <w:color w:val="auto"/>
          <w:sz w:val="24"/>
          <w:szCs w:val="20"/>
          <w:highlight w:val="none"/>
          <w:shd w:val="clear" w:color="auto" w:fill="FFFFFF" w:themeFill="background1"/>
        </w:rPr>
      </w:pPr>
    </w:p>
    <w:p w14:paraId="7F96A51B">
      <w:pPr>
        <w:snapToGrid w:val="0"/>
        <w:spacing w:beforeLines="50" w:after="50"/>
        <w:ind w:firstLine="482"/>
        <w:rPr>
          <w:rFonts w:ascii="宋体" w:hAnsi="宋体"/>
          <w:bCs/>
          <w:color w:val="auto"/>
          <w:sz w:val="24"/>
          <w:szCs w:val="20"/>
          <w:highlight w:val="none"/>
          <w:shd w:val="clear" w:color="auto" w:fill="FFFFFF" w:themeFill="background1"/>
        </w:rPr>
      </w:pPr>
    </w:p>
    <w:p w14:paraId="66BE10E2">
      <w:pPr>
        <w:snapToGrid w:val="0"/>
        <w:spacing w:beforeLines="50" w:after="50"/>
        <w:ind w:firstLine="482"/>
        <w:rPr>
          <w:rFonts w:ascii="宋体" w:hAnsi="宋体"/>
          <w:bCs/>
          <w:color w:val="auto"/>
          <w:sz w:val="24"/>
          <w:szCs w:val="20"/>
          <w:highlight w:val="none"/>
          <w:shd w:val="clear" w:color="auto" w:fill="FFFFFF" w:themeFill="background1"/>
        </w:rPr>
      </w:pPr>
    </w:p>
    <w:p w14:paraId="7EEF1BF0">
      <w:pPr>
        <w:snapToGrid w:val="0"/>
        <w:spacing w:beforeLines="50" w:after="50"/>
        <w:ind w:firstLine="482"/>
        <w:rPr>
          <w:rFonts w:ascii="宋体" w:hAnsi="宋体"/>
          <w:bCs/>
          <w:color w:val="auto"/>
          <w:sz w:val="24"/>
          <w:szCs w:val="20"/>
          <w:highlight w:val="none"/>
          <w:shd w:val="clear" w:color="auto" w:fill="FFFFFF" w:themeFill="background1"/>
        </w:rPr>
      </w:pPr>
    </w:p>
    <w:p w14:paraId="7F9F7D8D">
      <w:pPr>
        <w:snapToGrid w:val="0"/>
        <w:spacing w:beforeLines="50" w:after="50"/>
        <w:ind w:firstLine="540" w:firstLineChars="225"/>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项目名称：</w:t>
      </w:r>
    </w:p>
    <w:p w14:paraId="327C5B77">
      <w:pPr>
        <w:snapToGrid w:val="0"/>
        <w:spacing w:beforeLines="50" w:after="50"/>
        <w:ind w:firstLine="540" w:firstLineChars="225"/>
        <w:rPr>
          <w:rFonts w:ascii="宋体" w:hAnsi="宋体"/>
          <w:bCs/>
          <w:color w:val="auto"/>
          <w:sz w:val="24"/>
          <w:szCs w:val="20"/>
          <w:highlight w:val="none"/>
          <w:shd w:val="clear" w:color="auto" w:fill="FFFFFF" w:themeFill="background1"/>
        </w:rPr>
      </w:pPr>
    </w:p>
    <w:p w14:paraId="73189EA5">
      <w:pPr>
        <w:snapToGrid w:val="0"/>
        <w:spacing w:beforeLines="50" w:after="50"/>
        <w:ind w:firstLine="540" w:firstLineChars="225"/>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项目编号：</w:t>
      </w:r>
    </w:p>
    <w:p w14:paraId="10304828">
      <w:pPr>
        <w:snapToGrid w:val="0"/>
        <w:spacing w:beforeLines="50" w:after="50"/>
        <w:ind w:firstLine="540" w:firstLineChars="225"/>
        <w:rPr>
          <w:rFonts w:ascii="宋体" w:hAnsi="宋体"/>
          <w:bCs/>
          <w:color w:val="auto"/>
          <w:sz w:val="24"/>
          <w:szCs w:val="20"/>
          <w:highlight w:val="none"/>
          <w:shd w:val="clear" w:color="auto" w:fill="FFFFFF" w:themeFill="background1"/>
        </w:rPr>
      </w:pPr>
    </w:p>
    <w:p w14:paraId="296A4497">
      <w:pPr>
        <w:snapToGrid w:val="0"/>
        <w:spacing w:beforeLines="50" w:after="50"/>
        <w:ind w:firstLine="540" w:firstLineChars="225"/>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所投分标：/</w:t>
      </w:r>
    </w:p>
    <w:p w14:paraId="03C067C9">
      <w:pPr>
        <w:pStyle w:val="8"/>
        <w:snapToGrid w:val="0"/>
        <w:spacing w:before="50" w:after="50"/>
        <w:ind w:firstLine="540" w:firstLineChars="225"/>
        <w:rPr>
          <w:rFonts w:ascii="宋体" w:hAnsi="宋体"/>
          <w:bCs/>
          <w:color w:val="auto"/>
          <w:sz w:val="24"/>
          <w:szCs w:val="24"/>
          <w:highlight w:val="none"/>
          <w:shd w:val="clear" w:color="auto" w:fill="FFFFFF" w:themeFill="background1"/>
        </w:rPr>
      </w:pPr>
    </w:p>
    <w:p w14:paraId="26E7C4BB">
      <w:pPr>
        <w:pStyle w:val="8"/>
        <w:snapToGrid w:val="0"/>
        <w:spacing w:before="50" w:after="50"/>
        <w:ind w:firstLine="540" w:firstLineChars="225"/>
        <w:rPr>
          <w:rFonts w:ascii="宋体" w:hAnsi="宋体"/>
          <w:bCs/>
          <w:color w:val="auto"/>
          <w:sz w:val="24"/>
          <w:szCs w:val="24"/>
          <w:highlight w:val="none"/>
          <w:shd w:val="clear" w:color="auto" w:fill="FFFFFF" w:themeFill="background1"/>
        </w:rPr>
      </w:pPr>
      <w:r>
        <w:rPr>
          <w:rFonts w:hint="eastAsia" w:ascii="宋体" w:hAnsi="宋体"/>
          <w:bCs/>
          <w:color w:val="auto"/>
          <w:sz w:val="24"/>
          <w:szCs w:val="24"/>
          <w:highlight w:val="none"/>
          <w:shd w:val="clear" w:color="auto" w:fill="FFFFFF" w:themeFill="background1"/>
        </w:rPr>
        <w:t>投标人名称：</w:t>
      </w:r>
    </w:p>
    <w:p w14:paraId="7713B772">
      <w:pPr>
        <w:pStyle w:val="8"/>
        <w:snapToGrid w:val="0"/>
        <w:spacing w:before="50" w:after="50"/>
        <w:ind w:firstLine="540" w:firstLineChars="225"/>
        <w:rPr>
          <w:rFonts w:ascii="宋体" w:hAnsi="宋体"/>
          <w:bCs/>
          <w:color w:val="auto"/>
          <w:sz w:val="24"/>
          <w:szCs w:val="24"/>
          <w:highlight w:val="none"/>
          <w:shd w:val="clear" w:color="auto" w:fill="FFFFFF" w:themeFill="background1"/>
        </w:rPr>
      </w:pPr>
    </w:p>
    <w:p w14:paraId="12E6CA8C">
      <w:pPr>
        <w:pStyle w:val="8"/>
        <w:snapToGrid w:val="0"/>
        <w:spacing w:before="50" w:after="50"/>
        <w:ind w:firstLine="960" w:firstLineChars="400"/>
        <w:rPr>
          <w:rFonts w:ascii="宋体" w:hAnsi="宋体"/>
          <w:bCs/>
          <w:color w:val="auto"/>
          <w:sz w:val="24"/>
          <w:szCs w:val="24"/>
          <w:highlight w:val="none"/>
          <w:shd w:val="clear" w:color="auto" w:fill="FFFFFF" w:themeFill="background1"/>
        </w:rPr>
      </w:pPr>
    </w:p>
    <w:p w14:paraId="0DB8953A">
      <w:pPr>
        <w:snapToGrid w:val="0"/>
        <w:spacing w:beforeLines="50" w:after="50"/>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年  月  日</w:t>
      </w:r>
    </w:p>
    <w:p w14:paraId="2798B8F8">
      <w:pPr>
        <w:snapToGrid w:val="0"/>
        <w:spacing w:beforeLines="50" w:after="50"/>
        <w:ind w:firstLine="482"/>
        <w:rPr>
          <w:rFonts w:ascii="宋体" w:hAnsi="宋体"/>
          <w:color w:val="auto"/>
          <w:sz w:val="24"/>
          <w:szCs w:val="20"/>
          <w:highlight w:val="none"/>
          <w:shd w:val="clear" w:color="auto" w:fill="FFFFFF" w:themeFill="background1"/>
        </w:rPr>
      </w:pPr>
    </w:p>
    <w:p w14:paraId="042EA6AA">
      <w:pPr>
        <w:snapToGrid w:val="0"/>
        <w:spacing w:beforeLines="50" w:after="50"/>
        <w:ind w:firstLine="482"/>
        <w:rPr>
          <w:rFonts w:ascii="宋体" w:hAnsi="宋体"/>
          <w:color w:val="auto"/>
          <w:sz w:val="24"/>
          <w:szCs w:val="20"/>
          <w:highlight w:val="none"/>
          <w:shd w:val="clear" w:color="auto" w:fill="FFFFFF" w:themeFill="background1"/>
        </w:rPr>
      </w:pPr>
    </w:p>
    <w:p w14:paraId="1CA5B2B0">
      <w:pPr>
        <w:numPr>
          <w:ilvl w:val="2"/>
          <w:numId w:val="28"/>
        </w:numPr>
        <w:snapToGrid w:val="0"/>
        <w:spacing w:beforeLines="50" w:after="50" w:line="360" w:lineRule="auto"/>
        <w:ind w:left="0" w:firstLine="482"/>
        <w:jc w:val="left"/>
        <w:rPr>
          <w:rFonts w:ascii="宋体" w:hAnsi="宋体"/>
          <w:color w:val="auto"/>
          <w:sz w:val="24"/>
          <w:szCs w:val="20"/>
          <w:highlight w:val="none"/>
          <w:shd w:val="clear" w:color="auto" w:fill="FFFFFF" w:themeFill="background1"/>
        </w:rPr>
      </w:pPr>
      <w:r>
        <w:rPr>
          <w:rFonts w:ascii="宋体" w:hAnsi="宋体"/>
          <w:b/>
          <w:bCs/>
          <w:color w:val="auto"/>
          <w:sz w:val="24"/>
          <w:highlight w:val="none"/>
          <w:shd w:val="clear" w:color="auto" w:fill="FFFFFF" w:themeFill="background1"/>
        </w:rPr>
        <w:br w:type="page"/>
      </w:r>
      <w:r>
        <w:rPr>
          <w:rFonts w:hint="eastAsia" w:ascii="宋体" w:hAnsi="宋体"/>
          <w:b/>
          <w:bCs/>
          <w:color w:val="auto"/>
          <w:sz w:val="24"/>
          <w:highlight w:val="none"/>
          <w:shd w:val="clear" w:color="auto" w:fill="FFFFFF" w:themeFill="background1"/>
        </w:rPr>
        <w:t>资格证明文件目录</w:t>
      </w:r>
    </w:p>
    <w:p w14:paraId="045C709D">
      <w:pPr>
        <w:snapToGrid w:val="0"/>
        <w:spacing w:line="360" w:lineRule="auto"/>
        <w:ind w:firstLine="420" w:firstLineChars="200"/>
        <w:jc w:val="left"/>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rPr>
        <w:t>根据招标文件规定及投标人提供的材料自行编写目录。</w:t>
      </w:r>
    </w:p>
    <w:p w14:paraId="6A4DC075">
      <w:pPr>
        <w:snapToGrid w:val="0"/>
        <w:spacing w:before="50" w:afterLines="50"/>
        <w:ind w:firstLine="482"/>
        <w:jc w:val="left"/>
        <w:rPr>
          <w:rFonts w:ascii="宋体" w:hAnsi="宋体"/>
          <w:color w:val="auto"/>
          <w:sz w:val="24"/>
          <w:highlight w:val="none"/>
          <w:shd w:val="clear" w:color="auto" w:fill="FFFFFF" w:themeFill="background1"/>
        </w:rPr>
      </w:pPr>
    </w:p>
    <w:p w14:paraId="6E3F3E77">
      <w:pPr>
        <w:snapToGrid w:val="0"/>
        <w:spacing w:before="50" w:afterLines="50"/>
        <w:ind w:firstLine="482"/>
        <w:jc w:val="left"/>
        <w:rPr>
          <w:rFonts w:ascii="宋体" w:hAnsi="宋体"/>
          <w:color w:val="auto"/>
          <w:sz w:val="24"/>
          <w:highlight w:val="none"/>
          <w:shd w:val="clear" w:color="auto" w:fill="FFFFFF" w:themeFill="background1"/>
        </w:rPr>
      </w:pPr>
    </w:p>
    <w:p w14:paraId="4C5DFA34">
      <w:pPr>
        <w:snapToGrid w:val="0"/>
        <w:spacing w:beforeLines="50" w:after="50"/>
        <w:ind w:firstLine="482"/>
        <w:jc w:val="left"/>
        <w:rPr>
          <w:rFonts w:ascii="宋体" w:hAnsi="宋体"/>
          <w:b/>
          <w:color w:val="auto"/>
          <w:sz w:val="24"/>
          <w:highlight w:val="none"/>
          <w:shd w:val="clear" w:color="auto" w:fill="FFFFFF" w:themeFill="background1"/>
        </w:rPr>
      </w:pPr>
      <w:r>
        <w:rPr>
          <w:rFonts w:ascii="宋体" w:hAnsi="宋体"/>
          <w:b/>
          <w:color w:val="auto"/>
          <w:sz w:val="24"/>
          <w:highlight w:val="none"/>
          <w:shd w:val="clear" w:color="auto" w:fill="FFFFFF" w:themeFill="background1"/>
        </w:rPr>
        <w:br w:type="page"/>
      </w:r>
      <w:r>
        <w:rPr>
          <w:rFonts w:hint="eastAsia" w:ascii="宋体" w:hAnsi="宋体"/>
          <w:b/>
          <w:color w:val="auto"/>
          <w:sz w:val="24"/>
          <w:highlight w:val="none"/>
          <w:shd w:val="clear" w:color="auto" w:fill="FFFFFF" w:themeFill="background1"/>
        </w:rPr>
        <w:t>3.</w:t>
      </w:r>
      <w:r>
        <w:rPr>
          <w:rFonts w:hint="eastAsia" w:ascii="宋体" w:hAnsi="宋体"/>
          <w:b/>
          <w:color w:val="auto"/>
          <w:sz w:val="28"/>
          <w:szCs w:val="28"/>
          <w:highlight w:val="none"/>
          <w:shd w:val="clear" w:color="auto" w:fill="FFFFFF" w:themeFill="background1"/>
        </w:rPr>
        <w:t>投标人直接控股股东信息表</w:t>
      </w:r>
    </w:p>
    <w:p w14:paraId="48FB2EDC">
      <w:pPr>
        <w:snapToGrid w:val="0"/>
        <w:spacing w:before="50" w:afterLines="50"/>
        <w:ind w:firstLine="560"/>
        <w:jc w:val="center"/>
        <w:rPr>
          <w:rFonts w:ascii="宋体" w:hAnsi="宋体"/>
          <w:b/>
          <w:color w:val="auto"/>
          <w:sz w:val="28"/>
          <w:szCs w:val="28"/>
          <w:highlight w:val="none"/>
          <w:shd w:val="clear" w:color="auto" w:fill="FFFFFF" w:themeFill="background1"/>
        </w:rPr>
      </w:pPr>
    </w:p>
    <w:p w14:paraId="5929A0FC">
      <w:pPr>
        <w:snapToGrid w:val="0"/>
        <w:spacing w:before="50" w:afterLines="50" w:line="360" w:lineRule="auto"/>
        <w:ind w:firstLine="643"/>
        <w:jc w:val="center"/>
        <w:rPr>
          <w:rFonts w:ascii="宋体" w:hAnsi="宋体"/>
          <w:b/>
          <w:color w:val="auto"/>
          <w:sz w:val="32"/>
          <w:szCs w:val="32"/>
          <w:highlight w:val="none"/>
          <w:shd w:val="clear" w:color="auto" w:fill="FFFFFF" w:themeFill="background1"/>
        </w:rPr>
      </w:pPr>
      <w:r>
        <w:rPr>
          <w:rFonts w:hint="eastAsia" w:ascii="宋体" w:hAnsi="宋体"/>
          <w:b/>
          <w:color w:val="auto"/>
          <w:sz w:val="32"/>
          <w:szCs w:val="32"/>
          <w:highlight w:val="none"/>
          <w:shd w:val="clear" w:color="auto" w:fill="FFFFFF" w:themeFill="background1"/>
        </w:rPr>
        <w:t>投标人直接控股股东信息表</w:t>
      </w:r>
    </w:p>
    <w:tbl>
      <w:tblPr>
        <w:tblStyle w:val="62"/>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909"/>
        <w:gridCol w:w="1231"/>
      </w:tblGrid>
      <w:tr w14:paraId="2FAD0EE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71268F">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45F409">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E163BD">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出资比例(%)</w:t>
            </w:r>
          </w:p>
        </w:tc>
        <w:tc>
          <w:tcPr>
            <w:tcW w:w="39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E251CB">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身份证号码或者统一社会信用代码</w:t>
            </w:r>
          </w:p>
        </w:tc>
        <w:tc>
          <w:tcPr>
            <w:tcW w:w="123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943007">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备注</w:t>
            </w:r>
          </w:p>
        </w:tc>
      </w:tr>
      <w:tr w14:paraId="6C32B95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8A0B9">
            <w:pPr>
              <w:spacing w:line="360" w:lineRule="auto"/>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873CF2">
            <w:pPr>
              <w:spacing w:line="360" w:lineRule="auto"/>
              <w:ind w:firstLine="482"/>
              <w:jc w:val="center"/>
              <w:rPr>
                <w:rFonts w:ascii="宋体" w:hAnsi="宋体" w:cs="宋体"/>
                <w:color w:val="auto"/>
                <w:kern w:val="0"/>
                <w:sz w:val="24"/>
                <w:highlight w:val="none"/>
                <w:shd w:val="clear" w:color="auto" w:fill="FFFFFF" w:themeFill="background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55A317">
            <w:pPr>
              <w:spacing w:line="360" w:lineRule="auto"/>
              <w:ind w:firstLine="482"/>
              <w:jc w:val="center"/>
              <w:rPr>
                <w:rFonts w:ascii="宋体" w:hAnsi="宋体" w:cs="宋体"/>
                <w:color w:val="auto"/>
                <w:kern w:val="0"/>
                <w:sz w:val="24"/>
                <w:highlight w:val="none"/>
                <w:shd w:val="clear" w:color="auto" w:fill="FFFFFF" w:themeFill="background1"/>
              </w:rPr>
            </w:pPr>
          </w:p>
        </w:tc>
        <w:tc>
          <w:tcPr>
            <w:tcW w:w="39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04E9E4">
            <w:pPr>
              <w:spacing w:line="360" w:lineRule="auto"/>
              <w:ind w:firstLine="482"/>
              <w:jc w:val="center"/>
              <w:rPr>
                <w:rFonts w:ascii="宋体" w:hAnsi="宋体" w:cs="宋体"/>
                <w:color w:val="auto"/>
                <w:kern w:val="0"/>
                <w:sz w:val="24"/>
                <w:highlight w:val="none"/>
                <w:shd w:val="clear" w:color="auto" w:fill="FFFFFF" w:themeFill="background1"/>
              </w:rPr>
            </w:pPr>
          </w:p>
        </w:tc>
        <w:tc>
          <w:tcPr>
            <w:tcW w:w="12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FF8EB7">
            <w:pPr>
              <w:spacing w:line="360" w:lineRule="auto"/>
              <w:ind w:firstLine="482"/>
              <w:jc w:val="center"/>
              <w:rPr>
                <w:rFonts w:ascii="宋体" w:hAnsi="宋体" w:cs="宋体"/>
                <w:color w:val="auto"/>
                <w:kern w:val="0"/>
                <w:sz w:val="24"/>
                <w:highlight w:val="none"/>
                <w:shd w:val="clear" w:color="auto" w:fill="FFFFFF" w:themeFill="background1"/>
              </w:rPr>
            </w:pPr>
          </w:p>
        </w:tc>
      </w:tr>
      <w:tr w14:paraId="5B7B650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71DFC1">
            <w:pPr>
              <w:spacing w:line="360" w:lineRule="auto"/>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A65A70">
            <w:pPr>
              <w:spacing w:line="360" w:lineRule="auto"/>
              <w:ind w:firstLine="482"/>
              <w:jc w:val="center"/>
              <w:rPr>
                <w:rFonts w:ascii="宋体" w:hAnsi="宋体" w:cs="宋体"/>
                <w:color w:val="auto"/>
                <w:kern w:val="0"/>
                <w:sz w:val="24"/>
                <w:highlight w:val="none"/>
                <w:shd w:val="clear" w:color="auto" w:fill="FFFFFF" w:themeFill="background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291D0D">
            <w:pPr>
              <w:spacing w:line="360" w:lineRule="auto"/>
              <w:ind w:firstLine="482"/>
              <w:jc w:val="center"/>
              <w:rPr>
                <w:rFonts w:ascii="宋体" w:hAnsi="宋体" w:cs="宋体"/>
                <w:color w:val="auto"/>
                <w:kern w:val="0"/>
                <w:sz w:val="24"/>
                <w:highlight w:val="none"/>
                <w:shd w:val="clear" w:color="auto" w:fill="FFFFFF" w:themeFill="background1"/>
              </w:rPr>
            </w:pPr>
          </w:p>
        </w:tc>
        <w:tc>
          <w:tcPr>
            <w:tcW w:w="39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2951A">
            <w:pPr>
              <w:spacing w:line="360" w:lineRule="auto"/>
              <w:ind w:firstLine="482"/>
              <w:jc w:val="center"/>
              <w:rPr>
                <w:rFonts w:ascii="宋体" w:hAnsi="宋体" w:cs="宋体"/>
                <w:color w:val="auto"/>
                <w:kern w:val="0"/>
                <w:sz w:val="24"/>
                <w:highlight w:val="none"/>
                <w:shd w:val="clear" w:color="auto" w:fill="FFFFFF" w:themeFill="background1"/>
              </w:rPr>
            </w:pPr>
          </w:p>
        </w:tc>
        <w:tc>
          <w:tcPr>
            <w:tcW w:w="12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E489A2">
            <w:pPr>
              <w:spacing w:line="360" w:lineRule="auto"/>
              <w:ind w:firstLine="482"/>
              <w:jc w:val="center"/>
              <w:rPr>
                <w:rFonts w:ascii="宋体" w:hAnsi="宋体" w:cs="宋体"/>
                <w:color w:val="auto"/>
                <w:kern w:val="0"/>
                <w:sz w:val="24"/>
                <w:highlight w:val="none"/>
                <w:shd w:val="clear" w:color="auto" w:fill="FFFFFF" w:themeFill="background1"/>
              </w:rPr>
            </w:pPr>
          </w:p>
        </w:tc>
      </w:tr>
      <w:tr w14:paraId="03874B9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E04FB8">
            <w:pPr>
              <w:spacing w:line="360" w:lineRule="auto"/>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7FC1D">
            <w:pPr>
              <w:spacing w:line="360" w:lineRule="auto"/>
              <w:ind w:firstLine="482"/>
              <w:jc w:val="center"/>
              <w:rPr>
                <w:rFonts w:ascii="宋体" w:hAnsi="宋体" w:cs="宋体"/>
                <w:color w:val="auto"/>
                <w:kern w:val="0"/>
                <w:sz w:val="24"/>
                <w:highlight w:val="none"/>
                <w:shd w:val="clear" w:color="auto" w:fill="FFFFFF" w:themeFill="background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9BE655">
            <w:pPr>
              <w:spacing w:line="360" w:lineRule="auto"/>
              <w:ind w:firstLine="482"/>
              <w:jc w:val="center"/>
              <w:rPr>
                <w:rFonts w:ascii="宋体" w:hAnsi="宋体" w:cs="宋体"/>
                <w:color w:val="auto"/>
                <w:kern w:val="0"/>
                <w:sz w:val="24"/>
                <w:highlight w:val="none"/>
                <w:shd w:val="clear" w:color="auto" w:fill="FFFFFF" w:themeFill="background1"/>
              </w:rPr>
            </w:pPr>
          </w:p>
        </w:tc>
        <w:tc>
          <w:tcPr>
            <w:tcW w:w="39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3B68E3">
            <w:pPr>
              <w:spacing w:line="360" w:lineRule="auto"/>
              <w:ind w:firstLine="482"/>
              <w:jc w:val="center"/>
              <w:rPr>
                <w:rFonts w:ascii="宋体" w:hAnsi="宋体" w:cs="宋体"/>
                <w:color w:val="auto"/>
                <w:kern w:val="0"/>
                <w:sz w:val="24"/>
                <w:highlight w:val="none"/>
                <w:shd w:val="clear" w:color="auto" w:fill="FFFFFF" w:themeFill="background1"/>
              </w:rPr>
            </w:pPr>
          </w:p>
        </w:tc>
        <w:tc>
          <w:tcPr>
            <w:tcW w:w="12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BF3F3">
            <w:pPr>
              <w:spacing w:line="360" w:lineRule="auto"/>
              <w:ind w:firstLine="482"/>
              <w:jc w:val="center"/>
              <w:rPr>
                <w:rFonts w:ascii="宋体" w:hAnsi="宋体" w:cs="宋体"/>
                <w:color w:val="auto"/>
                <w:kern w:val="0"/>
                <w:sz w:val="24"/>
                <w:highlight w:val="none"/>
                <w:shd w:val="clear" w:color="auto" w:fill="FFFFFF" w:themeFill="background1"/>
              </w:rPr>
            </w:pPr>
          </w:p>
        </w:tc>
      </w:tr>
      <w:tr w14:paraId="0D3DFA5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C9BA4A">
            <w:pPr>
              <w:spacing w:line="360" w:lineRule="auto"/>
              <w:jc w:val="both"/>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4202D">
            <w:pPr>
              <w:spacing w:line="360" w:lineRule="auto"/>
              <w:ind w:firstLine="482"/>
              <w:jc w:val="center"/>
              <w:rPr>
                <w:rFonts w:ascii="宋体" w:hAnsi="宋体" w:cs="宋体"/>
                <w:color w:val="auto"/>
                <w:kern w:val="0"/>
                <w:sz w:val="24"/>
                <w:highlight w:val="none"/>
                <w:shd w:val="clear" w:color="auto" w:fill="FFFFFF" w:themeFill="background1"/>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31BED">
            <w:pPr>
              <w:spacing w:line="360" w:lineRule="auto"/>
              <w:ind w:firstLine="482"/>
              <w:jc w:val="center"/>
              <w:rPr>
                <w:rFonts w:ascii="宋体" w:hAnsi="宋体" w:cs="宋体"/>
                <w:color w:val="auto"/>
                <w:kern w:val="0"/>
                <w:sz w:val="24"/>
                <w:highlight w:val="none"/>
                <w:shd w:val="clear" w:color="auto" w:fill="FFFFFF" w:themeFill="background1"/>
              </w:rPr>
            </w:pPr>
          </w:p>
        </w:tc>
        <w:tc>
          <w:tcPr>
            <w:tcW w:w="39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0C036E">
            <w:pPr>
              <w:spacing w:line="360" w:lineRule="auto"/>
              <w:ind w:firstLine="482"/>
              <w:jc w:val="center"/>
              <w:rPr>
                <w:rFonts w:ascii="宋体" w:hAnsi="宋体" w:cs="宋体"/>
                <w:color w:val="auto"/>
                <w:kern w:val="0"/>
                <w:sz w:val="24"/>
                <w:highlight w:val="none"/>
                <w:shd w:val="clear" w:color="auto" w:fill="FFFFFF" w:themeFill="background1"/>
              </w:rPr>
            </w:pPr>
          </w:p>
        </w:tc>
        <w:tc>
          <w:tcPr>
            <w:tcW w:w="12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574B6">
            <w:pPr>
              <w:spacing w:line="360" w:lineRule="auto"/>
              <w:ind w:firstLine="482"/>
              <w:jc w:val="center"/>
              <w:rPr>
                <w:rFonts w:ascii="宋体" w:hAnsi="宋体" w:cs="宋体"/>
                <w:color w:val="auto"/>
                <w:kern w:val="0"/>
                <w:sz w:val="24"/>
                <w:highlight w:val="none"/>
                <w:shd w:val="clear" w:color="auto" w:fill="FFFFFF" w:themeFill="background1"/>
              </w:rPr>
            </w:pPr>
          </w:p>
        </w:tc>
      </w:tr>
    </w:tbl>
    <w:p w14:paraId="7F33F779">
      <w:pPr>
        <w:snapToGrid w:val="0"/>
        <w:spacing w:line="360" w:lineRule="auto"/>
        <w:ind w:firstLine="482"/>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注：</w:t>
      </w:r>
    </w:p>
    <w:p w14:paraId="4FF91BCE">
      <w:pPr>
        <w:snapToGrid w:val="0"/>
        <w:spacing w:line="360" w:lineRule="auto"/>
        <w:ind w:firstLine="482"/>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9264CE">
      <w:pPr>
        <w:snapToGrid w:val="0"/>
        <w:spacing w:line="360" w:lineRule="auto"/>
        <w:ind w:firstLine="482"/>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2.本表所指的控股关系仅限于直接控股关系，不包括间接的控股关系。公司实际控制人与公司之间的关系不属于本表所指的直接控股关系。</w:t>
      </w:r>
    </w:p>
    <w:p w14:paraId="039F61AF">
      <w:pPr>
        <w:snapToGrid w:val="0"/>
        <w:spacing w:line="360" w:lineRule="auto"/>
        <w:ind w:firstLine="482"/>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3.供应商不存在直接控股股东的，则在“</w:t>
      </w:r>
      <w:r>
        <w:rPr>
          <w:rFonts w:hint="eastAsia" w:ascii="宋体" w:hAnsi="宋体" w:cs="宋体"/>
          <w:b/>
          <w:bCs/>
          <w:color w:val="auto"/>
          <w:kern w:val="0"/>
          <w:sz w:val="24"/>
          <w:highlight w:val="none"/>
          <w:shd w:val="clear" w:color="auto" w:fill="FFFFFF" w:themeFill="background1"/>
        </w:rPr>
        <w:t>直接控股股东名称</w:t>
      </w:r>
      <w:r>
        <w:rPr>
          <w:rFonts w:hint="eastAsia" w:ascii="宋体" w:hAnsi="宋体"/>
          <w:color w:val="auto"/>
          <w:sz w:val="24"/>
          <w:highlight w:val="none"/>
          <w:shd w:val="clear" w:color="auto" w:fill="FFFFFF" w:themeFill="background1"/>
        </w:rPr>
        <w:t>”中填“无”。</w:t>
      </w:r>
    </w:p>
    <w:p w14:paraId="5A5BD0C5">
      <w:pPr>
        <w:snapToGrid w:val="0"/>
        <w:spacing w:line="360" w:lineRule="auto"/>
        <w:ind w:firstLine="482"/>
        <w:jc w:val="left"/>
        <w:rPr>
          <w:rFonts w:ascii="宋体" w:hAnsi="宋体"/>
          <w:color w:val="auto"/>
          <w:sz w:val="24"/>
          <w:highlight w:val="none"/>
          <w:shd w:val="clear" w:color="auto" w:fill="FFFFFF" w:themeFill="background1"/>
        </w:rPr>
      </w:pPr>
    </w:p>
    <w:p w14:paraId="22CCBEB3">
      <w:pPr>
        <w:snapToGrid w:val="0"/>
        <w:spacing w:line="360" w:lineRule="auto"/>
        <w:ind w:firstLine="482"/>
        <w:jc w:val="left"/>
        <w:rPr>
          <w:rFonts w:ascii="宋体" w:hAnsi="宋体"/>
          <w:color w:val="auto"/>
          <w:sz w:val="24"/>
          <w:highlight w:val="none"/>
          <w:shd w:val="clear" w:color="auto" w:fill="FFFFFF" w:themeFill="background1"/>
        </w:rPr>
      </w:pPr>
    </w:p>
    <w:p w14:paraId="3158BB90">
      <w:pPr>
        <w:snapToGrid w:val="0"/>
        <w:spacing w:line="360" w:lineRule="auto"/>
        <w:ind w:firstLine="482"/>
        <w:jc w:val="left"/>
        <w:rPr>
          <w:rFonts w:ascii="宋体" w:hAnsi="宋体"/>
          <w:color w:val="auto"/>
          <w:sz w:val="24"/>
          <w:highlight w:val="none"/>
          <w:shd w:val="clear" w:color="auto" w:fill="FFFFFF" w:themeFill="background1"/>
        </w:rPr>
      </w:pPr>
    </w:p>
    <w:p w14:paraId="1A8DC066">
      <w:pPr>
        <w:snapToGrid w:val="0"/>
        <w:spacing w:line="360" w:lineRule="auto"/>
        <w:ind w:left="-2" w:leftChars="-1" w:right="-817" w:rightChars="-389"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法定代表人或者委托代理人（签字或者电子签名）：</w:t>
      </w:r>
    </w:p>
    <w:p w14:paraId="3DB17A9C">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投标人名称（电子签章）：</w:t>
      </w:r>
    </w:p>
    <w:p w14:paraId="0E92F4A9">
      <w:pPr>
        <w:snapToGrid w:val="0"/>
        <w:spacing w:line="360" w:lineRule="auto"/>
        <w:ind w:firstLine="482"/>
        <w:jc w:val="left"/>
        <w:rPr>
          <w:rFonts w:ascii="宋体" w:hAnsi="宋体"/>
          <w:color w:val="auto"/>
          <w:szCs w:val="21"/>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日期：    年   月   日</w:t>
      </w:r>
    </w:p>
    <w:p w14:paraId="75BE7883">
      <w:pPr>
        <w:snapToGrid w:val="0"/>
        <w:ind w:firstLine="560"/>
        <w:jc w:val="center"/>
        <w:rPr>
          <w:rFonts w:ascii="宋体" w:hAnsi="宋体"/>
          <w:b/>
          <w:color w:val="auto"/>
          <w:sz w:val="28"/>
          <w:szCs w:val="28"/>
          <w:highlight w:val="none"/>
          <w:shd w:val="clear" w:color="auto" w:fill="FFFFFF" w:themeFill="background1"/>
        </w:rPr>
      </w:pPr>
    </w:p>
    <w:p w14:paraId="306C1441">
      <w:pPr>
        <w:snapToGrid w:val="0"/>
        <w:spacing w:line="360" w:lineRule="auto"/>
        <w:ind w:firstLine="643"/>
        <w:jc w:val="left"/>
        <w:rPr>
          <w:rFonts w:ascii="宋体" w:hAnsi="宋体"/>
          <w:b/>
          <w:color w:val="auto"/>
          <w:sz w:val="32"/>
          <w:szCs w:val="32"/>
          <w:highlight w:val="none"/>
          <w:shd w:val="clear" w:color="auto" w:fill="FFFFFF" w:themeFill="background1"/>
        </w:rPr>
      </w:pPr>
      <w:r>
        <w:rPr>
          <w:rFonts w:hint="eastAsia" w:ascii="宋体" w:hAnsi="宋体"/>
          <w:b/>
          <w:color w:val="auto"/>
          <w:sz w:val="32"/>
          <w:szCs w:val="32"/>
          <w:highlight w:val="none"/>
          <w:shd w:val="clear" w:color="auto" w:fill="FFFFFF" w:themeFill="background1"/>
        </w:rPr>
        <w:br w:type="page"/>
      </w:r>
      <w:r>
        <w:rPr>
          <w:rFonts w:hint="eastAsia" w:ascii="宋体" w:hAnsi="宋体"/>
          <w:b/>
          <w:color w:val="auto"/>
          <w:sz w:val="24"/>
          <w:highlight w:val="none"/>
          <w:shd w:val="clear" w:color="auto" w:fill="FFFFFF" w:themeFill="background1"/>
        </w:rPr>
        <w:t>4.</w:t>
      </w:r>
      <w:r>
        <w:rPr>
          <w:rFonts w:hint="eastAsia" w:ascii="宋体" w:hAnsi="宋体"/>
          <w:b/>
          <w:color w:val="auto"/>
          <w:sz w:val="28"/>
          <w:szCs w:val="28"/>
          <w:highlight w:val="none"/>
          <w:shd w:val="clear" w:color="auto" w:fill="FFFFFF" w:themeFill="background1"/>
        </w:rPr>
        <w:t>投标人直接管理关系信息表</w:t>
      </w:r>
    </w:p>
    <w:p w14:paraId="10C12F60">
      <w:pPr>
        <w:snapToGrid w:val="0"/>
        <w:spacing w:line="360" w:lineRule="auto"/>
        <w:ind w:firstLine="643"/>
        <w:jc w:val="center"/>
        <w:rPr>
          <w:rFonts w:ascii="宋体" w:hAnsi="宋体"/>
          <w:color w:val="auto"/>
          <w:sz w:val="32"/>
          <w:szCs w:val="32"/>
          <w:highlight w:val="none"/>
          <w:shd w:val="clear" w:color="auto" w:fill="FFFFFF" w:themeFill="background1"/>
        </w:rPr>
      </w:pPr>
      <w:r>
        <w:rPr>
          <w:rFonts w:hint="eastAsia" w:ascii="宋体" w:hAnsi="宋体"/>
          <w:b/>
          <w:color w:val="auto"/>
          <w:sz w:val="32"/>
          <w:szCs w:val="32"/>
          <w:highlight w:val="none"/>
          <w:shd w:val="clear" w:color="auto" w:fill="FFFFFF" w:themeFill="background1"/>
        </w:rPr>
        <w:t>投标人直接管理关系信息表</w:t>
      </w:r>
    </w:p>
    <w:tbl>
      <w:tblPr>
        <w:tblStyle w:val="6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20B08E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41CB09">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0A61E8">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02F3EA">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79937D">
            <w:pPr>
              <w:spacing w:line="360" w:lineRule="auto"/>
              <w:ind w:firstLine="482"/>
              <w:jc w:val="center"/>
              <w:rPr>
                <w:rFonts w:ascii="宋体" w:hAnsi="宋体" w:cs="宋体"/>
                <w:b/>
                <w:bCs/>
                <w:color w:val="auto"/>
                <w:kern w:val="0"/>
                <w:sz w:val="24"/>
                <w:highlight w:val="none"/>
                <w:shd w:val="clear" w:color="auto" w:fill="FFFFFF" w:themeFill="background1"/>
              </w:rPr>
            </w:pPr>
            <w:r>
              <w:rPr>
                <w:rFonts w:hint="eastAsia" w:ascii="宋体" w:hAnsi="宋体" w:cs="宋体"/>
                <w:b/>
                <w:bCs/>
                <w:color w:val="auto"/>
                <w:kern w:val="0"/>
                <w:sz w:val="24"/>
                <w:highlight w:val="none"/>
                <w:shd w:val="clear" w:color="auto" w:fill="FFFFFF" w:themeFill="background1"/>
              </w:rPr>
              <w:t>备注</w:t>
            </w:r>
          </w:p>
        </w:tc>
      </w:tr>
      <w:tr w14:paraId="06767A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CF19B0">
            <w:pPr>
              <w:spacing w:line="360" w:lineRule="auto"/>
              <w:ind w:firstLine="482"/>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9815F">
            <w:pPr>
              <w:spacing w:line="360" w:lineRule="auto"/>
              <w:ind w:firstLine="482"/>
              <w:jc w:val="center"/>
              <w:rPr>
                <w:rFonts w:ascii="宋体" w:hAnsi="宋体" w:cs="宋体"/>
                <w:color w:val="auto"/>
                <w:kern w:val="0"/>
                <w:sz w:val="24"/>
                <w:highlight w:val="none"/>
                <w:shd w:val="clear" w:color="auto" w:fill="FFFFFF" w:themeFill="background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A5D2F7">
            <w:pPr>
              <w:spacing w:line="360" w:lineRule="auto"/>
              <w:ind w:firstLine="482"/>
              <w:jc w:val="center"/>
              <w:rPr>
                <w:rFonts w:ascii="宋体" w:hAnsi="宋体" w:cs="宋体"/>
                <w:color w:val="auto"/>
                <w:kern w:val="0"/>
                <w:sz w:val="24"/>
                <w:highlight w:val="none"/>
                <w:shd w:val="clear" w:color="auto" w:fill="FFFFFF" w:themeFill="background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CC097">
            <w:pPr>
              <w:spacing w:line="360" w:lineRule="auto"/>
              <w:ind w:firstLine="482"/>
              <w:jc w:val="center"/>
              <w:rPr>
                <w:rFonts w:ascii="宋体" w:hAnsi="宋体" w:cs="宋体"/>
                <w:color w:val="auto"/>
                <w:kern w:val="0"/>
                <w:sz w:val="24"/>
                <w:highlight w:val="none"/>
                <w:shd w:val="clear" w:color="auto" w:fill="FFFFFF" w:themeFill="background1"/>
              </w:rPr>
            </w:pPr>
          </w:p>
        </w:tc>
      </w:tr>
      <w:tr w14:paraId="1BB812B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A46889">
            <w:pPr>
              <w:spacing w:line="360" w:lineRule="auto"/>
              <w:ind w:firstLine="482"/>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8AFFA8">
            <w:pPr>
              <w:spacing w:line="360" w:lineRule="auto"/>
              <w:ind w:firstLine="482"/>
              <w:jc w:val="center"/>
              <w:rPr>
                <w:rFonts w:ascii="宋体" w:hAnsi="宋体" w:cs="宋体"/>
                <w:color w:val="auto"/>
                <w:kern w:val="0"/>
                <w:sz w:val="24"/>
                <w:highlight w:val="none"/>
                <w:shd w:val="clear" w:color="auto" w:fill="FFFFFF" w:themeFill="background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F02EA5">
            <w:pPr>
              <w:spacing w:line="360" w:lineRule="auto"/>
              <w:ind w:firstLine="482"/>
              <w:jc w:val="center"/>
              <w:rPr>
                <w:rFonts w:ascii="宋体" w:hAnsi="宋体" w:cs="宋体"/>
                <w:color w:val="auto"/>
                <w:kern w:val="0"/>
                <w:sz w:val="24"/>
                <w:highlight w:val="none"/>
                <w:shd w:val="clear" w:color="auto" w:fill="FFFFFF" w:themeFill="background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272D77">
            <w:pPr>
              <w:spacing w:line="360" w:lineRule="auto"/>
              <w:ind w:firstLine="482"/>
              <w:jc w:val="center"/>
              <w:rPr>
                <w:rFonts w:ascii="宋体" w:hAnsi="宋体" w:cs="宋体"/>
                <w:color w:val="auto"/>
                <w:kern w:val="0"/>
                <w:sz w:val="24"/>
                <w:highlight w:val="none"/>
                <w:shd w:val="clear" w:color="auto" w:fill="FFFFFF" w:themeFill="background1"/>
              </w:rPr>
            </w:pPr>
          </w:p>
        </w:tc>
      </w:tr>
      <w:tr w14:paraId="5FE09F7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0D6DF">
            <w:pPr>
              <w:spacing w:line="360" w:lineRule="auto"/>
              <w:ind w:firstLine="482"/>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81CE09">
            <w:pPr>
              <w:spacing w:line="360" w:lineRule="auto"/>
              <w:ind w:firstLine="482"/>
              <w:jc w:val="center"/>
              <w:rPr>
                <w:rFonts w:ascii="宋体" w:hAnsi="宋体" w:cs="宋体"/>
                <w:color w:val="auto"/>
                <w:kern w:val="0"/>
                <w:sz w:val="24"/>
                <w:highlight w:val="none"/>
                <w:shd w:val="clear" w:color="auto" w:fill="FFFFFF" w:themeFill="background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61EC50">
            <w:pPr>
              <w:spacing w:line="360" w:lineRule="auto"/>
              <w:ind w:firstLine="482"/>
              <w:jc w:val="center"/>
              <w:rPr>
                <w:rFonts w:ascii="宋体" w:hAnsi="宋体" w:cs="宋体"/>
                <w:color w:val="auto"/>
                <w:kern w:val="0"/>
                <w:sz w:val="24"/>
                <w:highlight w:val="none"/>
                <w:shd w:val="clear" w:color="auto" w:fill="FFFFFF" w:themeFill="background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612ECA">
            <w:pPr>
              <w:spacing w:line="360" w:lineRule="auto"/>
              <w:ind w:firstLine="482"/>
              <w:jc w:val="center"/>
              <w:rPr>
                <w:rFonts w:ascii="宋体" w:hAnsi="宋体" w:cs="宋体"/>
                <w:color w:val="auto"/>
                <w:kern w:val="0"/>
                <w:sz w:val="24"/>
                <w:highlight w:val="none"/>
                <w:shd w:val="clear" w:color="auto" w:fill="FFFFFF" w:themeFill="background1"/>
              </w:rPr>
            </w:pPr>
          </w:p>
        </w:tc>
      </w:tr>
      <w:tr w14:paraId="49792CD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2B675E">
            <w:pPr>
              <w:spacing w:line="360" w:lineRule="auto"/>
              <w:ind w:firstLine="482"/>
              <w:jc w:val="center"/>
              <w:rPr>
                <w:rFonts w:ascii="宋体" w:hAnsi="宋体" w:cs="宋体"/>
                <w:color w:val="auto"/>
                <w:kern w:val="0"/>
                <w:sz w:val="24"/>
                <w:highlight w:val="none"/>
                <w:shd w:val="clear" w:color="auto" w:fill="FFFFFF" w:themeFill="background1"/>
              </w:rPr>
            </w:pPr>
            <w:r>
              <w:rPr>
                <w:rFonts w:hint="eastAsia" w:ascii="宋体" w:hAnsi="宋体" w:cs="宋体"/>
                <w:color w:val="auto"/>
                <w:kern w:val="0"/>
                <w:sz w:val="24"/>
                <w:highlight w:val="none"/>
                <w:shd w:val="clear" w:color="auto" w:fill="FFFFFF" w:themeFill="background1"/>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16AE9">
            <w:pPr>
              <w:spacing w:line="360" w:lineRule="auto"/>
              <w:ind w:firstLine="482"/>
              <w:jc w:val="center"/>
              <w:rPr>
                <w:rFonts w:ascii="宋体" w:hAnsi="宋体" w:cs="宋体"/>
                <w:color w:val="auto"/>
                <w:kern w:val="0"/>
                <w:sz w:val="24"/>
                <w:highlight w:val="none"/>
                <w:shd w:val="clear" w:color="auto" w:fill="FFFFFF" w:themeFill="background1"/>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954FF1">
            <w:pPr>
              <w:spacing w:line="360" w:lineRule="auto"/>
              <w:ind w:firstLine="482"/>
              <w:jc w:val="center"/>
              <w:rPr>
                <w:rFonts w:ascii="宋体" w:hAnsi="宋体" w:cs="宋体"/>
                <w:color w:val="auto"/>
                <w:kern w:val="0"/>
                <w:sz w:val="24"/>
                <w:highlight w:val="none"/>
                <w:shd w:val="clear" w:color="auto" w:fill="FFFFFF" w:themeFill="background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4F473">
            <w:pPr>
              <w:spacing w:line="360" w:lineRule="auto"/>
              <w:ind w:firstLine="482"/>
              <w:jc w:val="center"/>
              <w:rPr>
                <w:rFonts w:ascii="宋体" w:hAnsi="宋体" w:cs="宋体"/>
                <w:color w:val="auto"/>
                <w:kern w:val="0"/>
                <w:sz w:val="24"/>
                <w:highlight w:val="none"/>
                <w:shd w:val="clear" w:color="auto" w:fill="FFFFFF" w:themeFill="background1"/>
              </w:rPr>
            </w:pPr>
          </w:p>
        </w:tc>
      </w:tr>
    </w:tbl>
    <w:p w14:paraId="37728380">
      <w:pPr>
        <w:snapToGrid w:val="0"/>
        <w:spacing w:line="360" w:lineRule="auto"/>
        <w:ind w:firstLine="482"/>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注：</w:t>
      </w:r>
    </w:p>
    <w:p w14:paraId="03A94097">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1.管理关系：是指不具有出资持股关系的其他单位之间存在的管理与被管理关系，如一些上下级关系的事业单位和团体组织。</w:t>
      </w:r>
    </w:p>
    <w:p w14:paraId="6C687529">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2.</w:t>
      </w:r>
      <w:r>
        <w:rPr>
          <w:rFonts w:hint="eastAsia" w:ascii="宋体" w:hAnsi="宋体"/>
          <w:color w:val="auto"/>
          <w:spacing w:val="-6"/>
          <w:sz w:val="24"/>
          <w:highlight w:val="none"/>
          <w:shd w:val="clear" w:color="auto" w:fill="FFFFFF" w:themeFill="background1"/>
        </w:rPr>
        <w:t>本表所指的管理关系仅限于直接管理关系，不包括间接的管理关系。</w:t>
      </w:r>
    </w:p>
    <w:p w14:paraId="71676885">
      <w:pPr>
        <w:snapToGrid w:val="0"/>
        <w:spacing w:line="360" w:lineRule="auto"/>
        <w:ind w:firstLine="480" w:firstLineChars="200"/>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3.供应商不存在直接管理关系的，则在“</w:t>
      </w:r>
      <w:r>
        <w:rPr>
          <w:rFonts w:hint="eastAsia" w:ascii="宋体" w:hAnsi="宋体" w:cs="宋体"/>
          <w:b/>
          <w:bCs/>
          <w:color w:val="auto"/>
          <w:kern w:val="0"/>
          <w:sz w:val="24"/>
          <w:highlight w:val="none"/>
          <w:shd w:val="clear" w:color="auto" w:fill="FFFFFF" w:themeFill="background1"/>
        </w:rPr>
        <w:t>直接管理关系单位名称</w:t>
      </w:r>
      <w:r>
        <w:rPr>
          <w:rFonts w:hint="eastAsia" w:ascii="宋体" w:hAnsi="宋体"/>
          <w:color w:val="auto"/>
          <w:sz w:val="24"/>
          <w:highlight w:val="none"/>
          <w:shd w:val="clear" w:color="auto" w:fill="FFFFFF" w:themeFill="background1"/>
        </w:rPr>
        <w:t>”中填“无”。</w:t>
      </w:r>
    </w:p>
    <w:p w14:paraId="2BABD01E">
      <w:pPr>
        <w:snapToGrid w:val="0"/>
        <w:spacing w:line="360" w:lineRule="auto"/>
        <w:ind w:firstLine="482"/>
        <w:jc w:val="left"/>
        <w:rPr>
          <w:rFonts w:ascii="宋体" w:hAnsi="宋体"/>
          <w:color w:val="auto"/>
          <w:sz w:val="24"/>
          <w:highlight w:val="none"/>
          <w:shd w:val="clear" w:color="auto" w:fill="FFFFFF" w:themeFill="background1"/>
        </w:rPr>
      </w:pPr>
    </w:p>
    <w:p w14:paraId="74F4E37B">
      <w:pPr>
        <w:snapToGrid w:val="0"/>
        <w:spacing w:line="360" w:lineRule="auto"/>
        <w:ind w:firstLine="482"/>
        <w:jc w:val="left"/>
        <w:rPr>
          <w:rFonts w:ascii="宋体" w:hAnsi="宋体"/>
          <w:color w:val="auto"/>
          <w:sz w:val="24"/>
          <w:highlight w:val="none"/>
          <w:shd w:val="clear" w:color="auto" w:fill="FFFFFF" w:themeFill="background1"/>
        </w:rPr>
      </w:pPr>
    </w:p>
    <w:p w14:paraId="46236F37">
      <w:pPr>
        <w:snapToGrid w:val="0"/>
        <w:spacing w:line="360" w:lineRule="auto"/>
        <w:ind w:firstLine="482"/>
        <w:jc w:val="left"/>
        <w:rPr>
          <w:rFonts w:ascii="宋体" w:hAnsi="宋体"/>
          <w:color w:val="auto"/>
          <w:sz w:val="24"/>
          <w:highlight w:val="none"/>
          <w:shd w:val="clear" w:color="auto" w:fill="FFFFFF" w:themeFill="background1"/>
        </w:rPr>
      </w:pPr>
    </w:p>
    <w:p w14:paraId="1088AC46">
      <w:pPr>
        <w:snapToGrid w:val="0"/>
        <w:spacing w:line="360" w:lineRule="auto"/>
        <w:ind w:firstLine="482"/>
        <w:jc w:val="left"/>
        <w:rPr>
          <w:color w:val="auto"/>
          <w:sz w:val="24"/>
          <w:highlight w:val="none"/>
          <w:shd w:val="clear" w:color="auto" w:fill="FFFFFF" w:themeFill="background1"/>
        </w:rPr>
      </w:pPr>
    </w:p>
    <w:p w14:paraId="33F7750C">
      <w:pPr>
        <w:snapToGrid w:val="0"/>
        <w:spacing w:line="360" w:lineRule="auto"/>
        <w:ind w:left="-2" w:leftChars="-1" w:right="-817" w:rightChars="-389"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法定代表人或者委托代理人（签字或者电子签名）：</w:t>
      </w:r>
    </w:p>
    <w:p w14:paraId="0538E824">
      <w:pPr>
        <w:snapToGrid w:val="0"/>
        <w:spacing w:line="360" w:lineRule="auto"/>
        <w:ind w:left="-3" w:leftChars="-15" w:right="-817" w:rightChars="-389" w:hanging="28" w:hangingChars="1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投标人名称（电子签章）：</w:t>
      </w:r>
    </w:p>
    <w:p w14:paraId="7E628E25">
      <w:pPr>
        <w:snapToGrid w:val="0"/>
        <w:spacing w:line="360" w:lineRule="auto"/>
        <w:ind w:right="480" w:firstLine="240" w:firstLineChars="100"/>
        <w:jc w:val="left"/>
        <w:rPr>
          <w:rFonts w:ascii="宋体" w:hAnsi="宋体"/>
          <w:color w:val="auto"/>
          <w:szCs w:val="21"/>
          <w:highlight w:val="none"/>
          <w:shd w:val="clear" w:color="auto" w:fill="FFFFFF" w:themeFill="background1"/>
        </w:rPr>
      </w:pPr>
      <w:r>
        <w:rPr>
          <w:rFonts w:hint="eastAsia" w:ascii="宋体" w:hAnsi="宋体"/>
          <w:color w:val="auto"/>
          <w:sz w:val="24"/>
          <w:highlight w:val="none"/>
          <w:shd w:val="clear" w:color="auto" w:fill="FFFFFF" w:themeFill="background1"/>
        </w:rPr>
        <w:t xml:space="preserve">                                日期：    年   月   日</w:t>
      </w:r>
    </w:p>
    <w:p w14:paraId="392F8517">
      <w:pPr>
        <w:snapToGrid w:val="0"/>
        <w:spacing w:beforeLines="50" w:after="50"/>
        <w:ind w:firstLine="482"/>
        <w:jc w:val="left"/>
        <w:rPr>
          <w:rFonts w:ascii="宋体" w:hAnsi="宋体"/>
          <w:color w:val="auto"/>
          <w:sz w:val="24"/>
          <w:highlight w:val="none"/>
          <w:shd w:val="clear" w:color="auto" w:fill="FFFFFF" w:themeFill="background1"/>
        </w:rPr>
      </w:pPr>
    </w:p>
    <w:p w14:paraId="3A34D1FA">
      <w:pPr>
        <w:snapToGrid w:val="0"/>
        <w:spacing w:before="50" w:afterLines="50"/>
        <w:ind w:firstLine="422"/>
        <w:jc w:val="left"/>
        <w:rPr>
          <w:rFonts w:ascii="宋体" w:hAnsi="宋体"/>
          <w:color w:val="auto"/>
          <w:szCs w:val="21"/>
          <w:highlight w:val="none"/>
          <w:shd w:val="clear" w:color="auto" w:fill="FFFFFF" w:themeFill="background1"/>
        </w:rPr>
      </w:pPr>
    </w:p>
    <w:p w14:paraId="25CA1656">
      <w:pPr>
        <w:snapToGrid w:val="0"/>
        <w:spacing w:beforeLines="50" w:after="50"/>
        <w:ind w:firstLine="480"/>
        <w:jc w:val="left"/>
        <w:rPr>
          <w:rFonts w:ascii="宋体" w:hAnsi="宋体"/>
          <w:b/>
          <w:color w:val="auto"/>
          <w:sz w:val="24"/>
          <w:szCs w:val="20"/>
          <w:highlight w:val="none"/>
          <w:shd w:val="clear" w:color="auto" w:fill="FFFFFF" w:themeFill="background1"/>
        </w:rPr>
      </w:pPr>
    </w:p>
    <w:p w14:paraId="363535EC">
      <w:pPr>
        <w:snapToGrid w:val="0"/>
        <w:spacing w:beforeLines="50" w:after="50"/>
        <w:ind w:left="142" w:firstLine="480"/>
        <w:jc w:val="left"/>
        <w:rPr>
          <w:rFonts w:ascii="宋体" w:hAnsi="宋体"/>
          <w:b/>
          <w:color w:val="auto"/>
          <w:sz w:val="24"/>
          <w:highlight w:val="none"/>
          <w:shd w:val="clear" w:color="auto" w:fill="FFFFFF" w:themeFill="background1"/>
        </w:rPr>
      </w:pPr>
    </w:p>
    <w:p w14:paraId="37AB5913">
      <w:pPr>
        <w:snapToGrid w:val="0"/>
        <w:spacing w:beforeLines="50" w:after="50"/>
        <w:ind w:left="142" w:firstLine="480"/>
        <w:jc w:val="left"/>
        <w:rPr>
          <w:rFonts w:ascii="宋体" w:hAnsi="宋体"/>
          <w:b/>
          <w:color w:val="auto"/>
          <w:sz w:val="24"/>
          <w:highlight w:val="none"/>
          <w:shd w:val="clear" w:color="auto" w:fill="FFFFFF" w:themeFill="background1"/>
        </w:rPr>
      </w:pPr>
    </w:p>
    <w:p w14:paraId="4AF611C3">
      <w:pPr>
        <w:snapToGrid w:val="0"/>
        <w:spacing w:beforeLines="50" w:after="50"/>
        <w:ind w:left="142" w:firstLine="480"/>
        <w:jc w:val="left"/>
        <w:rPr>
          <w:rFonts w:ascii="宋体" w:hAnsi="宋体"/>
          <w:b/>
          <w:color w:val="auto"/>
          <w:sz w:val="24"/>
          <w:highlight w:val="none"/>
          <w:shd w:val="clear" w:color="auto" w:fill="FFFFFF" w:themeFill="background1"/>
        </w:rPr>
      </w:pPr>
    </w:p>
    <w:p w14:paraId="03DBFB2B">
      <w:pPr>
        <w:snapToGrid w:val="0"/>
        <w:spacing w:beforeLines="50" w:after="50"/>
        <w:ind w:left="142" w:firstLine="480"/>
        <w:jc w:val="left"/>
        <w:rPr>
          <w:rFonts w:ascii="宋体" w:hAnsi="宋体"/>
          <w:b/>
          <w:color w:val="auto"/>
          <w:sz w:val="24"/>
          <w:highlight w:val="none"/>
          <w:shd w:val="clear" w:color="auto" w:fill="FFFFFF" w:themeFill="background1"/>
        </w:rPr>
      </w:pPr>
    </w:p>
    <w:p w14:paraId="179C6DE7">
      <w:pPr>
        <w:pStyle w:val="44"/>
        <w:ind w:firstLine="422"/>
        <w:rPr>
          <w:color w:val="auto"/>
          <w:highlight w:val="none"/>
          <w:shd w:val="clear" w:color="auto" w:fill="FFFFFF" w:themeFill="background1"/>
        </w:rPr>
      </w:pPr>
    </w:p>
    <w:p w14:paraId="6838FBDC">
      <w:pPr>
        <w:snapToGrid w:val="0"/>
        <w:spacing w:beforeLines="50" w:after="50"/>
        <w:ind w:left="142" w:firstLine="482"/>
        <w:jc w:val="left"/>
        <w:rPr>
          <w:rFonts w:ascii="宋体" w:hAnsi="宋体"/>
          <w:b/>
          <w:color w:val="auto"/>
          <w:sz w:val="24"/>
          <w:szCs w:val="20"/>
          <w:highlight w:val="none"/>
        </w:rPr>
      </w:pPr>
      <w:r>
        <w:rPr>
          <w:rFonts w:hint="eastAsia" w:ascii="宋体" w:hAnsi="宋体"/>
          <w:b/>
          <w:color w:val="auto"/>
          <w:sz w:val="24"/>
          <w:highlight w:val="none"/>
        </w:rPr>
        <w:t>5.投标声明</w:t>
      </w:r>
    </w:p>
    <w:p w14:paraId="2717605B">
      <w:pPr>
        <w:snapToGrid w:val="0"/>
        <w:spacing w:before="50" w:afterLines="50"/>
        <w:ind w:firstLine="422"/>
        <w:jc w:val="left"/>
        <w:rPr>
          <w:rFonts w:ascii="宋体" w:hAnsi="宋体"/>
          <w:color w:val="auto"/>
          <w:highlight w:val="none"/>
        </w:rPr>
      </w:pPr>
    </w:p>
    <w:p w14:paraId="0297901D">
      <w:pPr>
        <w:snapToGrid w:val="0"/>
        <w:spacing w:before="50" w:afterLines="50"/>
        <w:ind w:firstLine="643"/>
        <w:jc w:val="center"/>
        <w:rPr>
          <w:rFonts w:ascii="宋体" w:hAnsi="宋体"/>
          <w:b/>
          <w:color w:val="auto"/>
          <w:sz w:val="32"/>
          <w:szCs w:val="32"/>
          <w:highlight w:val="none"/>
        </w:rPr>
      </w:pPr>
      <w:r>
        <w:rPr>
          <w:rFonts w:hint="eastAsia" w:ascii="宋体" w:hAnsi="宋体"/>
          <w:b/>
          <w:color w:val="auto"/>
          <w:sz w:val="32"/>
          <w:szCs w:val="32"/>
          <w:highlight w:val="none"/>
        </w:rPr>
        <w:t>投标声明</w:t>
      </w:r>
    </w:p>
    <w:p w14:paraId="23D8170A">
      <w:pPr>
        <w:spacing w:line="400" w:lineRule="exact"/>
        <w:ind w:firstLine="482"/>
        <w:jc w:val="left"/>
        <w:rPr>
          <w:color w:val="auto"/>
          <w:sz w:val="24"/>
          <w:highlight w:val="none"/>
        </w:rPr>
      </w:pPr>
      <w:r>
        <w:rPr>
          <w:rFonts w:hint="eastAsia"/>
          <w:color w:val="auto"/>
          <w:sz w:val="24"/>
          <w:highlight w:val="none"/>
        </w:rPr>
        <w:t>（采购人名称）：</w:t>
      </w:r>
    </w:p>
    <w:p w14:paraId="12348B80">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7A707A94">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89BC2D8">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0B332726">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2A2182B9">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1F8E34BA">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437C08AD">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04DC1134">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2993F0EB">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1C1157AC">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7DAA1A93">
      <w:pPr>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2E87755B">
      <w:pPr>
        <w:spacing w:line="400" w:lineRule="exact"/>
        <w:ind w:firstLine="482"/>
        <w:jc w:val="left"/>
        <w:rPr>
          <w:rFonts w:ascii="宋体" w:hAnsi="宋体"/>
          <w:color w:val="auto"/>
          <w:sz w:val="24"/>
          <w:highlight w:val="none"/>
        </w:rPr>
      </w:pPr>
      <w:r>
        <w:rPr>
          <w:rFonts w:hint="eastAsia" w:ascii="宋体" w:hAnsi="宋体"/>
          <w:color w:val="auto"/>
          <w:sz w:val="24"/>
          <w:highlight w:val="none"/>
        </w:rPr>
        <w:t xml:space="preserve">    特此承诺。</w:t>
      </w:r>
    </w:p>
    <w:p w14:paraId="1FEE0F72">
      <w:pPr>
        <w:spacing w:line="400" w:lineRule="exact"/>
        <w:contextualSpacing/>
        <w:jc w:val="left"/>
        <w:rPr>
          <w:rFonts w:hint="eastAsia" w:ascii="宋体" w:hAnsi="宋体"/>
          <w:b/>
          <w:color w:val="auto"/>
          <w:sz w:val="24"/>
          <w:highlight w:val="none"/>
        </w:rPr>
      </w:pPr>
    </w:p>
    <w:p w14:paraId="7D95D693">
      <w:pPr>
        <w:spacing w:line="400" w:lineRule="exact"/>
        <w:ind w:firstLine="1687" w:firstLineChars="700"/>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2D79FEBA">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2E799AE8">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6D75C30C">
      <w:pPr>
        <w:spacing w:line="400" w:lineRule="exact"/>
        <w:ind w:firstLine="482"/>
        <w:jc w:val="left"/>
        <w:rPr>
          <w:rFonts w:ascii="宋体" w:hAnsi="宋体"/>
          <w:color w:val="auto"/>
          <w:highlight w:val="none"/>
        </w:rPr>
      </w:pPr>
    </w:p>
    <w:p w14:paraId="06E81C39">
      <w:pPr>
        <w:spacing w:line="440" w:lineRule="exact"/>
        <w:ind w:firstLine="482"/>
        <w:rPr>
          <w:rFonts w:ascii="宋体" w:hAnsi="宋体"/>
          <w:b/>
          <w:color w:val="auto"/>
          <w:sz w:val="24"/>
          <w:highlight w:val="none"/>
        </w:rPr>
      </w:pPr>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14:paraId="1C213941">
      <w:pPr>
        <w:snapToGrid w:val="0"/>
        <w:spacing w:beforeLines="50" w:after="50"/>
        <w:ind w:firstLine="482"/>
        <w:jc w:val="left"/>
        <w:rPr>
          <w:rFonts w:ascii="宋体" w:hAnsi="宋体"/>
          <w:color w:val="auto"/>
          <w:sz w:val="24"/>
          <w:highlight w:val="none"/>
        </w:rPr>
      </w:pPr>
    </w:p>
    <w:p w14:paraId="109CFD57">
      <w:pPr>
        <w:spacing w:line="400" w:lineRule="exact"/>
        <w:ind w:firstLine="482"/>
        <w:contextualSpacing/>
        <w:jc w:val="left"/>
        <w:rPr>
          <w:rFonts w:ascii="宋体" w:hAnsi="宋体"/>
          <w:color w:val="auto"/>
          <w:sz w:val="24"/>
          <w:highlight w:val="none"/>
          <w:shd w:val="clear" w:color="auto" w:fill="FFFFFF" w:themeFill="background1"/>
        </w:rPr>
      </w:pPr>
    </w:p>
    <w:p w14:paraId="39388294">
      <w:pPr>
        <w:ind w:firstLine="562"/>
        <w:rPr>
          <w:b/>
          <w:color w:val="auto"/>
          <w:sz w:val="28"/>
          <w:szCs w:val="28"/>
          <w:highlight w:val="none"/>
          <w:shd w:val="clear" w:color="auto" w:fill="FFFFFF" w:themeFill="background1"/>
        </w:rPr>
      </w:pPr>
      <w:bookmarkStart w:id="353" w:name="_Toc19686838"/>
      <w:r>
        <w:rPr>
          <w:rFonts w:hint="eastAsia"/>
          <w:b/>
          <w:color w:val="auto"/>
          <w:sz w:val="28"/>
          <w:szCs w:val="28"/>
          <w:highlight w:val="none"/>
          <w:shd w:val="clear" w:color="auto" w:fill="FFFFFF" w:themeFill="background1"/>
        </w:rPr>
        <w:t>三、商务技术文件格式</w:t>
      </w:r>
      <w:bookmarkEnd w:id="353"/>
    </w:p>
    <w:p w14:paraId="157EDC23">
      <w:pPr>
        <w:snapToGrid w:val="0"/>
        <w:spacing w:beforeLines="50" w:after="50" w:line="360" w:lineRule="auto"/>
        <w:ind w:firstLine="482"/>
        <w:jc w:val="left"/>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t xml:space="preserve">1.商务技术文件封面格式： </w:t>
      </w:r>
    </w:p>
    <w:p w14:paraId="5E7A2307">
      <w:pPr>
        <w:snapToGrid w:val="0"/>
        <w:spacing w:beforeLines="50" w:after="50"/>
        <w:ind w:firstLine="964"/>
        <w:jc w:val="center"/>
        <w:rPr>
          <w:rFonts w:ascii="宋体" w:hAnsi="宋体"/>
          <w:color w:val="auto"/>
          <w:sz w:val="24"/>
          <w:highlight w:val="none"/>
          <w:shd w:val="clear" w:color="auto" w:fill="FFFFFF" w:themeFill="background1"/>
        </w:rPr>
      </w:pPr>
      <w:r>
        <w:rPr>
          <w:rFonts w:hint="eastAsia" w:ascii="宋体" w:hAnsi="宋体" w:eastAsia="方正小标宋简体"/>
          <w:bCs/>
          <w:color w:val="auto"/>
          <w:sz w:val="48"/>
          <w:szCs w:val="48"/>
          <w:highlight w:val="none"/>
          <w:shd w:val="clear" w:color="auto" w:fill="FFFFFF" w:themeFill="background1"/>
        </w:rPr>
        <w:t>电子投标文件</w:t>
      </w:r>
    </w:p>
    <w:p w14:paraId="6EA4790F">
      <w:pPr>
        <w:snapToGrid w:val="0"/>
        <w:spacing w:beforeLines="50" w:after="50"/>
        <w:ind w:firstLine="482"/>
        <w:rPr>
          <w:rFonts w:ascii="宋体" w:hAnsi="宋体"/>
          <w:color w:val="auto"/>
          <w:sz w:val="24"/>
          <w:szCs w:val="20"/>
          <w:highlight w:val="none"/>
          <w:shd w:val="clear" w:color="auto" w:fill="FFFFFF" w:themeFill="background1"/>
        </w:rPr>
      </w:pPr>
    </w:p>
    <w:p w14:paraId="33667613">
      <w:pPr>
        <w:snapToGrid w:val="0"/>
        <w:spacing w:beforeLines="50" w:after="50"/>
        <w:ind w:firstLine="643"/>
        <w:jc w:val="center"/>
        <w:rPr>
          <w:rFonts w:ascii="宋体" w:hAnsi="宋体"/>
          <w:b/>
          <w:color w:val="auto"/>
          <w:sz w:val="24"/>
          <w:szCs w:val="20"/>
          <w:highlight w:val="none"/>
          <w:shd w:val="clear" w:color="auto" w:fill="FFFFFF" w:themeFill="background1"/>
        </w:rPr>
      </w:pPr>
      <w:r>
        <w:rPr>
          <w:rFonts w:hint="eastAsia" w:ascii="宋体" w:hAnsi="宋体"/>
          <w:b/>
          <w:color w:val="auto"/>
          <w:sz w:val="32"/>
          <w:szCs w:val="32"/>
          <w:highlight w:val="none"/>
          <w:shd w:val="clear" w:color="auto" w:fill="FFFFFF" w:themeFill="background1"/>
        </w:rPr>
        <w:t>商务技术文件</w:t>
      </w:r>
    </w:p>
    <w:p w14:paraId="500B741B">
      <w:pPr>
        <w:snapToGrid w:val="0"/>
        <w:spacing w:beforeLines="50" w:after="50"/>
        <w:ind w:firstLine="482"/>
        <w:rPr>
          <w:rFonts w:ascii="宋体" w:hAnsi="宋体"/>
          <w:bCs/>
          <w:color w:val="auto"/>
          <w:sz w:val="24"/>
          <w:szCs w:val="20"/>
          <w:highlight w:val="none"/>
          <w:shd w:val="clear" w:color="auto" w:fill="FFFFFF" w:themeFill="background1"/>
        </w:rPr>
      </w:pPr>
    </w:p>
    <w:p w14:paraId="2801DD7A">
      <w:pPr>
        <w:snapToGrid w:val="0"/>
        <w:spacing w:beforeLines="50" w:after="50"/>
        <w:ind w:firstLine="540" w:firstLineChars="225"/>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项目名称：</w:t>
      </w:r>
    </w:p>
    <w:p w14:paraId="4BC2EA34">
      <w:pPr>
        <w:snapToGrid w:val="0"/>
        <w:spacing w:beforeLines="50" w:after="50"/>
        <w:ind w:firstLine="540" w:firstLineChars="225"/>
        <w:rPr>
          <w:rFonts w:ascii="宋体" w:hAnsi="宋体"/>
          <w:bCs/>
          <w:color w:val="auto"/>
          <w:sz w:val="24"/>
          <w:szCs w:val="20"/>
          <w:highlight w:val="none"/>
          <w:shd w:val="clear" w:color="auto" w:fill="FFFFFF" w:themeFill="background1"/>
        </w:rPr>
      </w:pPr>
    </w:p>
    <w:p w14:paraId="2BD6FB57">
      <w:pPr>
        <w:snapToGrid w:val="0"/>
        <w:spacing w:beforeLines="50" w:after="50"/>
        <w:ind w:firstLine="540" w:firstLineChars="225"/>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项目编号：</w:t>
      </w:r>
    </w:p>
    <w:p w14:paraId="05C2B8E7">
      <w:pPr>
        <w:snapToGrid w:val="0"/>
        <w:spacing w:beforeLines="50" w:after="50"/>
        <w:ind w:firstLine="540" w:firstLineChars="225"/>
        <w:rPr>
          <w:rFonts w:ascii="宋体" w:hAnsi="宋体"/>
          <w:bCs/>
          <w:color w:val="auto"/>
          <w:sz w:val="24"/>
          <w:szCs w:val="20"/>
          <w:highlight w:val="none"/>
          <w:shd w:val="clear" w:color="auto" w:fill="FFFFFF" w:themeFill="background1"/>
        </w:rPr>
      </w:pPr>
    </w:p>
    <w:p w14:paraId="37F1591E">
      <w:pPr>
        <w:snapToGrid w:val="0"/>
        <w:spacing w:beforeLines="50" w:after="50"/>
        <w:ind w:firstLine="540" w:firstLineChars="225"/>
        <w:rPr>
          <w:rFonts w:ascii="宋体" w:hAnsi="宋体"/>
          <w:bCs/>
          <w:color w:val="auto"/>
          <w:sz w:val="24"/>
          <w:highlight w:val="none"/>
          <w:shd w:val="clear" w:color="auto" w:fill="FFFFFF" w:themeFill="background1"/>
        </w:rPr>
      </w:pPr>
      <w:r>
        <w:rPr>
          <w:rFonts w:hint="eastAsia" w:ascii="宋体" w:hAnsi="宋体"/>
          <w:bCs/>
          <w:color w:val="auto"/>
          <w:sz w:val="24"/>
          <w:highlight w:val="none"/>
          <w:shd w:val="clear" w:color="auto" w:fill="FFFFFF" w:themeFill="background1"/>
        </w:rPr>
        <w:t>所投分标：/</w:t>
      </w:r>
    </w:p>
    <w:p w14:paraId="4DF61FB4">
      <w:pPr>
        <w:snapToGrid w:val="0"/>
        <w:spacing w:beforeLines="50" w:after="50"/>
        <w:ind w:firstLine="540" w:firstLineChars="225"/>
        <w:rPr>
          <w:rFonts w:ascii="宋体" w:hAnsi="宋体"/>
          <w:bCs/>
          <w:color w:val="auto"/>
          <w:sz w:val="24"/>
          <w:szCs w:val="20"/>
          <w:highlight w:val="none"/>
          <w:shd w:val="clear" w:color="auto" w:fill="FFFFFF" w:themeFill="background1"/>
        </w:rPr>
      </w:pPr>
    </w:p>
    <w:p w14:paraId="31B6AC00">
      <w:pPr>
        <w:pStyle w:val="8"/>
        <w:snapToGrid w:val="0"/>
        <w:spacing w:before="50" w:after="50"/>
        <w:ind w:firstLine="540" w:firstLineChars="225"/>
        <w:rPr>
          <w:rFonts w:ascii="宋体" w:hAnsi="宋体"/>
          <w:bCs/>
          <w:color w:val="auto"/>
          <w:sz w:val="24"/>
          <w:szCs w:val="24"/>
          <w:highlight w:val="none"/>
          <w:shd w:val="clear" w:color="auto" w:fill="FFFFFF" w:themeFill="background1"/>
        </w:rPr>
      </w:pPr>
      <w:r>
        <w:rPr>
          <w:rFonts w:hint="eastAsia" w:ascii="宋体" w:hAnsi="宋体"/>
          <w:bCs/>
          <w:color w:val="auto"/>
          <w:sz w:val="24"/>
          <w:szCs w:val="24"/>
          <w:highlight w:val="none"/>
          <w:shd w:val="clear" w:color="auto" w:fill="FFFFFF" w:themeFill="background1"/>
        </w:rPr>
        <w:t>投标人名称：</w:t>
      </w:r>
    </w:p>
    <w:p w14:paraId="0A292924">
      <w:pPr>
        <w:pStyle w:val="8"/>
        <w:snapToGrid w:val="0"/>
        <w:spacing w:before="50" w:after="50"/>
        <w:ind w:firstLine="540" w:firstLineChars="225"/>
        <w:rPr>
          <w:rFonts w:ascii="宋体" w:hAnsi="宋体"/>
          <w:bCs/>
          <w:color w:val="auto"/>
          <w:sz w:val="24"/>
          <w:szCs w:val="24"/>
          <w:highlight w:val="none"/>
          <w:shd w:val="clear" w:color="auto" w:fill="FFFFFF" w:themeFill="background1"/>
        </w:rPr>
      </w:pPr>
    </w:p>
    <w:p w14:paraId="368E2DCD">
      <w:pPr>
        <w:pStyle w:val="8"/>
        <w:snapToGrid w:val="0"/>
        <w:spacing w:before="50" w:after="50"/>
        <w:ind w:firstLine="540" w:firstLineChars="225"/>
        <w:rPr>
          <w:rFonts w:ascii="宋体" w:hAnsi="宋体"/>
          <w:bCs/>
          <w:color w:val="auto"/>
          <w:sz w:val="24"/>
          <w:szCs w:val="24"/>
          <w:highlight w:val="none"/>
          <w:shd w:val="clear" w:color="auto" w:fill="FFFFFF" w:themeFill="background1"/>
        </w:rPr>
      </w:pPr>
      <w:r>
        <w:rPr>
          <w:rFonts w:hint="eastAsia" w:ascii="宋体" w:hAnsi="宋体"/>
          <w:bCs/>
          <w:color w:val="auto"/>
          <w:sz w:val="24"/>
          <w:szCs w:val="24"/>
          <w:highlight w:val="none"/>
          <w:shd w:val="clear" w:color="auto" w:fill="FFFFFF" w:themeFill="background1"/>
        </w:rPr>
        <w:t>投标人地址：</w:t>
      </w:r>
    </w:p>
    <w:p w14:paraId="10E29FDA">
      <w:pPr>
        <w:pStyle w:val="8"/>
        <w:snapToGrid w:val="0"/>
        <w:spacing w:before="50" w:after="50"/>
        <w:ind w:firstLine="960" w:firstLineChars="400"/>
        <w:rPr>
          <w:rFonts w:ascii="宋体" w:hAnsi="宋体"/>
          <w:bCs/>
          <w:color w:val="auto"/>
          <w:sz w:val="24"/>
          <w:szCs w:val="24"/>
          <w:highlight w:val="none"/>
          <w:shd w:val="clear" w:color="auto" w:fill="FFFFFF" w:themeFill="background1"/>
        </w:rPr>
      </w:pPr>
    </w:p>
    <w:p w14:paraId="4349C4E0">
      <w:pPr>
        <w:snapToGrid w:val="0"/>
        <w:spacing w:beforeLines="50" w:after="50"/>
        <w:ind w:firstLine="482"/>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                        年  月  日</w:t>
      </w:r>
    </w:p>
    <w:p w14:paraId="02D8AB89">
      <w:pPr>
        <w:snapToGrid w:val="0"/>
        <w:spacing w:beforeLines="50" w:after="50"/>
        <w:ind w:firstLine="482"/>
        <w:rPr>
          <w:rFonts w:ascii="宋体" w:hAnsi="宋体"/>
          <w:color w:val="auto"/>
          <w:sz w:val="24"/>
          <w:szCs w:val="20"/>
          <w:highlight w:val="none"/>
          <w:shd w:val="clear" w:color="auto" w:fill="FFFFFF" w:themeFill="background1"/>
        </w:rPr>
      </w:pPr>
    </w:p>
    <w:p w14:paraId="66F65562">
      <w:pPr>
        <w:snapToGrid w:val="0"/>
        <w:spacing w:line="360" w:lineRule="auto"/>
        <w:ind w:firstLine="482"/>
        <w:jc w:val="left"/>
        <w:rPr>
          <w:rFonts w:ascii="宋体" w:hAnsi="宋体"/>
          <w:b/>
          <w:bCs/>
          <w:color w:val="auto"/>
          <w:sz w:val="28"/>
          <w:szCs w:val="28"/>
          <w:highlight w:val="none"/>
          <w:shd w:val="clear" w:color="auto" w:fill="FFFFFF" w:themeFill="background1"/>
        </w:rPr>
      </w:pPr>
      <w:r>
        <w:rPr>
          <w:rFonts w:ascii="宋体" w:hAnsi="宋体"/>
          <w:color w:val="auto"/>
          <w:sz w:val="24"/>
          <w:szCs w:val="20"/>
          <w:highlight w:val="none"/>
          <w:shd w:val="clear" w:color="auto" w:fill="FFFFFF" w:themeFill="background1"/>
        </w:rPr>
        <w:br w:type="page"/>
      </w:r>
      <w:r>
        <w:rPr>
          <w:rFonts w:hint="eastAsia" w:ascii="宋体" w:hAnsi="宋体"/>
          <w:b/>
          <w:bCs/>
          <w:color w:val="auto"/>
          <w:sz w:val="28"/>
          <w:szCs w:val="28"/>
          <w:highlight w:val="none"/>
          <w:shd w:val="clear" w:color="auto" w:fill="FFFFFF" w:themeFill="background1"/>
        </w:rPr>
        <w:t>2.商务技术文件目录</w:t>
      </w:r>
    </w:p>
    <w:p w14:paraId="42B0E233">
      <w:pPr>
        <w:snapToGrid w:val="0"/>
        <w:spacing w:before="50" w:afterLines="50" w:line="360" w:lineRule="auto"/>
        <w:ind w:firstLine="422"/>
        <w:jc w:val="left"/>
        <w:rPr>
          <w:rFonts w:ascii="微软雅黑" w:hAnsi="微软雅黑" w:eastAsia="微软雅黑"/>
          <w:b/>
          <w:bCs/>
          <w:color w:val="auto"/>
          <w:sz w:val="24"/>
          <w:highlight w:val="none"/>
          <w:shd w:val="clear" w:color="auto" w:fill="FFFFFF" w:themeFill="background1"/>
        </w:rPr>
      </w:pPr>
      <w:r>
        <w:rPr>
          <w:rFonts w:hint="eastAsia" w:ascii="宋体" w:hAnsi="宋体"/>
          <w:color w:val="auto"/>
          <w:szCs w:val="21"/>
          <w:highlight w:val="none"/>
          <w:shd w:val="clear" w:color="auto" w:fill="FFFFFF" w:themeFill="background1"/>
        </w:rPr>
        <w:t>根据招标文件规定及投标人提供的材料自行编写目录。</w:t>
      </w:r>
    </w:p>
    <w:p w14:paraId="1551624A">
      <w:pPr>
        <w:snapToGrid w:val="0"/>
        <w:spacing w:before="50" w:afterLines="50"/>
        <w:ind w:firstLine="422"/>
        <w:jc w:val="left"/>
        <w:rPr>
          <w:rFonts w:ascii="宋体" w:hAnsi="宋体"/>
          <w:color w:val="auto"/>
          <w:highlight w:val="none"/>
          <w:shd w:val="clear" w:color="auto" w:fill="FFFFFF" w:themeFill="background1"/>
        </w:rPr>
      </w:pPr>
    </w:p>
    <w:p w14:paraId="46F7F41A">
      <w:pPr>
        <w:snapToGrid w:val="0"/>
        <w:spacing w:beforeLines="50" w:after="50"/>
        <w:ind w:firstLine="482"/>
        <w:jc w:val="left"/>
        <w:rPr>
          <w:rFonts w:ascii="宋体" w:hAnsi="宋体"/>
          <w:b/>
          <w:color w:val="auto"/>
          <w:sz w:val="24"/>
          <w:highlight w:val="none"/>
          <w:shd w:val="clear" w:color="auto" w:fill="FFFFFF" w:themeFill="background1"/>
        </w:rPr>
      </w:pPr>
      <w:r>
        <w:rPr>
          <w:rFonts w:ascii="宋体" w:hAnsi="宋体"/>
          <w:b/>
          <w:color w:val="auto"/>
          <w:sz w:val="24"/>
          <w:highlight w:val="none"/>
          <w:shd w:val="clear" w:color="auto" w:fill="FFFFFF" w:themeFill="background1"/>
        </w:rPr>
        <w:br w:type="page"/>
      </w:r>
      <w:r>
        <w:rPr>
          <w:rFonts w:hint="eastAsia" w:ascii="宋体" w:hAnsi="宋体"/>
          <w:b/>
          <w:color w:val="auto"/>
          <w:sz w:val="24"/>
          <w:highlight w:val="none"/>
          <w:shd w:val="clear" w:color="auto" w:fill="FFFFFF" w:themeFill="background1"/>
        </w:rPr>
        <w:t>3.投标人参加本项目无围标串标行为的承诺</w:t>
      </w:r>
    </w:p>
    <w:p w14:paraId="47209A36">
      <w:pPr>
        <w:snapToGrid w:val="0"/>
        <w:spacing w:beforeLines="50" w:after="50"/>
        <w:ind w:firstLine="480"/>
        <w:jc w:val="left"/>
        <w:rPr>
          <w:rFonts w:ascii="宋体" w:hAnsi="宋体"/>
          <w:b/>
          <w:color w:val="auto"/>
          <w:sz w:val="24"/>
          <w:highlight w:val="none"/>
          <w:shd w:val="clear" w:color="auto" w:fill="FFFFFF" w:themeFill="background1"/>
        </w:rPr>
      </w:pPr>
    </w:p>
    <w:p w14:paraId="6063A75F">
      <w:pPr>
        <w:snapToGrid w:val="0"/>
        <w:spacing w:beforeLines="50" w:after="50"/>
        <w:ind w:left="420" w:firstLine="815"/>
        <w:jc w:val="center"/>
        <w:rPr>
          <w:rFonts w:ascii="宋体" w:hAnsi="宋体"/>
          <w:b/>
          <w:color w:val="auto"/>
          <w:spacing w:val="-17"/>
          <w:sz w:val="32"/>
          <w:szCs w:val="32"/>
          <w:highlight w:val="none"/>
          <w:shd w:val="clear" w:color="auto" w:fill="FFFFFF" w:themeFill="background1"/>
        </w:rPr>
      </w:pPr>
      <w:r>
        <w:rPr>
          <w:rFonts w:hint="eastAsia" w:ascii="方正小标宋简体" w:hAnsi="方正小标宋简体" w:eastAsia="方正小标宋简体" w:cs="方正小标宋简体"/>
          <w:bCs/>
          <w:color w:val="auto"/>
          <w:spacing w:val="-17"/>
          <w:sz w:val="44"/>
          <w:szCs w:val="44"/>
          <w:highlight w:val="none"/>
          <w:shd w:val="clear" w:color="auto" w:fill="FFFFFF" w:themeFill="background1"/>
        </w:rPr>
        <w:t>投标人参加本项目无围标串标行为的承诺函</w:t>
      </w:r>
    </w:p>
    <w:p w14:paraId="5AD5F21A">
      <w:pPr>
        <w:snapToGrid w:val="0"/>
        <w:spacing w:beforeLines="50" w:after="50"/>
        <w:ind w:firstLine="480"/>
        <w:rPr>
          <w:rFonts w:ascii="宋体" w:hAnsi="宋体"/>
          <w:b/>
          <w:color w:val="auto"/>
          <w:sz w:val="24"/>
          <w:highlight w:val="none"/>
          <w:shd w:val="clear" w:color="auto" w:fill="FFFFFF" w:themeFill="background1"/>
        </w:rPr>
      </w:pPr>
    </w:p>
    <w:p w14:paraId="3B3EC2E4">
      <w:pPr>
        <w:spacing w:line="400" w:lineRule="exact"/>
        <w:ind w:firstLine="482"/>
        <w:contextualSpacing/>
        <w:jc w:val="left"/>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t>一、我方承诺无下列相互串通投标的情形：</w:t>
      </w:r>
    </w:p>
    <w:p w14:paraId="3D751BC4">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1.不同投标人的投标文件由同一单位或者个人编制； </w:t>
      </w:r>
    </w:p>
    <w:p w14:paraId="500FFE4C">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2.不同投标人委托同一单位或者个人办理投标事宜；</w:t>
      </w:r>
    </w:p>
    <w:p w14:paraId="2F0A46D2">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3.不同的投标人的投标文件载明的项目管理员为同一个人；</w:t>
      </w:r>
    </w:p>
    <w:p w14:paraId="3DF7BD59">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4.不同投标人的投标文件异常一致或者投标报价呈规律性差异；</w:t>
      </w:r>
    </w:p>
    <w:p w14:paraId="2940E77B">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5.不同投标人的投标文件相互混装；</w:t>
      </w:r>
    </w:p>
    <w:p w14:paraId="484E8F95">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6.不同投标人的投标保证金从同一单位或者个人账户转出。</w:t>
      </w:r>
    </w:p>
    <w:p w14:paraId="28E35968">
      <w:pPr>
        <w:spacing w:line="400" w:lineRule="exact"/>
        <w:ind w:firstLine="482"/>
        <w:contextualSpacing/>
        <w:jc w:val="left"/>
        <w:rPr>
          <w:rFonts w:ascii="宋体" w:hAnsi="宋体"/>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t>二、我方承诺无下列恶意串通的情形：</w:t>
      </w:r>
    </w:p>
    <w:p w14:paraId="5F1C87FF">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1.投标人直接或者间接从采购人或者采购代理机构处获得其他投标人的相关信息并修改其投标文件或者响应文件；</w:t>
      </w:r>
    </w:p>
    <w:p w14:paraId="3EE95A90">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2.投标人按照采购人或者采购代理机构的授意撤换、修改投标文件或者响应文件；</w:t>
      </w:r>
    </w:p>
    <w:p w14:paraId="310CF708">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3.投标人之间协商报价、技术方案等投标文件或者响应文件的实质性内容；</w:t>
      </w:r>
    </w:p>
    <w:p w14:paraId="3E26E482">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4.属于同一集团、协会、商会等组织成员的投标人按照该组织要求协同参加政府采购活动；</w:t>
      </w:r>
    </w:p>
    <w:p w14:paraId="1C71CBF5">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5.投标人之间事先约定一致抬高或者压低投标报价，或者在招标项目中事先约定轮流以高价位或者低价位中标，或者事先约定由某一特定投标人中标，然后再参加投标；</w:t>
      </w:r>
    </w:p>
    <w:p w14:paraId="4735E8BF">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6.投标人之间商定部分投标人放弃参加政府采购活动或者放弃中标；</w:t>
      </w:r>
    </w:p>
    <w:p w14:paraId="020EE5EF">
      <w:pPr>
        <w:spacing w:line="400" w:lineRule="exact"/>
        <w:ind w:firstLine="470" w:firstLineChars="196"/>
        <w:contextualSpacing/>
        <w:jc w:val="left"/>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7.投标人与采购人或者采购代理机构之间、投标人相互之间，为谋求特定投标人中标或者排斥其他投标人的其他串通行为。</w:t>
      </w:r>
    </w:p>
    <w:p w14:paraId="4245C8F1">
      <w:pPr>
        <w:spacing w:line="400" w:lineRule="exact"/>
        <w:ind w:firstLine="472" w:firstLineChars="196"/>
        <w:contextualSpacing/>
        <w:jc w:val="left"/>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t>以上情形一经核查属实，我方愿意承担一切后果，并不再寻求任何旨在减轻或者免除法律责任的辩解。</w:t>
      </w:r>
    </w:p>
    <w:p w14:paraId="489E8EDD">
      <w:pPr>
        <w:pStyle w:val="31"/>
        <w:spacing w:line="400" w:lineRule="exact"/>
        <w:ind w:firstLine="6840" w:firstLineChars="2850"/>
        <w:contextualSpacing/>
        <w:rPr>
          <w:rFonts w:hAnsi="宋体"/>
          <w:color w:val="auto"/>
          <w:sz w:val="24"/>
          <w:szCs w:val="24"/>
          <w:highlight w:val="none"/>
          <w:shd w:val="clear" w:color="auto" w:fill="FFFFFF" w:themeFill="background1"/>
        </w:rPr>
      </w:pPr>
    </w:p>
    <w:p w14:paraId="5D982502">
      <w:pPr>
        <w:pStyle w:val="31"/>
        <w:spacing w:line="400" w:lineRule="exact"/>
        <w:ind w:firstLine="482"/>
        <w:contextualSpacing/>
        <w:jc w:val="center"/>
        <w:rPr>
          <w:rFonts w:hAnsi="宋体"/>
          <w:color w:val="auto"/>
          <w:sz w:val="24"/>
          <w:szCs w:val="24"/>
          <w:highlight w:val="none"/>
          <w:shd w:val="clear" w:color="auto" w:fill="FFFFFF" w:themeFill="background1"/>
        </w:rPr>
      </w:pPr>
      <w:r>
        <w:rPr>
          <w:rFonts w:hint="eastAsia" w:hAnsi="宋体"/>
          <w:color w:val="auto"/>
          <w:sz w:val="24"/>
          <w:szCs w:val="24"/>
          <w:highlight w:val="none"/>
          <w:shd w:val="clear" w:color="auto" w:fill="FFFFFF" w:themeFill="background1"/>
        </w:rPr>
        <w:t>投标人名称（电子签章）</w:t>
      </w:r>
    </w:p>
    <w:p w14:paraId="78DEAF43">
      <w:pPr>
        <w:pStyle w:val="31"/>
        <w:spacing w:line="400" w:lineRule="exact"/>
        <w:ind w:firstLine="482"/>
        <w:contextualSpacing/>
        <w:jc w:val="center"/>
        <w:rPr>
          <w:rFonts w:hAnsi="宋体"/>
          <w:color w:val="auto"/>
          <w:sz w:val="24"/>
          <w:highlight w:val="none"/>
          <w:shd w:val="clear" w:color="auto" w:fill="FFFFFF" w:themeFill="background1"/>
        </w:rPr>
      </w:pPr>
      <w:r>
        <w:rPr>
          <w:rFonts w:hint="eastAsia" w:hAnsi="宋体"/>
          <w:color w:val="auto"/>
          <w:sz w:val="24"/>
          <w:highlight w:val="none"/>
          <w:shd w:val="clear" w:color="auto" w:fill="FFFFFF" w:themeFill="background1"/>
        </w:rPr>
        <w:t>年</w:t>
      </w:r>
      <w:r>
        <w:rPr>
          <w:rFonts w:hint="eastAsia" w:hAnsi="宋体"/>
          <w:color w:val="auto"/>
          <w:sz w:val="24"/>
          <w:highlight w:val="none"/>
          <w:shd w:val="clear" w:color="auto" w:fill="FFFFFF" w:themeFill="background1"/>
          <w:lang w:val="en-US" w:eastAsia="zh-CN"/>
        </w:rPr>
        <w:t xml:space="preserve">  </w:t>
      </w:r>
      <w:r>
        <w:rPr>
          <w:rFonts w:hint="eastAsia" w:hAnsi="宋体"/>
          <w:color w:val="auto"/>
          <w:sz w:val="24"/>
          <w:highlight w:val="none"/>
          <w:shd w:val="clear" w:color="auto" w:fill="FFFFFF" w:themeFill="background1"/>
        </w:rPr>
        <w:t>月</w:t>
      </w:r>
      <w:r>
        <w:rPr>
          <w:rFonts w:hint="eastAsia" w:hAnsi="宋体"/>
          <w:color w:val="auto"/>
          <w:sz w:val="24"/>
          <w:highlight w:val="none"/>
          <w:shd w:val="clear" w:color="auto" w:fill="FFFFFF" w:themeFill="background1"/>
          <w:lang w:val="en-US" w:eastAsia="zh-CN"/>
        </w:rPr>
        <w:t xml:space="preserve">  </w:t>
      </w:r>
      <w:r>
        <w:rPr>
          <w:rFonts w:hint="eastAsia" w:hAnsi="宋体"/>
          <w:color w:val="auto"/>
          <w:sz w:val="24"/>
          <w:highlight w:val="none"/>
          <w:shd w:val="clear" w:color="auto" w:fill="FFFFFF" w:themeFill="background1"/>
        </w:rPr>
        <w:t>日</w:t>
      </w:r>
    </w:p>
    <w:p w14:paraId="017D4877">
      <w:pPr>
        <w:snapToGrid w:val="0"/>
        <w:spacing w:beforeLines="50" w:after="50"/>
        <w:ind w:firstLine="472" w:firstLineChars="196"/>
        <w:jc w:val="left"/>
        <w:rPr>
          <w:rFonts w:ascii="宋体" w:hAnsi="宋体"/>
          <w:b/>
          <w:color w:val="auto"/>
          <w:sz w:val="24"/>
          <w:szCs w:val="20"/>
          <w:highlight w:val="none"/>
          <w:shd w:val="clear" w:color="auto" w:fill="FFFFFF" w:themeFill="background1"/>
        </w:rPr>
      </w:pPr>
      <w:r>
        <w:rPr>
          <w:rFonts w:ascii="宋体" w:hAnsi="宋体"/>
          <w:b/>
          <w:color w:val="auto"/>
          <w:sz w:val="24"/>
          <w:highlight w:val="none"/>
          <w:shd w:val="clear" w:color="auto" w:fill="FFFFFF" w:themeFill="background1"/>
        </w:rPr>
        <w:br w:type="page"/>
      </w:r>
      <w:r>
        <w:rPr>
          <w:rFonts w:hint="eastAsia" w:ascii="宋体" w:hAnsi="宋体"/>
          <w:b/>
          <w:color w:val="auto"/>
          <w:sz w:val="24"/>
          <w:highlight w:val="none"/>
          <w:shd w:val="clear" w:color="auto" w:fill="FFFFFF" w:themeFill="background1"/>
        </w:rPr>
        <w:t>4.法定代表人身份证明</w:t>
      </w:r>
    </w:p>
    <w:p w14:paraId="043674A6">
      <w:pPr>
        <w:spacing w:beforeLines="100" w:afterLines="50"/>
        <w:ind w:left="540" w:firstLine="640"/>
        <w:jc w:val="center"/>
        <w:rPr>
          <w:rFonts w:ascii="宋体" w:hAnsi="Courier New"/>
          <w:b/>
          <w:color w:val="auto"/>
          <w:sz w:val="32"/>
          <w:szCs w:val="32"/>
          <w:highlight w:val="none"/>
          <w:shd w:val="clear" w:color="auto" w:fill="FFFFFF" w:themeFill="background1"/>
        </w:rPr>
      </w:pPr>
    </w:p>
    <w:p w14:paraId="42DC129D">
      <w:pPr>
        <w:spacing w:beforeLines="100" w:afterLines="50"/>
        <w:ind w:left="540" w:firstLine="883"/>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2F22F59D">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05613F9B">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7A41CD2E">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7B6500CF">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F620FFA">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7896DDF0">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6D96417F">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5DCA6DC6">
      <w:pPr>
        <w:spacing w:line="500" w:lineRule="exact"/>
        <w:ind w:left="540"/>
        <w:rPr>
          <w:rFonts w:hint="eastAsia" w:ascii="宋体" w:hAnsi="宋体"/>
          <w:color w:val="auto"/>
          <w:sz w:val="24"/>
          <w:highlight w:val="none"/>
        </w:rPr>
      </w:pPr>
    </w:p>
    <w:p w14:paraId="36FFEFE4">
      <w:pPr>
        <w:spacing w:line="500" w:lineRule="exact"/>
        <w:ind w:left="540"/>
        <w:rPr>
          <w:rFonts w:hint="eastAsia" w:ascii="宋体" w:hAnsi="宋体"/>
          <w:color w:val="auto"/>
          <w:sz w:val="24"/>
          <w:highlight w:val="none"/>
        </w:rPr>
      </w:pPr>
    </w:p>
    <w:p w14:paraId="13A07E12">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1A6FC4BE">
      <w:pPr>
        <w:spacing w:line="500" w:lineRule="exact"/>
        <w:ind w:left="540"/>
        <w:rPr>
          <w:rFonts w:hint="eastAsia" w:ascii="宋体" w:hAnsi="宋体"/>
          <w:color w:val="auto"/>
          <w:sz w:val="24"/>
          <w:highlight w:val="none"/>
        </w:rPr>
      </w:pPr>
    </w:p>
    <w:p w14:paraId="339888D5">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41DFD03D">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8E54F8F">
      <w:pPr>
        <w:snapToGrid w:val="0"/>
        <w:spacing w:beforeLines="50" w:after="50"/>
        <w:ind w:firstLine="480"/>
        <w:jc w:val="center"/>
        <w:rPr>
          <w:rFonts w:ascii="宋体" w:hAnsi="宋体"/>
          <w:b/>
          <w:color w:val="auto"/>
          <w:sz w:val="24"/>
          <w:highlight w:val="none"/>
        </w:rPr>
      </w:pPr>
    </w:p>
    <w:p w14:paraId="2C92D661">
      <w:pPr>
        <w:snapToGrid w:val="0"/>
        <w:spacing w:beforeLines="50" w:after="50"/>
        <w:ind w:firstLine="482"/>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14:paraId="6CE03325">
      <w:pPr>
        <w:snapToGrid w:val="0"/>
        <w:spacing w:beforeLines="50" w:after="50"/>
        <w:ind w:firstLine="482"/>
        <w:jc w:val="left"/>
        <w:rPr>
          <w:rFonts w:ascii="宋体" w:hAnsi="宋体"/>
          <w:b/>
          <w:color w:val="auto"/>
          <w:sz w:val="24"/>
          <w:szCs w:val="20"/>
          <w:highlight w:val="none"/>
          <w:shd w:val="clear" w:color="auto" w:fill="FFFFFF" w:themeFill="background1"/>
        </w:rPr>
      </w:pPr>
      <w:r>
        <w:rPr>
          <w:rFonts w:ascii="宋体" w:hAnsi="宋体"/>
          <w:b/>
          <w:color w:val="auto"/>
          <w:sz w:val="24"/>
          <w:highlight w:val="none"/>
        </w:rPr>
        <w:br w:type="page"/>
      </w:r>
      <w:r>
        <w:rPr>
          <w:rFonts w:hint="eastAsia" w:ascii="宋体" w:hAnsi="宋体"/>
          <w:b/>
          <w:color w:val="auto"/>
          <w:sz w:val="24"/>
          <w:highlight w:val="none"/>
          <w:shd w:val="clear" w:color="auto" w:fill="FFFFFF" w:themeFill="background1"/>
        </w:rPr>
        <w:t>5.授权委托书格式</w:t>
      </w:r>
    </w:p>
    <w:p w14:paraId="0BFB4FF9">
      <w:pPr>
        <w:snapToGrid w:val="0"/>
        <w:spacing w:beforeLines="50" w:after="50"/>
        <w:ind w:firstLine="880"/>
        <w:jc w:val="center"/>
        <w:rPr>
          <w:rFonts w:ascii="宋体" w:hAnsi="宋体"/>
          <w:b/>
          <w:color w:val="auto"/>
          <w:sz w:val="44"/>
          <w:szCs w:val="44"/>
          <w:highlight w:val="none"/>
          <w:shd w:val="clear" w:color="auto" w:fill="FFFFFF" w:themeFill="background1"/>
        </w:rPr>
      </w:pPr>
    </w:p>
    <w:p w14:paraId="36DD143B">
      <w:pPr>
        <w:snapToGrid w:val="0"/>
        <w:spacing w:beforeLines="50" w:after="50"/>
        <w:ind w:firstLine="883"/>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7BA44C06">
      <w:pPr>
        <w:snapToGrid w:val="0"/>
        <w:spacing w:beforeLines="50" w:after="50"/>
        <w:ind w:firstLine="643"/>
        <w:jc w:val="center"/>
        <w:rPr>
          <w:rFonts w:ascii="宋体" w:hAnsi="宋体"/>
          <w:b/>
          <w:color w:val="auto"/>
          <w:sz w:val="32"/>
          <w:szCs w:val="32"/>
          <w:highlight w:val="none"/>
        </w:rPr>
      </w:pPr>
      <w:r>
        <w:rPr>
          <w:rFonts w:hint="eastAsia" w:ascii="宋体" w:hAnsi="宋体"/>
          <w:b/>
          <w:color w:val="auto"/>
          <w:sz w:val="32"/>
          <w:szCs w:val="32"/>
          <w:highlight w:val="none"/>
        </w:rPr>
        <w:t>（非联合体投标格式）</w:t>
      </w:r>
    </w:p>
    <w:p w14:paraId="269F6FE9">
      <w:pPr>
        <w:snapToGrid w:val="0"/>
        <w:spacing w:beforeLines="50" w:after="50"/>
        <w:ind w:firstLine="643"/>
        <w:jc w:val="center"/>
        <w:rPr>
          <w:rFonts w:ascii="宋体" w:hAnsi="宋体"/>
          <w:b/>
          <w:color w:val="auto"/>
          <w:sz w:val="24"/>
          <w:highlight w:val="none"/>
        </w:rPr>
      </w:pPr>
      <w:r>
        <w:rPr>
          <w:rFonts w:hint="eastAsia" w:ascii="宋体" w:hAnsi="宋体"/>
          <w:b/>
          <w:color w:val="auto"/>
          <w:sz w:val="32"/>
          <w:szCs w:val="32"/>
          <w:highlight w:val="none"/>
        </w:rPr>
        <w:t>（如有委托时）</w:t>
      </w:r>
    </w:p>
    <w:p w14:paraId="0451AC40">
      <w:pPr>
        <w:snapToGrid w:val="0"/>
        <w:spacing w:beforeLines="50" w:after="50"/>
        <w:ind w:firstLine="480"/>
        <w:jc w:val="center"/>
        <w:rPr>
          <w:rFonts w:ascii="宋体" w:hAnsi="宋体"/>
          <w:b/>
          <w:color w:val="auto"/>
          <w:sz w:val="24"/>
          <w:highlight w:val="none"/>
        </w:rPr>
      </w:pPr>
    </w:p>
    <w:p w14:paraId="67CCAB00">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0E5CAF88">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197124C8">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6AC7D696">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158CC9C7">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605247BD">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0321760A">
      <w:pPr>
        <w:spacing w:line="360" w:lineRule="auto"/>
        <w:contextualSpacing/>
        <w:rPr>
          <w:rFonts w:hint="eastAsia" w:ascii="宋体" w:hAnsi="宋体"/>
          <w:color w:val="auto"/>
          <w:sz w:val="24"/>
          <w:highlight w:val="none"/>
        </w:rPr>
      </w:pPr>
    </w:p>
    <w:p w14:paraId="09F46677">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28E2111">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26BD92A8">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C519597">
      <w:pPr>
        <w:spacing w:line="440" w:lineRule="exact"/>
        <w:ind w:firstLine="482"/>
        <w:rPr>
          <w:rFonts w:ascii="宋体" w:hAnsi="宋体"/>
          <w:color w:val="auto"/>
          <w:sz w:val="24"/>
          <w:highlight w:val="none"/>
        </w:rPr>
      </w:pPr>
    </w:p>
    <w:p w14:paraId="65EFADAF">
      <w:pPr>
        <w:spacing w:line="440" w:lineRule="exact"/>
        <w:ind w:firstLine="482"/>
        <w:jc w:val="center"/>
        <w:rPr>
          <w:rFonts w:ascii="宋体" w:hAnsi="宋体"/>
          <w:color w:val="auto"/>
          <w:sz w:val="24"/>
          <w:highlight w:val="none"/>
        </w:rPr>
      </w:pPr>
      <w:r>
        <w:rPr>
          <w:rFonts w:hint="eastAsia" w:ascii="宋体" w:hAnsi="宋体"/>
          <w:color w:val="auto"/>
          <w:sz w:val="24"/>
          <w:highlight w:val="none"/>
        </w:rPr>
        <w:t xml:space="preserve">                                                投标人名称（电子签章）：</w:t>
      </w:r>
    </w:p>
    <w:p w14:paraId="6F8EE6B8">
      <w:pPr>
        <w:spacing w:line="440" w:lineRule="exact"/>
        <w:ind w:firstLine="482"/>
        <w:jc w:val="center"/>
        <w:rPr>
          <w:rFonts w:ascii="宋体" w:hAnsi="宋体"/>
          <w:color w:val="auto"/>
          <w:sz w:val="24"/>
          <w:highlight w:val="none"/>
        </w:rPr>
      </w:pPr>
      <w:r>
        <w:rPr>
          <w:rFonts w:hint="eastAsia" w:ascii="宋体" w:hAnsi="宋体"/>
          <w:color w:val="auto"/>
          <w:sz w:val="24"/>
          <w:highlight w:val="none"/>
        </w:rPr>
        <w:t xml:space="preserve">                                              年    月    日</w:t>
      </w:r>
    </w:p>
    <w:p w14:paraId="442E7C1A">
      <w:pPr>
        <w:spacing w:line="440" w:lineRule="exact"/>
        <w:ind w:firstLine="482"/>
        <w:rPr>
          <w:rFonts w:ascii="宋体" w:hAnsi="宋体" w:cs="仿宋_GB2312"/>
          <w:color w:val="auto"/>
          <w:sz w:val="24"/>
          <w:highlight w:val="none"/>
        </w:rPr>
      </w:pPr>
      <w:r>
        <w:rPr>
          <w:rFonts w:hint="eastAsia" w:ascii="宋体" w:hAnsi="宋体" w:cs="仿宋_GB2312"/>
          <w:color w:val="auto"/>
          <w:sz w:val="24"/>
          <w:highlight w:val="none"/>
        </w:rPr>
        <w:t>注：1.</w:t>
      </w:r>
      <w:bookmarkStart w:id="354" w:name="_Hlk65851555"/>
      <w:bookmarkStart w:id="355"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354"/>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355"/>
    </w:p>
    <w:p w14:paraId="63D587B1">
      <w:pPr>
        <w:spacing w:line="440" w:lineRule="exact"/>
        <w:ind w:firstLine="480" w:firstLineChars="200"/>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4429A222">
      <w:pPr>
        <w:snapToGrid w:val="0"/>
        <w:spacing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hint="eastAsia"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26CE1571">
      <w:pPr>
        <w:snapToGrid w:val="0"/>
        <w:spacing w:beforeLines="50" w:after="50"/>
        <w:ind w:firstLine="758" w:firstLineChars="236"/>
        <w:jc w:val="center"/>
        <w:rPr>
          <w:rFonts w:ascii="宋体" w:hAnsi="宋体"/>
          <w:b/>
          <w:bCs/>
          <w:color w:val="auto"/>
          <w:sz w:val="32"/>
          <w:szCs w:val="32"/>
          <w:highlight w:val="none"/>
        </w:rPr>
      </w:pPr>
      <w:r>
        <w:rPr>
          <w:rFonts w:hint="eastAsia" w:ascii="宋体" w:hAnsi="宋体"/>
          <w:b/>
          <w:bCs/>
          <w:color w:val="auto"/>
          <w:sz w:val="32"/>
          <w:szCs w:val="32"/>
          <w:highlight w:val="none"/>
        </w:rPr>
        <w:t>（联合体投标格式）</w:t>
      </w:r>
    </w:p>
    <w:p w14:paraId="7E0A8455">
      <w:pPr>
        <w:snapToGrid w:val="0"/>
        <w:spacing w:beforeLines="50" w:after="50"/>
        <w:ind w:firstLine="758" w:firstLineChars="236"/>
        <w:jc w:val="center"/>
        <w:rPr>
          <w:rFonts w:ascii="宋体" w:hAnsi="宋体"/>
          <w:color w:val="auto"/>
          <w:sz w:val="24"/>
          <w:highlight w:val="none"/>
        </w:rPr>
      </w:pPr>
      <w:r>
        <w:rPr>
          <w:rFonts w:hint="eastAsia" w:ascii="宋体" w:hAnsi="宋体"/>
          <w:b/>
          <w:bCs/>
          <w:color w:val="auto"/>
          <w:sz w:val="32"/>
          <w:szCs w:val="32"/>
          <w:highlight w:val="none"/>
        </w:rPr>
        <w:t>（如有委托时）</w:t>
      </w:r>
    </w:p>
    <w:p w14:paraId="208BECE1">
      <w:pPr>
        <w:spacing w:line="360" w:lineRule="auto"/>
        <w:ind w:firstLine="482"/>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w:t>
      </w:r>
      <w:r>
        <w:rPr>
          <w:rFonts w:hint="eastAsia" w:ascii="宋体" w:hAnsi="宋体"/>
          <w:color w:val="auto"/>
          <w:sz w:val="24"/>
          <w:highlight w:val="none"/>
          <w:u w:val="single"/>
        </w:rPr>
        <w:t>采购人名称</w:t>
      </w:r>
      <w:r>
        <w:rPr>
          <w:rFonts w:hint="eastAsia" w:ascii="宋体" w:hAnsi="宋体"/>
          <w:bCs/>
          <w:color w:val="auto"/>
          <w:sz w:val="24"/>
          <w:highlight w:val="none"/>
        </w:rPr>
        <w:t>）</w:t>
      </w:r>
    </w:p>
    <w:p w14:paraId="2DCE2AA8">
      <w:pPr>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以我方的名义参加项目的投标活动，并代表我方全权办理针对上述项目的所有采购程序和环节的具体事务和签署相关文件。</w:t>
      </w:r>
    </w:p>
    <w:p w14:paraId="57AD9FA3">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我方对委托代理人的签字或者电子签名事项负全部责任。</w:t>
      </w:r>
    </w:p>
    <w:p w14:paraId="35ED9994">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14:paraId="028B5B33">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委托代理人无转委托权，特此委托。</w:t>
      </w:r>
    </w:p>
    <w:p w14:paraId="41B9C5F9">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14:paraId="032EB102">
      <w:pPr>
        <w:spacing w:line="440" w:lineRule="exact"/>
        <w:ind w:firstLine="566" w:firstLineChars="236"/>
        <w:rPr>
          <w:rFonts w:ascii="宋体" w:hAnsi="宋体"/>
          <w:color w:val="auto"/>
          <w:sz w:val="24"/>
          <w:highlight w:val="none"/>
        </w:rPr>
      </w:pPr>
    </w:p>
    <w:p w14:paraId="3DD90183">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牵头人法定代表人（签字或者盖章或者电子签名）：</w:t>
      </w:r>
    </w:p>
    <w:p w14:paraId="12388E50">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牵头人（电子签章）：</w:t>
      </w:r>
    </w:p>
    <w:p w14:paraId="0462D559">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日期：    年   月   日</w:t>
      </w:r>
    </w:p>
    <w:p w14:paraId="60DF419D">
      <w:pPr>
        <w:spacing w:line="440" w:lineRule="exact"/>
        <w:ind w:firstLine="566" w:firstLineChars="236"/>
        <w:rPr>
          <w:rFonts w:ascii="宋体" w:hAnsi="宋体"/>
          <w:color w:val="auto"/>
          <w:sz w:val="24"/>
          <w:highlight w:val="none"/>
        </w:rPr>
      </w:pPr>
    </w:p>
    <w:p w14:paraId="4D50C60F">
      <w:pPr>
        <w:spacing w:line="440" w:lineRule="exact"/>
        <w:ind w:firstLine="566" w:firstLineChars="236"/>
        <w:rPr>
          <w:rFonts w:ascii="宋体" w:hAnsi="宋体"/>
          <w:color w:val="auto"/>
          <w:sz w:val="24"/>
          <w:highlight w:val="none"/>
        </w:rPr>
      </w:pPr>
      <w:r>
        <w:rPr>
          <w:rFonts w:hint="eastAsia" w:ascii="宋体" w:hAnsi="宋体"/>
          <w:color w:val="auto"/>
          <w:sz w:val="24"/>
          <w:highlight w:val="none"/>
        </w:rPr>
        <w:t>被授权人（签字或者电子签名）：</w:t>
      </w:r>
    </w:p>
    <w:p w14:paraId="7A518DE7">
      <w:pPr>
        <w:spacing w:line="440" w:lineRule="exact"/>
        <w:ind w:firstLine="566" w:firstLineChars="236"/>
        <w:rPr>
          <w:rFonts w:ascii="宋体" w:hAnsi="宋体" w:cs="仿宋_GB2312"/>
          <w:color w:val="auto"/>
          <w:sz w:val="32"/>
          <w:szCs w:val="32"/>
          <w:highlight w:val="none"/>
        </w:rPr>
      </w:pPr>
      <w:r>
        <w:rPr>
          <w:rFonts w:hint="eastAsia" w:ascii="宋体" w:hAnsi="宋体"/>
          <w:color w:val="auto"/>
          <w:sz w:val="24"/>
          <w:highlight w:val="none"/>
        </w:rPr>
        <w:t>日期：    年   月   日</w:t>
      </w:r>
    </w:p>
    <w:p w14:paraId="0D548427">
      <w:pPr>
        <w:spacing w:line="440" w:lineRule="exact"/>
        <w:ind w:firstLine="482"/>
        <w:rPr>
          <w:rFonts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14:paraId="6ED7815C">
      <w:pPr>
        <w:spacing w:line="440" w:lineRule="exact"/>
        <w:ind w:firstLine="480" w:firstLineChars="200"/>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19F3CF9D">
      <w:pPr>
        <w:snapToGrid w:val="0"/>
        <w:spacing w:beforeLines="50" w:after="50"/>
        <w:ind w:firstLine="482"/>
        <w:jc w:val="left"/>
        <w:rPr>
          <w:rFonts w:ascii="宋体" w:hAnsi="宋体"/>
          <w:color w:val="auto"/>
          <w:sz w:val="24"/>
          <w:highlight w:val="none"/>
        </w:rPr>
      </w:pPr>
      <w:r>
        <w:rPr>
          <w:rFonts w:ascii="宋体" w:hAnsi="宋体"/>
          <w:color w:val="auto"/>
          <w:sz w:val="24"/>
          <w:highlight w:val="none"/>
        </w:rPr>
        <w:br w:type="page"/>
      </w:r>
    </w:p>
    <w:p w14:paraId="0C95B81E">
      <w:pPr>
        <w:snapToGrid w:val="0"/>
        <w:spacing w:beforeLines="50" w:after="50"/>
        <w:ind w:firstLine="482"/>
        <w:jc w:val="left"/>
        <w:rPr>
          <w:rFonts w:ascii="宋体" w:hAnsi="宋体"/>
          <w:color w:val="auto"/>
          <w:sz w:val="24"/>
          <w:highlight w:val="none"/>
          <w:shd w:val="clear" w:color="auto" w:fill="FFFFFF" w:themeFill="background1"/>
        </w:rPr>
      </w:pPr>
    </w:p>
    <w:p w14:paraId="4C924333">
      <w:pPr>
        <w:ind w:firstLine="482"/>
        <w:rPr>
          <w:rFonts w:ascii="宋体" w:hAnsi="宋体"/>
          <w:b/>
          <w:color w:val="auto"/>
          <w:sz w:val="24"/>
          <w:szCs w:val="20"/>
          <w:highlight w:val="none"/>
          <w:shd w:val="clear" w:color="auto" w:fill="FFFFFF" w:themeFill="background1"/>
        </w:rPr>
      </w:pPr>
      <w:r>
        <w:rPr>
          <w:rFonts w:hint="eastAsia" w:ascii="宋体" w:hAnsi="宋体"/>
          <w:b/>
          <w:color w:val="auto"/>
          <w:sz w:val="24"/>
          <w:highlight w:val="none"/>
          <w:shd w:val="clear" w:color="auto" w:fill="FFFFFF" w:themeFill="background1"/>
        </w:rPr>
        <w:t>6.商务要求偏离表格式</w:t>
      </w:r>
    </w:p>
    <w:p w14:paraId="7094CDB5">
      <w:pPr>
        <w:snapToGrid w:val="0"/>
        <w:spacing w:before="50"/>
        <w:ind w:firstLine="482"/>
        <w:jc w:val="left"/>
        <w:rPr>
          <w:rFonts w:ascii="宋体" w:hAnsi="宋体"/>
          <w:color w:val="auto"/>
          <w:sz w:val="24"/>
          <w:highlight w:val="none"/>
          <w:shd w:val="clear" w:color="auto" w:fill="FFFFFF" w:themeFill="background1"/>
        </w:rPr>
      </w:pPr>
    </w:p>
    <w:p w14:paraId="12013F7A">
      <w:pPr>
        <w:pStyle w:val="31"/>
        <w:ind w:firstLine="482"/>
        <w:rPr>
          <w:rFonts w:hAnsi="宋体"/>
          <w:color w:val="auto"/>
          <w:sz w:val="24"/>
          <w:szCs w:val="24"/>
          <w:highlight w:val="none"/>
          <w:shd w:val="clear" w:color="auto" w:fill="FFFFFF" w:themeFill="background1"/>
        </w:rPr>
      </w:pPr>
      <w:r>
        <w:rPr>
          <w:rFonts w:hint="eastAsia" w:hAnsi="宋体"/>
          <w:color w:val="auto"/>
          <w:sz w:val="24"/>
          <w:szCs w:val="24"/>
          <w:highlight w:val="none"/>
          <w:shd w:val="clear" w:color="auto" w:fill="FFFFFF" w:themeFill="background1"/>
        </w:rPr>
        <w:t>所投分标：/分标</w:t>
      </w:r>
    </w:p>
    <w:tbl>
      <w:tblPr>
        <w:tblStyle w:val="62"/>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686"/>
        <w:gridCol w:w="2410"/>
        <w:gridCol w:w="2035"/>
      </w:tblGrid>
      <w:tr w14:paraId="2666F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03A7E19">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商务要求</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5483D005">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招标文件要求</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50A3961">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217B58B">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1B21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74E5AEB">
            <w:pPr>
              <w:jc w:val="center"/>
              <w:rPr>
                <w:rFonts w:ascii="宋体" w:hAnsi="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noWrap w:val="0"/>
            <w:vAlign w:val="center"/>
          </w:tcPr>
          <w:p w14:paraId="4FC6203F">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14:paraId="6FE8C927">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14:paraId="0E8E3FE7">
            <w:pPr>
              <w:rPr>
                <w:rFonts w:hint="eastAsia" w:ascii="宋体" w:hAnsi="宋体"/>
                <w:color w:val="auto"/>
                <w:sz w:val="24"/>
                <w:highlight w:val="none"/>
              </w:rPr>
            </w:pPr>
            <w:r>
              <w:rPr>
                <w:rFonts w:hint="eastAsia" w:ascii="宋体" w:hAnsi="宋体"/>
                <w:color w:val="auto"/>
                <w:szCs w:val="21"/>
                <w:highlight w:val="none"/>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367570C">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14:paraId="193AC39E">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14:paraId="6C9503EC">
            <w:pPr>
              <w:snapToGrid w:val="0"/>
              <w:spacing w:before="120" w:beforeLines="50"/>
              <w:rPr>
                <w:rFonts w:hint="eastAsia" w:ascii="宋体" w:hAnsi="宋体"/>
                <w:color w:val="auto"/>
                <w:sz w:val="24"/>
                <w:highlight w:val="none"/>
              </w:rPr>
            </w:pPr>
            <w:r>
              <w:rPr>
                <w:rFonts w:hint="eastAsia" w:ascii="宋体" w:hAnsi="宋体"/>
                <w:color w:val="auto"/>
                <w:szCs w:val="21"/>
                <w:highlight w:val="none"/>
              </w:rPr>
              <w:t>……</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6C268A8">
            <w:pPr>
              <w:snapToGrid w:val="0"/>
              <w:spacing w:before="120" w:beforeLines="50"/>
              <w:jc w:val="center"/>
              <w:rPr>
                <w:rFonts w:hint="eastAsia" w:ascii="宋体" w:hAnsi="宋体"/>
                <w:color w:val="auto"/>
                <w:sz w:val="24"/>
                <w:highlight w:val="none"/>
              </w:rPr>
            </w:pPr>
          </w:p>
        </w:tc>
      </w:tr>
      <w:tr w14:paraId="39FC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151FDA7">
            <w:pPr>
              <w:jc w:val="center"/>
              <w:rPr>
                <w:rFonts w:ascii="宋体" w:hAnsi="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noWrap w:val="0"/>
            <w:vAlign w:val="center"/>
          </w:tcPr>
          <w:p w14:paraId="6787235F">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14:paraId="09B1CA1E">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14:paraId="2490441C">
            <w:pPr>
              <w:rPr>
                <w:rFonts w:hint="eastAsia" w:ascii="宋体" w:hAnsi="宋体"/>
                <w:color w:val="auto"/>
                <w:sz w:val="24"/>
                <w:highlight w:val="none"/>
              </w:rPr>
            </w:pPr>
            <w:r>
              <w:rPr>
                <w:rFonts w:hint="eastAsia" w:ascii="宋体" w:hAnsi="宋体"/>
                <w:color w:val="auto"/>
                <w:szCs w:val="21"/>
                <w:highlight w:val="none"/>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A37A17">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14:paraId="1B111451">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14:paraId="3D0F944E">
            <w:pPr>
              <w:snapToGrid w:val="0"/>
              <w:spacing w:before="120" w:beforeLines="50"/>
              <w:ind w:left="43"/>
              <w:rPr>
                <w:rFonts w:hint="eastAsia" w:ascii="宋体" w:hAnsi="宋体"/>
                <w:color w:val="auto"/>
                <w:sz w:val="24"/>
                <w:highlight w:val="none"/>
              </w:rPr>
            </w:pPr>
            <w:r>
              <w:rPr>
                <w:rFonts w:hint="eastAsia" w:ascii="宋体" w:hAnsi="宋体"/>
                <w:color w:val="auto"/>
                <w:szCs w:val="21"/>
                <w:highlight w:val="none"/>
              </w:rPr>
              <w:t>……</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AB962F1">
            <w:pPr>
              <w:snapToGrid w:val="0"/>
              <w:spacing w:before="120" w:beforeLines="50"/>
              <w:ind w:left="43"/>
              <w:jc w:val="center"/>
              <w:rPr>
                <w:rFonts w:hint="eastAsia" w:ascii="宋体" w:hAnsi="宋体"/>
                <w:color w:val="auto"/>
                <w:sz w:val="24"/>
                <w:highlight w:val="none"/>
              </w:rPr>
            </w:pPr>
          </w:p>
        </w:tc>
      </w:tr>
      <w:tr w14:paraId="33FD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E202E98">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C1F500E">
            <w:pPr>
              <w:snapToGrid w:val="0"/>
              <w:spacing w:before="120" w:beforeLines="50"/>
              <w:rPr>
                <w:rFonts w:hint="eastAsia" w:ascii="宋体" w:hAnsi="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90BA67">
            <w:pPr>
              <w:snapToGrid w:val="0"/>
              <w:spacing w:before="120" w:beforeLines="50"/>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6E9626CF">
            <w:pPr>
              <w:snapToGrid w:val="0"/>
              <w:spacing w:before="120" w:beforeLines="50"/>
              <w:jc w:val="center"/>
              <w:rPr>
                <w:rFonts w:hint="eastAsia" w:ascii="宋体" w:hAnsi="宋体"/>
                <w:color w:val="auto"/>
                <w:sz w:val="24"/>
                <w:highlight w:val="none"/>
              </w:rPr>
            </w:pPr>
          </w:p>
        </w:tc>
      </w:tr>
    </w:tbl>
    <w:p w14:paraId="78742168">
      <w:pPr>
        <w:snapToGrid w:val="0"/>
        <w:spacing w:before="50"/>
        <w:ind w:firstLine="482"/>
        <w:jc w:val="left"/>
        <w:rPr>
          <w:rFonts w:ascii="宋体" w:hAnsi="宋体"/>
          <w:color w:val="auto"/>
          <w:sz w:val="24"/>
          <w:highlight w:val="none"/>
          <w:u w:val="single"/>
          <w:shd w:val="clear" w:color="auto" w:fill="FFFFFF" w:themeFill="background1"/>
        </w:rPr>
      </w:pPr>
    </w:p>
    <w:p w14:paraId="3B55A3F2">
      <w:pPr>
        <w:pStyle w:val="22"/>
        <w:ind w:firstLine="482"/>
        <w:rPr>
          <w:rFonts w:ascii="宋体" w:hAnsi="宋体"/>
          <w:color w:val="auto"/>
          <w:highlight w:val="none"/>
          <w:shd w:val="clear" w:color="auto" w:fill="FFFFFF" w:themeFill="background1"/>
        </w:rPr>
      </w:pPr>
      <w:r>
        <w:rPr>
          <w:rFonts w:hint="eastAsia" w:ascii="宋体" w:hAnsi="宋体"/>
          <w:color w:val="auto"/>
          <w:highlight w:val="none"/>
          <w:shd w:val="clear" w:color="auto" w:fill="FFFFFF" w:themeFill="background1"/>
        </w:rPr>
        <w:t>注：</w:t>
      </w:r>
    </w:p>
    <w:p w14:paraId="16B78EDF">
      <w:pPr>
        <w:pStyle w:val="24"/>
        <w:spacing w:line="520" w:lineRule="exact"/>
        <w:ind w:firstLine="480" w:firstLineChars="200"/>
        <w:rPr>
          <w:rFonts w:hAnsi="仿宋_GB2312" w:cs="仿宋_GB2312"/>
          <w:color w:val="auto"/>
          <w:szCs w:val="32"/>
          <w:highlight w:val="none"/>
          <w:shd w:val="clear" w:color="auto" w:fill="FFFFFF" w:themeFill="background1"/>
        </w:rPr>
      </w:pPr>
      <w:r>
        <w:rPr>
          <w:rFonts w:hint="eastAsia" w:ascii="宋体" w:hAnsi="宋体" w:eastAsia="宋体"/>
          <w:color w:val="auto"/>
          <w:sz w:val="24"/>
          <w:szCs w:val="24"/>
          <w:highlight w:val="none"/>
          <w:shd w:val="clear" w:color="auto" w:fill="FFFFFF" w:themeFill="background1"/>
        </w:rPr>
        <w:t>1. 说明：应对照招标文件“第二章 采购需求”中的商务要求逐条作明确的投标响应，并作出偏离说明。</w:t>
      </w:r>
    </w:p>
    <w:p w14:paraId="12BB5F9A">
      <w:pPr>
        <w:pStyle w:val="22"/>
        <w:ind w:firstLine="480"/>
        <w:rPr>
          <w:rFonts w:ascii="宋体" w:hAnsi="宋体"/>
          <w:b w:val="0"/>
          <w:bCs w:val="0"/>
          <w:color w:val="auto"/>
          <w:highlight w:val="none"/>
          <w:shd w:val="clear" w:color="auto" w:fill="FFFFFF" w:themeFill="background1"/>
        </w:rPr>
      </w:pPr>
      <w:r>
        <w:rPr>
          <w:rFonts w:ascii="宋体" w:hAnsi="宋体"/>
          <w:b w:val="0"/>
          <w:bCs w:val="0"/>
          <w:color w:val="auto"/>
          <w:highlight w:val="none"/>
          <w:shd w:val="clear" w:color="auto" w:fill="FFFFFF" w:themeFill="background1"/>
        </w:rPr>
        <w:t>2.</w:t>
      </w:r>
      <w:r>
        <w:rPr>
          <w:rFonts w:hint="eastAsia" w:ascii="宋体" w:hAnsi="宋体"/>
          <w:b w:val="0"/>
          <w:bCs w:val="0"/>
          <w:color w:val="auto"/>
          <w:highlight w:val="none"/>
          <w:shd w:val="clear" w:color="auto" w:fill="FFFFFF" w:themeFill="background1"/>
        </w:rPr>
        <w:t>投标人应根据自身的承诺，对照招标文件要求在“偏离说明”中注明“</w:t>
      </w:r>
      <w:r>
        <w:rPr>
          <w:rFonts w:hint="eastAsia" w:ascii="宋体" w:hAnsi="宋体"/>
          <w:color w:val="auto"/>
          <w:highlight w:val="none"/>
          <w:shd w:val="clear" w:color="auto" w:fill="FFFFFF" w:themeFill="background1"/>
        </w:rPr>
        <w:t>正偏离</w:t>
      </w:r>
      <w:r>
        <w:rPr>
          <w:rFonts w:hint="eastAsia" w:ascii="宋体" w:hAnsi="宋体"/>
          <w:b w:val="0"/>
          <w:bCs w:val="0"/>
          <w:color w:val="auto"/>
          <w:highlight w:val="none"/>
          <w:shd w:val="clear" w:color="auto" w:fill="FFFFFF" w:themeFill="background1"/>
        </w:rPr>
        <w:t>”、“</w:t>
      </w:r>
      <w:r>
        <w:rPr>
          <w:rFonts w:hint="eastAsia" w:ascii="宋体" w:hAnsi="宋体"/>
          <w:color w:val="auto"/>
          <w:highlight w:val="none"/>
          <w:shd w:val="clear" w:color="auto" w:fill="FFFFFF" w:themeFill="background1"/>
        </w:rPr>
        <w:t>负偏离</w:t>
      </w:r>
      <w:r>
        <w:rPr>
          <w:rFonts w:hint="eastAsia" w:ascii="宋体" w:hAnsi="宋体"/>
          <w:b w:val="0"/>
          <w:bCs w:val="0"/>
          <w:color w:val="auto"/>
          <w:highlight w:val="none"/>
          <w:shd w:val="clear" w:color="auto" w:fill="FFFFFF" w:themeFill="background1"/>
        </w:rPr>
        <w:t>”或者“</w:t>
      </w:r>
      <w:r>
        <w:rPr>
          <w:rFonts w:hint="eastAsia" w:ascii="宋体" w:hAnsi="宋体"/>
          <w:color w:val="auto"/>
          <w:highlight w:val="none"/>
          <w:shd w:val="clear" w:color="auto" w:fill="FFFFFF" w:themeFill="background1"/>
        </w:rPr>
        <w:t>无偏离</w:t>
      </w:r>
      <w:r>
        <w:rPr>
          <w:rFonts w:hint="eastAsia" w:ascii="宋体" w:hAnsi="宋体"/>
          <w:b w:val="0"/>
          <w:bCs w:val="0"/>
          <w:color w:val="auto"/>
          <w:highlight w:val="none"/>
          <w:shd w:val="clear" w:color="auto" w:fill="FFFFFF" w:themeFill="background1"/>
        </w:rPr>
        <w:t>”。既不属于“</w:t>
      </w:r>
      <w:r>
        <w:rPr>
          <w:rFonts w:hint="eastAsia" w:ascii="宋体" w:hAnsi="宋体"/>
          <w:color w:val="auto"/>
          <w:highlight w:val="none"/>
          <w:shd w:val="clear" w:color="auto" w:fill="FFFFFF" w:themeFill="background1"/>
        </w:rPr>
        <w:t>正偏离</w:t>
      </w:r>
      <w:r>
        <w:rPr>
          <w:rFonts w:hint="eastAsia" w:ascii="宋体" w:hAnsi="宋体"/>
          <w:b w:val="0"/>
          <w:bCs w:val="0"/>
          <w:color w:val="auto"/>
          <w:highlight w:val="none"/>
          <w:shd w:val="clear" w:color="auto" w:fill="FFFFFF" w:themeFill="background1"/>
        </w:rPr>
        <w:t>”也不属于“</w:t>
      </w:r>
      <w:r>
        <w:rPr>
          <w:rFonts w:hint="eastAsia" w:ascii="宋体" w:hAnsi="宋体"/>
          <w:color w:val="auto"/>
          <w:highlight w:val="none"/>
          <w:shd w:val="clear" w:color="auto" w:fill="FFFFFF" w:themeFill="background1"/>
        </w:rPr>
        <w:t>负偏离</w:t>
      </w:r>
      <w:r>
        <w:rPr>
          <w:rFonts w:hint="eastAsia" w:ascii="宋体" w:hAnsi="宋体"/>
          <w:b w:val="0"/>
          <w:bCs w:val="0"/>
          <w:color w:val="auto"/>
          <w:highlight w:val="none"/>
          <w:shd w:val="clear" w:color="auto" w:fill="FFFFFF" w:themeFill="background1"/>
        </w:rPr>
        <w:t>”即为“</w:t>
      </w:r>
      <w:r>
        <w:rPr>
          <w:rFonts w:hint="eastAsia" w:ascii="宋体" w:hAnsi="宋体"/>
          <w:color w:val="auto"/>
          <w:highlight w:val="none"/>
          <w:shd w:val="clear" w:color="auto" w:fill="FFFFFF" w:themeFill="background1"/>
        </w:rPr>
        <w:t>无偏离</w:t>
      </w:r>
      <w:r>
        <w:rPr>
          <w:rFonts w:hint="eastAsia" w:ascii="宋体" w:hAnsi="宋体"/>
          <w:b w:val="0"/>
          <w:bCs w:val="0"/>
          <w:color w:val="auto"/>
          <w:highlight w:val="none"/>
          <w:shd w:val="clear" w:color="auto" w:fill="FFFFFF" w:themeFill="background1"/>
        </w:rPr>
        <w:t>”。</w:t>
      </w:r>
    </w:p>
    <w:p w14:paraId="7FFFEC8D">
      <w:pPr>
        <w:snapToGrid w:val="0"/>
        <w:spacing w:before="50" w:after="50"/>
        <w:ind w:firstLine="482"/>
        <w:rPr>
          <w:rFonts w:ascii="宋体" w:hAnsi="宋体"/>
          <w:color w:val="auto"/>
          <w:sz w:val="24"/>
          <w:highlight w:val="none"/>
          <w:shd w:val="clear" w:color="auto" w:fill="FFFFFF" w:themeFill="background1"/>
        </w:rPr>
      </w:pPr>
    </w:p>
    <w:p w14:paraId="41F35D75">
      <w:pPr>
        <w:snapToGrid w:val="0"/>
        <w:spacing w:before="50" w:after="50"/>
        <w:ind w:firstLine="482"/>
        <w:rPr>
          <w:rFonts w:ascii="宋体" w:hAnsi="宋体"/>
          <w:color w:val="auto"/>
          <w:sz w:val="24"/>
          <w:highlight w:val="none"/>
          <w:shd w:val="clear" w:color="auto" w:fill="FFFFFF" w:themeFill="background1"/>
        </w:rPr>
      </w:pPr>
    </w:p>
    <w:p w14:paraId="1CD7981F">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4A4014F">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E869B2C">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76BA614">
      <w:pPr>
        <w:snapToGrid w:val="0"/>
        <w:spacing w:before="120" w:beforeLines="50"/>
        <w:rPr>
          <w:rFonts w:hint="eastAsia" w:ascii="宋体" w:hAnsi="宋体"/>
          <w:color w:val="auto"/>
          <w:sz w:val="24"/>
          <w:szCs w:val="20"/>
          <w:highlight w:val="none"/>
        </w:rPr>
      </w:pPr>
    </w:p>
    <w:p w14:paraId="2ED21FBB">
      <w:pPr>
        <w:snapToGrid w:val="0"/>
        <w:spacing w:beforeLines="50" w:after="50"/>
        <w:ind w:firstLine="482"/>
        <w:jc w:val="left"/>
        <w:rPr>
          <w:rFonts w:ascii="宋体" w:hAnsi="宋体"/>
          <w:color w:val="auto"/>
          <w:sz w:val="24"/>
          <w:szCs w:val="20"/>
          <w:highlight w:val="none"/>
          <w:shd w:val="clear" w:color="auto" w:fill="FFFFFF" w:themeFill="background1"/>
        </w:rPr>
        <w:sectPr>
          <w:footerReference r:id="rId6" w:type="first"/>
          <w:headerReference r:id="rId3" w:type="default"/>
          <w:footerReference r:id="rId4" w:type="default"/>
          <w:footerReference r:id="rId5" w:type="even"/>
          <w:pgSz w:w="11906" w:h="16838"/>
          <w:pgMar w:top="1440" w:right="1417" w:bottom="1440" w:left="1417" w:header="851" w:footer="992" w:gutter="0"/>
          <w:cols w:space="720" w:num="1"/>
          <w:docGrid w:linePitch="312" w:charSpace="0"/>
        </w:sectPr>
      </w:pPr>
    </w:p>
    <w:p w14:paraId="4B261086">
      <w:pPr>
        <w:snapToGrid w:val="0"/>
        <w:spacing w:beforeLines="50" w:after="50"/>
        <w:ind w:firstLine="482"/>
        <w:jc w:val="left"/>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t>7.投标人业绩证明材料</w:t>
      </w:r>
    </w:p>
    <w:p w14:paraId="579A00DD">
      <w:pPr>
        <w:pStyle w:val="46"/>
        <w:snapToGrid w:val="0"/>
        <w:ind w:left="480" w:hanging="480"/>
        <w:rPr>
          <w:rFonts w:ascii="宋体" w:hAnsi="宋体"/>
          <w:color w:val="auto"/>
          <w:sz w:val="24"/>
          <w:highlight w:val="none"/>
          <w:shd w:val="clear" w:color="auto" w:fill="FFFFFF" w:themeFill="background1"/>
        </w:rPr>
      </w:pPr>
    </w:p>
    <w:p w14:paraId="5D996B34">
      <w:pPr>
        <w:pStyle w:val="46"/>
        <w:snapToGrid w:val="0"/>
        <w:ind w:left="480" w:hanging="480"/>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 xml:space="preserve">投标人业绩情况一览表格式： </w:t>
      </w:r>
    </w:p>
    <w:tbl>
      <w:tblPr>
        <w:tblStyle w:val="6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58FB3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7E92E564">
            <w:pPr>
              <w:snapToGrid w:val="0"/>
              <w:spacing w:line="240" w:lineRule="exact"/>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0C2B2772">
            <w:pPr>
              <w:snapToGrid w:val="0"/>
              <w:spacing w:line="240" w:lineRule="exact"/>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9BD5A1A">
            <w:pPr>
              <w:snapToGrid w:val="0"/>
              <w:spacing w:line="240" w:lineRule="exact"/>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合同金额</w:t>
            </w:r>
          </w:p>
          <w:p w14:paraId="2479BD9C">
            <w:pPr>
              <w:snapToGrid w:val="0"/>
              <w:spacing w:line="240" w:lineRule="exact"/>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01C6CE73">
            <w:pPr>
              <w:snapToGrid w:val="0"/>
              <w:spacing w:line="240" w:lineRule="exact"/>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采购人联系人及</w:t>
            </w:r>
          </w:p>
          <w:p w14:paraId="69045CF0">
            <w:pPr>
              <w:snapToGrid w:val="0"/>
              <w:spacing w:line="240" w:lineRule="exact"/>
              <w:ind w:firstLine="482"/>
              <w:jc w:val="center"/>
              <w:rPr>
                <w:rFonts w:ascii="宋体" w:hAnsi="宋体"/>
                <w:color w:val="auto"/>
                <w:sz w:val="24"/>
                <w:highlight w:val="none"/>
                <w:shd w:val="clear" w:color="auto" w:fill="FFFFFF" w:themeFill="background1"/>
              </w:rPr>
            </w:pPr>
            <w:r>
              <w:rPr>
                <w:rFonts w:hint="eastAsia" w:ascii="宋体" w:hAnsi="宋体"/>
                <w:color w:val="auto"/>
                <w:sz w:val="24"/>
                <w:highlight w:val="none"/>
                <w:shd w:val="clear" w:color="auto" w:fill="FFFFFF" w:themeFill="background1"/>
              </w:rPr>
              <w:t>联系电话</w:t>
            </w:r>
          </w:p>
        </w:tc>
      </w:tr>
      <w:tr w14:paraId="5D2C3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4A62E067">
            <w:pPr>
              <w:ind w:firstLine="482"/>
              <w:jc w:val="left"/>
              <w:rPr>
                <w:rFonts w:ascii="宋体" w:hAnsi="宋体"/>
                <w:color w:val="auto"/>
                <w:sz w:val="24"/>
                <w:highlight w:val="none"/>
                <w:shd w:val="clear" w:color="auto" w:fill="FFFFFF" w:themeFill="background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66BC1C7">
            <w:pPr>
              <w:ind w:firstLine="482"/>
              <w:jc w:val="left"/>
              <w:rPr>
                <w:rFonts w:ascii="宋体" w:hAnsi="宋体"/>
                <w:color w:val="auto"/>
                <w:sz w:val="24"/>
                <w:highlight w:val="none"/>
                <w:shd w:val="clear" w:color="auto" w:fill="FFFFFF" w:themeFill="background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53B5301">
            <w:pPr>
              <w:ind w:firstLine="482"/>
              <w:jc w:val="left"/>
              <w:rPr>
                <w:rFonts w:ascii="宋体" w:hAnsi="宋体"/>
                <w:color w:val="auto"/>
                <w:sz w:val="24"/>
                <w:highlight w:val="none"/>
                <w:shd w:val="clear" w:color="auto" w:fill="FFFFFF" w:themeFill="background1"/>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22C4FB37">
            <w:pPr>
              <w:ind w:firstLine="482"/>
              <w:jc w:val="left"/>
              <w:rPr>
                <w:rFonts w:ascii="宋体" w:hAnsi="宋体"/>
                <w:color w:val="auto"/>
                <w:sz w:val="24"/>
                <w:highlight w:val="none"/>
                <w:shd w:val="clear" w:color="auto" w:fill="FFFFFF" w:themeFill="background1"/>
              </w:rPr>
            </w:pPr>
          </w:p>
        </w:tc>
      </w:tr>
      <w:tr w14:paraId="7893E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6BF4F3A7">
            <w:pPr>
              <w:snapToGrid w:val="0"/>
              <w:spacing w:line="240" w:lineRule="exact"/>
              <w:ind w:firstLine="482"/>
              <w:jc w:val="left"/>
              <w:rPr>
                <w:rFonts w:ascii="宋体" w:hAnsi="宋体"/>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093D68A2">
            <w:pPr>
              <w:snapToGrid w:val="0"/>
              <w:spacing w:line="240" w:lineRule="exact"/>
              <w:ind w:firstLine="482"/>
              <w:jc w:val="left"/>
              <w:rPr>
                <w:rFonts w:ascii="宋体" w:hAnsi="宋体"/>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6C2213F2">
            <w:pPr>
              <w:snapToGrid w:val="0"/>
              <w:spacing w:line="240" w:lineRule="exact"/>
              <w:ind w:firstLine="482"/>
              <w:jc w:val="left"/>
              <w:rPr>
                <w:rFonts w:ascii="宋体" w:hAnsi="宋体"/>
                <w:color w:val="auto"/>
                <w:sz w:val="24"/>
                <w:highlight w:val="none"/>
                <w:shd w:val="clear" w:color="auto" w:fill="FFFFFF" w:themeFill="background1"/>
              </w:rPr>
            </w:pPr>
          </w:p>
        </w:tc>
        <w:tc>
          <w:tcPr>
            <w:tcW w:w="2855" w:type="dxa"/>
            <w:tcBorders>
              <w:top w:val="single" w:color="auto" w:sz="4" w:space="0"/>
              <w:left w:val="single" w:color="auto" w:sz="4" w:space="0"/>
              <w:bottom w:val="single" w:color="auto" w:sz="4" w:space="0"/>
              <w:right w:val="single" w:color="auto" w:sz="4" w:space="0"/>
            </w:tcBorders>
          </w:tcPr>
          <w:p w14:paraId="7B49A5EC">
            <w:pPr>
              <w:snapToGrid w:val="0"/>
              <w:spacing w:line="240" w:lineRule="exact"/>
              <w:ind w:firstLine="482"/>
              <w:jc w:val="left"/>
              <w:rPr>
                <w:rFonts w:ascii="宋体" w:hAnsi="宋体"/>
                <w:color w:val="auto"/>
                <w:sz w:val="24"/>
                <w:highlight w:val="none"/>
                <w:shd w:val="clear" w:color="auto" w:fill="FFFFFF" w:themeFill="background1"/>
              </w:rPr>
            </w:pPr>
          </w:p>
        </w:tc>
      </w:tr>
      <w:tr w14:paraId="4417B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456A182">
            <w:pPr>
              <w:snapToGrid w:val="0"/>
              <w:spacing w:before="50" w:afterLines="50" w:line="400" w:lineRule="exact"/>
              <w:ind w:firstLine="482"/>
              <w:jc w:val="left"/>
              <w:rPr>
                <w:rFonts w:ascii="宋体" w:hAnsi="宋体"/>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4E0ED821">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3A73D76D">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2855" w:type="dxa"/>
            <w:tcBorders>
              <w:top w:val="single" w:color="auto" w:sz="4" w:space="0"/>
              <w:left w:val="single" w:color="auto" w:sz="4" w:space="0"/>
              <w:bottom w:val="single" w:color="auto" w:sz="4" w:space="0"/>
              <w:right w:val="single" w:color="auto" w:sz="4" w:space="0"/>
            </w:tcBorders>
          </w:tcPr>
          <w:p w14:paraId="5B1CD0E9">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r>
      <w:tr w14:paraId="6F1E4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283C9D50">
            <w:pPr>
              <w:snapToGrid w:val="0"/>
              <w:spacing w:before="50" w:afterLines="50" w:line="400" w:lineRule="exact"/>
              <w:ind w:firstLine="482"/>
              <w:jc w:val="left"/>
              <w:rPr>
                <w:rFonts w:ascii="宋体" w:hAnsi="宋体"/>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57CD2692">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4F3877BD">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2855" w:type="dxa"/>
            <w:tcBorders>
              <w:top w:val="single" w:color="auto" w:sz="4" w:space="0"/>
              <w:left w:val="single" w:color="auto" w:sz="4" w:space="0"/>
              <w:bottom w:val="single" w:color="auto" w:sz="4" w:space="0"/>
              <w:right w:val="single" w:color="auto" w:sz="4" w:space="0"/>
            </w:tcBorders>
          </w:tcPr>
          <w:p w14:paraId="0D8B10AD">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r>
      <w:tr w14:paraId="04341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74E5EFAB">
            <w:pPr>
              <w:snapToGrid w:val="0"/>
              <w:spacing w:before="50" w:afterLines="50" w:line="400" w:lineRule="exact"/>
              <w:ind w:firstLine="482"/>
              <w:jc w:val="left"/>
              <w:rPr>
                <w:rFonts w:ascii="宋体" w:hAnsi="宋体"/>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63841DD8">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43349B00">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2855" w:type="dxa"/>
            <w:tcBorders>
              <w:top w:val="single" w:color="auto" w:sz="4" w:space="0"/>
              <w:left w:val="single" w:color="auto" w:sz="4" w:space="0"/>
              <w:bottom w:val="single" w:color="auto" w:sz="4" w:space="0"/>
              <w:right w:val="single" w:color="auto" w:sz="4" w:space="0"/>
            </w:tcBorders>
          </w:tcPr>
          <w:p w14:paraId="24C83A4B">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r>
      <w:tr w14:paraId="41F6A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6710DFA">
            <w:pPr>
              <w:snapToGrid w:val="0"/>
              <w:spacing w:before="50" w:afterLines="50" w:line="400" w:lineRule="exact"/>
              <w:ind w:firstLine="482"/>
              <w:jc w:val="left"/>
              <w:rPr>
                <w:rFonts w:ascii="宋体" w:hAnsi="宋体"/>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09FFA08C">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1770" w:type="dxa"/>
            <w:tcBorders>
              <w:top w:val="single" w:color="auto" w:sz="4" w:space="0"/>
              <w:left w:val="single" w:color="auto" w:sz="4" w:space="0"/>
              <w:bottom w:val="single" w:color="auto" w:sz="4" w:space="0"/>
              <w:right w:val="single" w:color="auto" w:sz="4" w:space="0"/>
            </w:tcBorders>
          </w:tcPr>
          <w:p w14:paraId="3BC5E8EC">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c>
          <w:tcPr>
            <w:tcW w:w="2855" w:type="dxa"/>
            <w:tcBorders>
              <w:top w:val="single" w:color="auto" w:sz="4" w:space="0"/>
              <w:left w:val="single" w:color="auto" w:sz="4" w:space="0"/>
              <w:bottom w:val="single" w:color="auto" w:sz="4" w:space="0"/>
              <w:right w:val="single" w:color="auto" w:sz="4" w:space="0"/>
            </w:tcBorders>
          </w:tcPr>
          <w:p w14:paraId="5A8A03AC">
            <w:pPr>
              <w:snapToGrid w:val="0"/>
              <w:spacing w:before="50" w:afterLines="50" w:line="400" w:lineRule="exact"/>
              <w:ind w:firstLine="480"/>
              <w:jc w:val="left"/>
              <w:rPr>
                <w:rFonts w:ascii="宋体" w:hAnsi="宋体"/>
                <w:b/>
                <w:bCs/>
                <w:color w:val="auto"/>
                <w:sz w:val="24"/>
                <w:highlight w:val="none"/>
                <w:shd w:val="clear" w:color="auto" w:fill="FFFFFF" w:themeFill="background1"/>
              </w:rPr>
            </w:pPr>
          </w:p>
        </w:tc>
      </w:tr>
    </w:tbl>
    <w:p w14:paraId="64FBA081">
      <w:pPr>
        <w:pStyle w:val="17"/>
        <w:spacing w:before="0" w:after="0" w:line="360" w:lineRule="auto"/>
        <w:ind w:firstLine="482"/>
        <w:contextualSpacing/>
        <w:rPr>
          <w:rFonts w:ascii="宋体" w:hAnsi="宋体" w:eastAsia="宋体"/>
          <w:color w:val="auto"/>
          <w:sz w:val="24"/>
          <w:szCs w:val="24"/>
          <w:highlight w:val="none"/>
          <w:shd w:val="clear" w:color="auto" w:fill="FFFFFF" w:themeFill="background1"/>
        </w:rPr>
      </w:pPr>
    </w:p>
    <w:p w14:paraId="3684041F">
      <w:pPr>
        <w:pStyle w:val="17"/>
        <w:spacing w:before="0" w:after="0" w:line="360" w:lineRule="auto"/>
        <w:ind w:firstLine="482"/>
        <w:contextualSpacing/>
        <w:rPr>
          <w:rFonts w:ascii="宋体" w:hAnsi="宋体" w:eastAsia="宋体"/>
          <w:color w:val="auto"/>
          <w:sz w:val="24"/>
          <w:szCs w:val="24"/>
          <w:highlight w:val="none"/>
          <w:shd w:val="clear" w:color="auto" w:fill="FFFFFF" w:themeFill="background1"/>
        </w:rPr>
      </w:pPr>
      <w:r>
        <w:rPr>
          <w:rFonts w:hint="eastAsia" w:ascii="宋体" w:hAnsi="宋体" w:eastAsia="宋体"/>
          <w:color w:val="auto"/>
          <w:sz w:val="24"/>
          <w:szCs w:val="24"/>
          <w:highlight w:val="none"/>
          <w:shd w:val="clear" w:color="auto" w:fill="FFFFFF" w:themeFill="background1"/>
        </w:rPr>
        <w:t>注：</w:t>
      </w:r>
      <w:r>
        <w:rPr>
          <w:rFonts w:hint="eastAsia" w:ascii="宋体" w:hAnsi="宋体"/>
          <w:color w:val="auto"/>
          <w:sz w:val="24"/>
          <w:highlight w:val="none"/>
          <w:shd w:val="clear" w:color="auto" w:fill="FFFFFF" w:themeFill="background1"/>
        </w:rPr>
        <w:t>投标人根据评标标准具体要求附业绩证明材料。</w:t>
      </w:r>
    </w:p>
    <w:p w14:paraId="4FF05A26">
      <w:pPr>
        <w:pStyle w:val="17"/>
        <w:spacing w:before="0" w:after="0" w:line="360" w:lineRule="auto"/>
        <w:contextualSpacing/>
        <w:jc w:val="left"/>
        <w:rPr>
          <w:rFonts w:hint="eastAsia" w:ascii="宋体" w:hAnsi="宋体" w:eastAsia="宋体"/>
          <w:color w:val="auto"/>
          <w:sz w:val="24"/>
          <w:szCs w:val="24"/>
          <w:highlight w:val="none"/>
        </w:rPr>
      </w:pPr>
    </w:p>
    <w:p w14:paraId="1E74D6FC">
      <w:pPr>
        <w:pStyle w:val="17"/>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15324CD7">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752D278C">
      <w:pPr>
        <w:snapToGrid w:val="0"/>
        <w:spacing w:before="50"/>
        <w:ind w:firstLine="480" w:firstLineChars="200"/>
        <w:jc w:val="left"/>
        <w:rPr>
          <w:rFonts w:ascii="宋体" w:hAnsi="宋体"/>
          <w:color w:val="auto"/>
          <w:sz w:val="24"/>
          <w:szCs w:val="20"/>
          <w:highlight w:val="none"/>
          <w:shd w:val="clear" w:color="auto" w:fill="FFFFFF" w:themeFill="background1"/>
        </w:rPr>
      </w:pPr>
    </w:p>
    <w:p w14:paraId="2586C901">
      <w:pPr>
        <w:snapToGrid w:val="0"/>
        <w:spacing w:before="50"/>
        <w:ind w:firstLine="482"/>
        <w:jc w:val="left"/>
        <w:rPr>
          <w:rFonts w:ascii="宋体" w:hAnsi="宋体"/>
          <w:color w:val="auto"/>
          <w:sz w:val="24"/>
          <w:highlight w:val="none"/>
          <w:shd w:val="clear" w:color="auto" w:fill="FFFFFF" w:themeFill="background1"/>
        </w:rPr>
      </w:pPr>
    </w:p>
    <w:p w14:paraId="2B29E52F">
      <w:pPr>
        <w:snapToGrid w:val="0"/>
        <w:spacing w:beforeLines="50"/>
        <w:ind w:firstLine="482"/>
        <w:rPr>
          <w:rFonts w:ascii="宋体" w:hAnsi="宋体"/>
          <w:color w:val="auto"/>
          <w:sz w:val="24"/>
          <w:szCs w:val="20"/>
          <w:highlight w:val="none"/>
          <w:shd w:val="clear" w:color="auto" w:fill="FFFFFF" w:themeFill="background1"/>
        </w:rPr>
        <w:sectPr>
          <w:pgSz w:w="11906" w:h="16838"/>
          <w:pgMar w:top="1440" w:right="1797" w:bottom="1440" w:left="1797" w:header="851" w:footer="992" w:gutter="0"/>
          <w:cols w:space="720" w:num="1"/>
          <w:docGrid w:linePitch="312" w:charSpace="0"/>
        </w:sectPr>
      </w:pPr>
    </w:p>
    <w:p w14:paraId="61BAA99E">
      <w:pPr>
        <w:snapToGrid w:val="0"/>
        <w:spacing w:beforeLines="50" w:after="50"/>
        <w:ind w:firstLine="482"/>
        <w:jc w:val="left"/>
        <w:rPr>
          <w:rFonts w:ascii="宋体" w:hAnsi="宋体"/>
          <w:b/>
          <w:color w:val="auto"/>
          <w:sz w:val="24"/>
          <w:highlight w:val="none"/>
          <w:shd w:val="clear" w:color="auto" w:fill="FFFFFF" w:themeFill="background1"/>
        </w:rPr>
      </w:pPr>
      <w:bookmarkStart w:id="356" w:name="_Toc19686839"/>
      <w:r>
        <w:rPr>
          <w:rFonts w:hint="eastAsia" w:ascii="宋体" w:hAnsi="宋体"/>
          <w:b/>
          <w:color w:val="auto"/>
          <w:sz w:val="24"/>
          <w:highlight w:val="none"/>
          <w:shd w:val="clear" w:color="auto" w:fill="FFFFFF" w:themeFill="background1"/>
        </w:rPr>
        <w:t>8.技术要求偏离表格式</w:t>
      </w:r>
    </w:p>
    <w:p w14:paraId="45171B77">
      <w:pPr>
        <w:snapToGrid w:val="0"/>
        <w:spacing w:beforeLines="50" w:after="50"/>
        <w:ind w:left="142" w:firstLine="480"/>
        <w:jc w:val="left"/>
        <w:rPr>
          <w:rFonts w:ascii="宋体" w:hAnsi="宋体"/>
          <w:b/>
          <w:color w:val="auto"/>
          <w:sz w:val="24"/>
          <w:highlight w:val="none"/>
          <w:shd w:val="clear" w:color="auto" w:fill="FFFFFF" w:themeFill="background1"/>
        </w:rPr>
      </w:pPr>
    </w:p>
    <w:p w14:paraId="3AA93840">
      <w:pPr>
        <w:snapToGrid w:val="0"/>
        <w:spacing w:beforeLines="50" w:after="50"/>
        <w:ind w:left="142" w:firstLine="643"/>
        <w:jc w:val="center"/>
        <w:rPr>
          <w:rFonts w:ascii="宋体" w:hAnsi="宋体"/>
          <w:b/>
          <w:color w:val="auto"/>
          <w:sz w:val="32"/>
          <w:szCs w:val="32"/>
          <w:highlight w:val="none"/>
          <w:shd w:val="clear" w:color="auto" w:fill="FFFFFF" w:themeFill="background1"/>
        </w:rPr>
      </w:pPr>
      <w:r>
        <w:rPr>
          <w:rFonts w:hint="eastAsia" w:ascii="宋体" w:hAnsi="宋体"/>
          <w:b/>
          <w:color w:val="auto"/>
          <w:sz w:val="32"/>
          <w:szCs w:val="32"/>
          <w:highlight w:val="none"/>
          <w:shd w:val="clear" w:color="auto" w:fill="FFFFFF" w:themeFill="background1"/>
        </w:rPr>
        <w:t>技术要求偏离表</w:t>
      </w:r>
    </w:p>
    <w:p w14:paraId="099AE528">
      <w:pPr>
        <w:pStyle w:val="31"/>
        <w:spacing w:after="120"/>
        <w:ind w:firstLine="482"/>
        <w:rPr>
          <w:rFonts w:hAnsi="宋体"/>
          <w:color w:val="auto"/>
          <w:sz w:val="24"/>
          <w:szCs w:val="24"/>
          <w:highlight w:val="none"/>
          <w:shd w:val="clear" w:color="auto" w:fill="FFFFFF" w:themeFill="background1"/>
        </w:rPr>
      </w:pPr>
      <w:r>
        <w:rPr>
          <w:rFonts w:hint="eastAsia" w:hAnsi="宋体"/>
          <w:color w:val="auto"/>
          <w:sz w:val="24"/>
          <w:szCs w:val="24"/>
          <w:highlight w:val="none"/>
          <w:shd w:val="clear" w:color="auto" w:fill="FFFFFF" w:themeFill="background1"/>
        </w:rPr>
        <w:t>所投分标：</w:t>
      </w:r>
      <w:r>
        <w:rPr>
          <w:rFonts w:hint="eastAsia" w:hAnsi="宋体"/>
          <w:color w:val="auto"/>
          <w:sz w:val="24"/>
          <w:szCs w:val="24"/>
          <w:highlight w:val="none"/>
          <w:u w:val="single"/>
          <w:shd w:val="clear" w:color="auto" w:fill="FFFFFF" w:themeFill="background1"/>
        </w:rPr>
        <w:t>/</w:t>
      </w:r>
      <w:r>
        <w:rPr>
          <w:rFonts w:hint="eastAsia" w:hAnsi="宋体"/>
          <w:color w:val="auto"/>
          <w:sz w:val="24"/>
          <w:szCs w:val="24"/>
          <w:highlight w:val="none"/>
          <w:shd w:val="clear" w:color="auto" w:fill="FFFFFF" w:themeFill="background1"/>
        </w:rPr>
        <w:t>分标</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20E1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0E9A992">
            <w:pPr>
              <w:pStyle w:val="31"/>
              <w:spacing w:after="120" w:line="400" w:lineRule="exact"/>
              <w:jc w:val="both"/>
              <w:rPr>
                <w:rFonts w:hAnsi="宋体" w:cs="Courier New"/>
                <w:color w:val="auto"/>
                <w:kern w:val="2"/>
                <w:sz w:val="24"/>
                <w:szCs w:val="24"/>
                <w:highlight w:val="none"/>
                <w:shd w:val="clear" w:color="auto" w:fill="FFFFFF" w:themeFill="background1"/>
              </w:rPr>
            </w:pPr>
            <w:r>
              <w:rPr>
                <w:rFonts w:hint="eastAsia" w:hAnsi="宋体" w:cs="Courier New"/>
                <w:color w:val="auto"/>
                <w:kern w:val="2"/>
                <w:sz w:val="24"/>
                <w:szCs w:val="24"/>
                <w:highlight w:val="none"/>
                <w:shd w:val="clear" w:color="auto" w:fill="FFFFFF" w:themeFill="background1"/>
              </w:rPr>
              <w:t>项号</w:t>
            </w:r>
          </w:p>
        </w:tc>
        <w:tc>
          <w:tcPr>
            <w:tcW w:w="2143" w:type="dxa"/>
            <w:tcBorders>
              <w:top w:val="single" w:color="auto" w:sz="4" w:space="0"/>
              <w:left w:val="single" w:color="auto" w:sz="4" w:space="0"/>
              <w:bottom w:val="single" w:color="auto" w:sz="4" w:space="0"/>
              <w:right w:val="single" w:color="auto" w:sz="4" w:space="0"/>
            </w:tcBorders>
            <w:vAlign w:val="center"/>
          </w:tcPr>
          <w:p w14:paraId="25AF02D1">
            <w:pPr>
              <w:pStyle w:val="31"/>
              <w:spacing w:after="120" w:line="400" w:lineRule="exact"/>
              <w:ind w:firstLine="482"/>
              <w:jc w:val="center"/>
              <w:rPr>
                <w:rFonts w:hAnsi="宋体" w:cs="Courier New"/>
                <w:color w:val="auto"/>
                <w:kern w:val="2"/>
                <w:sz w:val="24"/>
                <w:szCs w:val="24"/>
                <w:highlight w:val="none"/>
                <w:shd w:val="clear" w:color="auto" w:fill="FFFFFF" w:themeFill="background1"/>
              </w:rPr>
            </w:pPr>
            <w:r>
              <w:rPr>
                <w:rFonts w:hint="eastAsia" w:hAnsi="宋体" w:cs="Courier New"/>
                <w:color w:val="auto"/>
                <w:kern w:val="2"/>
                <w:sz w:val="24"/>
                <w:szCs w:val="24"/>
                <w:highlight w:val="none"/>
                <w:shd w:val="clear" w:color="auto" w:fill="FFFFFF" w:themeFill="background1"/>
              </w:rPr>
              <w:t>标的的名称</w:t>
            </w:r>
          </w:p>
        </w:tc>
        <w:tc>
          <w:tcPr>
            <w:tcW w:w="1834" w:type="dxa"/>
            <w:tcBorders>
              <w:top w:val="single" w:color="auto" w:sz="4" w:space="0"/>
              <w:left w:val="single" w:color="auto" w:sz="4" w:space="0"/>
              <w:bottom w:val="single" w:color="auto" w:sz="4" w:space="0"/>
              <w:right w:val="single" w:color="auto" w:sz="4" w:space="0"/>
            </w:tcBorders>
            <w:vAlign w:val="center"/>
          </w:tcPr>
          <w:p w14:paraId="5D4ACF6C">
            <w:pPr>
              <w:pStyle w:val="31"/>
              <w:spacing w:after="120" w:line="400" w:lineRule="exact"/>
              <w:ind w:firstLine="482"/>
              <w:jc w:val="center"/>
              <w:rPr>
                <w:rFonts w:hAnsi="宋体" w:cs="Courier New"/>
                <w:color w:val="auto"/>
                <w:kern w:val="2"/>
                <w:sz w:val="24"/>
                <w:szCs w:val="24"/>
                <w:highlight w:val="none"/>
                <w:shd w:val="clear" w:color="auto" w:fill="FFFFFF" w:themeFill="background1"/>
              </w:rPr>
            </w:pPr>
            <w:r>
              <w:rPr>
                <w:rFonts w:hint="eastAsia" w:hAnsi="宋体" w:cs="Courier New"/>
                <w:color w:val="auto"/>
                <w:kern w:val="2"/>
                <w:sz w:val="24"/>
                <w:szCs w:val="24"/>
                <w:highlight w:val="none"/>
                <w:shd w:val="clear" w:color="auto" w:fill="FFFFFF" w:themeFill="background1"/>
              </w:rPr>
              <w:t>技术要求</w:t>
            </w:r>
          </w:p>
        </w:tc>
        <w:tc>
          <w:tcPr>
            <w:tcW w:w="2181" w:type="dxa"/>
            <w:tcBorders>
              <w:top w:val="single" w:color="auto" w:sz="4" w:space="0"/>
              <w:left w:val="single" w:color="auto" w:sz="4" w:space="0"/>
              <w:bottom w:val="single" w:color="auto" w:sz="4" w:space="0"/>
              <w:right w:val="single" w:color="auto" w:sz="4" w:space="0"/>
            </w:tcBorders>
            <w:vAlign w:val="center"/>
          </w:tcPr>
          <w:p w14:paraId="5C6E6FDC">
            <w:pPr>
              <w:pStyle w:val="31"/>
              <w:spacing w:after="120" w:line="400" w:lineRule="exact"/>
              <w:ind w:firstLine="482"/>
              <w:jc w:val="center"/>
              <w:rPr>
                <w:rFonts w:hAnsi="宋体" w:cs="Courier New"/>
                <w:color w:val="auto"/>
                <w:kern w:val="2"/>
                <w:sz w:val="24"/>
                <w:szCs w:val="24"/>
                <w:highlight w:val="none"/>
                <w:shd w:val="clear" w:color="auto" w:fill="FFFFFF" w:themeFill="background1"/>
              </w:rPr>
            </w:pPr>
            <w:r>
              <w:rPr>
                <w:rFonts w:hint="eastAsia" w:hAnsi="宋体" w:cs="Courier New"/>
                <w:color w:val="auto"/>
                <w:kern w:val="2"/>
                <w:sz w:val="24"/>
                <w:szCs w:val="24"/>
                <w:highlight w:val="none"/>
                <w:shd w:val="clear" w:color="auto" w:fill="FFFFFF" w:themeFill="background1"/>
              </w:rPr>
              <w:t>投标响应</w:t>
            </w:r>
          </w:p>
        </w:tc>
        <w:tc>
          <w:tcPr>
            <w:tcW w:w="1934" w:type="dxa"/>
            <w:tcBorders>
              <w:top w:val="single" w:color="auto" w:sz="4" w:space="0"/>
              <w:left w:val="single" w:color="auto" w:sz="4" w:space="0"/>
              <w:bottom w:val="single" w:color="auto" w:sz="4" w:space="0"/>
              <w:right w:val="single" w:color="auto" w:sz="4" w:space="0"/>
            </w:tcBorders>
            <w:vAlign w:val="center"/>
          </w:tcPr>
          <w:p w14:paraId="6408BA5F">
            <w:pPr>
              <w:pStyle w:val="31"/>
              <w:spacing w:after="120" w:line="400" w:lineRule="exact"/>
              <w:ind w:firstLine="482"/>
              <w:jc w:val="center"/>
              <w:rPr>
                <w:rFonts w:hAnsi="宋体" w:cs="Courier New"/>
                <w:color w:val="auto"/>
                <w:kern w:val="2"/>
                <w:sz w:val="24"/>
                <w:szCs w:val="24"/>
                <w:highlight w:val="none"/>
                <w:shd w:val="clear" w:color="auto" w:fill="FFFFFF" w:themeFill="background1"/>
              </w:rPr>
            </w:pPr>
            <w:r>
              <w:rPr>
                <w:rFonts w:hint="eastAsia" w:hAnsi="宋体" w:cs="Courier New"/>
                <w:color w:val="auto"/>
                <w:kern w:val="2"/>
                <w:sz w:val="24"/>
                <w:szCs w:val="24"/>
                <w:highlight w:val="none"/>
                <w:shd w:val="clear" w:color="auto" w:fill="FFFFFF" w:themeFill="background1"/>
              </w:rPr>
              <w:t>偏离说明</w:t>
            </w:r>
          </w:p>
        </w:tc>
      </w:tr>
      <w:tr w14:paraId="615F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599A95D1">
            <w:pPr>
              <w:pStyle w:val="31"/>
              <w:spacing w:after="120" w:line="600" w:lineRule="exact"/>
              <w:ind w:firstLine="482"/>
              <w:jc w:val="center"/>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vAlign w:val="center"/>
          </w:tcPr>
          <w:p w14:paraId="7811FAC3">
            <w:pPr>
              <w:pStyle w:val="31"/>
              <w:spacing w:after="120" w:line="600" w:lineRule="exact"/>
              <w:ind w:firstLine="482"/>
              <w:jc w:val="center"/>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vAlign w:val="center"/>
          </w:tcPr>
          <w:p w14:paraId="6B7B91B4">
            <w:pPr>
              <w:pStyle w:val="31"/>
              <w:spacing w:after="120" w:line="600" w:lineRule="exact"/>
              <w:ind w:firstLine="482"/>
              <w:jc w:val="center"/>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vAlign w:val="center"/>
          </w:tcPr>
          <w:p w14:paraId="275EEC73">
            <w:pPr>
              <w:pStyle w:val="31"/>
              <w:spacing w:after="120" w:line="600" w:lineRule="exact"/>
              <w:ind w:firstLine="482"/>
              <w:jc w:val="center"/>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vAlign w:val="center"/>
          </w:tcPr>
          <w:p w14:paraId="0D0D0773">
            <w:pPr>
              <w:pStyle w:val="31"/>
              <w:spacing w:after="120" w:line="600" w:lineRule="exact"/>
              <w:ind w:firstLine="482"/>
              <w:jc w:val="center"/>
              <w:rPr>
                <w:rFonts w:hAnsi="宋体" w:cs="Courier New"/>
                <w:color w:val="auto"/>
                <w:kern w:val="2"/>
                <w:sz w:val="24"/>
                <w:szCs w:val="24"/>
                <w:highlight w:val="none"/>
                <w:shd w:val="clear" w:color="auto" w:fill="FFFFFF" w:themeFill="background1"/>
              </w:rPr>
            </w:pPr>
          </w:p>
        </w:tc>
      </w:tr>
      <w:tr w14:paraId="769D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035A0B6B">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tcPr>
          <w:p w14:paraId="0B3AFDC6">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tcPr>
          <w:p w14:paraId="6CD0B4B6">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tcPr>
          <w:p w14:paraId="17786B05">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tcPr>
          <w:p w14:paraId="082C1464">
            <w:pPr>
              <w:pStyle w:val="31"/>
              <w:spacing w:after="120" w:line="600" w:lineRule="exact"/>
              <w:ind w:firstLine="482"/>
              <w:rPr>
                <w:rFonts w:hAnsi="宋体" w:cs="Courier New"/>
                <w:color w:val="auto"/>
                <w:kern w:val="2"/>
                <w:sz w:val="24"/>
                <w:szCs w:val="24"/>
                <w:highlight w:val="none"/>
                <w:shd w:val="clear" w:color="auto" w:fill="FFFFFF" w:themeFill="background1"/>
              </w:rPr>
            </w:pPr>
          </w:p>
        </w:tc>
      </w:tr>
      <w:tr w14:paraId="360B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5FE7B3A0">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tcPr>
          <w:p w14:paraId="2C2512D1">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tcPr>
          <w:p w14:paraId="41E8765B">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tcPr>
          <w:p w14:paraId="657F4B10">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tcPr>
          <w:p w14:paraId="19BFC779">
            <w:pPr>
              <w:pStyle w:val="31"/>
              <w:spacing w:after="120" w:line="600" w:lineRule="exact"/>
              <w:ind w:firstLine="482"/>
              <w:rPr>
                <w:rFonts w:hAnsi="宋体" w:cs="Courier New"/>
                <w:color w:val="auto"/>
                <w:kern w:val="2"/>
                <w:sz w:val="24"/>
                <w:szCs w:val="24"/>
                <w:highlight w:val="none"/>
                <w:shd w:val="clear" w:color="auto" w:fill="FFFFFF" w:themeFill="background1"/>
              </w:rPr>
            </w:pPr>
          </w:p>
        </w:tc>
      </w:tr>
      <w:tr w14:paraId="3240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D5FF328">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tcPr>
          <w:p w14:paraId="2559DB4F">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tcPr>
          <w:p w14:paraId="6C140174">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tcPr>
          <w:p w14:paraId="03B5F513">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tcPr>
          <w:p w14:paraId="6666AA32">
            <w:pPr>
              <w:pStyle w:val="31"/>
              <w:spacing w:after="120" w:line="600" w:lineRule="exact"/>
              <w:ind w:firstLine="482"/>
              <w:rPr>
                <w:rFonts w:hAnsi="宋体" w:cs="Courier New"/>
                <w:color w:val="auto"/>
                <w:kern w:val="2"/>
                <w:sz w:val="24"/>
                <w:szCs w:val="24"/>
                <w:highlight w:val="none"/>
                <w:shd w:val="clear" w:color="auto" w:fill="FFFFFF" w:themeFill="background1"/>
              </w:rPr>
            </w:pPr>
          </w:p>
        </w:tc>
      </w:tr>
      <w:tr w14:paraId="479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64698B35">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tcPr>
          <w:p w14:paraId="78D13217">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tcPr>
          <w:p w14:paraId="1285434E">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tcPr>
          <w:p w14:paraId="57F37646">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tcPr>
          <w:p w14:paraId="245E1BD6">
            <w:pPr>
              <w:pStyle w:val="31"/>
              <w:spacing w:after="120" w:line="600" w:lineRule="exact"/>
              <w:ind w:firstLine="482"/>
              <w:rPr>
                <w:rFonts w:hAnsi="宋体" w:cs="Courier New"/>
                <w:color w:val="auto"/>
                <w:kern w:val="2"/>
                <w:sz w:val="24"/>
                <w:szCs w:val="24"/>
                <w:highlight w:val="none"/>
                <w:shd w:val="clear" w:color="auto" w:fill="FFFFFF" w:themeFill="background1"/>
              </w:rPr>
            </w:pPr>
          </w:p>
        </w:tc>
      </w:tr>
      <w:tr w14:paraId="0FA5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210DD5B0">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tcPr>
          <w:p w14:paraId="1688209B">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tcPr>
          <w:p w14:paraId="2CABC7FC">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tcPr>
          <w:p w14:paraId="1B1CB89E">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tcPr>
          <w:p w14:paraId="1CB0C965">
            <w:pPr>
              <w:pStyle w:val="31"/>
              <w:spacing w:after="120" w:line="600" w:lineRule="exact"/>
              <w:ind w:firstLine="482"/>
              <w:rPr>
                <w:rFonts w:hAnsi="宋体" w:cs="Courier New"/>
                <w:color w:val="auto"/>
                <w:kern w:val="2"/>
                <w:sz w:val="24"/>
                <w:szCs w:val="24"/>
                <w:highlight w:val="none"/>
                <w:shd w:val="clear" w:color="auto" w:fill="FFFFFF" w:themeFill="background1"/>
              </w:rPr>
            </w:pPr>
          </w:p>
        </w:tc>
      </w:tr>
      <w:tr w14:paraId="358A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5366AB96">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43" w:type="dxa"/>
            <w:tcBorders>
              <w:top w:val="single" w:color="auto" w:sz="4" w:space="0"/>
              <w:left w:val="single" w:color="auto" w:sz="4" w:space="0"/>
              <w:bottom w:val="single" w:color="auto" w:sz="4" w:space="0"/>
              <w:right w:val="single" w:color="auto" w:sz="4" w:space="0"/>
            </w:tcBorders>
          </w:tcPr>
          <w:p w14:paraId="48100776">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834" w:type="dxa"/>
            <w:tcBorders>
              <w:top w:val="single" w:color="auto" w:sz="4" w:space="0"/>
              <w:left w:val="single" w:color="auto" w:sz="4" w:space="0"/>
              <w:bottom w:val="single" w:color="auto" w:sz="4" w:space="0"/>
              <w:right w:val="single" w:color="auto" w:sz="4" w:space="0"/>
            </w:tcBorders>
          </w:tcPr>
          <w:p w14:paraId="08C740AB">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2181" w:type="dxa"/>
            <w:tcBorders>
              <w:top w:val="single" w:color="auto" w:sz="4" w:space="0"/>
              <w:left w:val="single" w:color="auto" w:sz="4" w:space="0"/>
              <w:bottom w:val="single" w:color="auto" w:sz="4" w:space="0"/>
              <w:right w:val="single" w:color="auto" w:sz="4" w:space="0"/>
            </w:tcBorders>
          </w:tcPr>
          <w:p w14:paraId="57F45B7F">
            <w:pPr>
              <w:pStyle w:val="31"/>
              <w:spacing w:after="120" w:line="600" w:lineRule="exact"/>
              <w:ind w:firstLine="482"/>
              <w:rPr>
                <w:rFonts w:hAnsi="宋体" w:cs="Courier New"/>
                <w:color w:val="auto"/>
                <w:kern w:val="2"/>
                <w:sz w:val="24"/>
                <w:szCs w:val="24"/>
                <w:highlight w:val="none"/>
                <w:shd w:val="clear" w:color="auto" w:fill="FFFFFF" w:themeFill="background1"/>
              </w:rPr>
            </w:pPr>
          </w:p>
        </w:tc>
        <w:tc>
          <w:tcPr>
            <w:tcW w:w="1934" w:type="dxa"/>
            <w:tcBorders>
              <w:top w:val="single" w:color="auto" w:sz="4" w:space="0"/>
              <w:left w:val="single" w:color="auto" w:sz="4" w:space="0"/>
              <w:bottom w:val="single" w:color="auto" w:sz="4" w:space="0"/>
              <w:right w:val="single" w:color="auto" w:sz="4" w:space="0"/>
            </w:tcBorders>
          </w:tcPr>
          <w:p w14:paraId="33DFBF12">
            <w:pPr>
              <w:pStyle w:val="31"/>
              <w:spacing w:after="120" w:line="600" w:lineRule="exact"/>
              <w:ind w:firstLine="482"/>
              <w:rPr>
                <w:rFonts w:hAnsi="宋体" w:cs="Courier New"/>
                <w:color w:val="auto"/>
                <w:kern w:val="2"/>
                <w:sz w:val="24"/>
                <w:szCs w:val="24"/>
                <w:highlight w:val="none"/>
                <w:shd w:val="clear" w:color="auto" w:fill="FFFFFF" w:themeFill="background1"/>
              </w:rPr>
            </w:pPr>
          </w:p>
        </w:tc>
      </w:tr>
    </w:tbl>
    <w:p w14:paraId="17D33D8C">
      <w:pPr>
        <w:pStyle w:val="22"/>
        <w:spacing w:line="360" w:lineRule="auto"/>
        <w:ind w:firstLine="482"/>
        <w:rPr>
          <w:rFonts w:ascii="宋体" w:hAnsi="宋体"/>
          <w:color w:val="auto"/>
          <w:highlight w:val="none"/>
          <w:shd w:val="clear" w:color="auto" w:fill="FFFFFF" w:themeFill="background1"/>
        </w:rPr>
      </w:pPr>
      <w:r>
        <w:rPr>
          <w:rFonts w:hint="eastAsia" w:ascii="宋体" w:hAnsi="宋体"/>
          <w:color w:val="auto"/>
          <w:highlight w:val="none"/>
          <w:shd w:val="clear" w:color="auto" w:fill="FFFFFF" w:themeFill="background1"/>
        </w:rPr>
        <w:t>注：</w:t>
      </w:r>
    </w:p>
    <w:p w14:paraId="5CE06D16">
      <w:pPr>
        <w:pStyle w:val="24"/>
        <w:spacing w:line="360" w:lineRule="auto"/>
        <w:ind w:firstLine="0" w:firstLineChars="0"/>
        <w:rPr>
          <w:rFonts w:hAnsi="仿宋_GB2312" w:cs="仿宋_GB2312"/>
          <w:color w:val="auto"/>
          <w:szCs w:val="32"/>
          <w:highlight w:val="none"/>
          <w:shd w:val="clear" w:color="auto" w:fill="FFFFFF" w:themeFill="background1"/>
        </w:rPr>
      </w:pPr>
      <w:r>
        <w:rPr>
          <w:rFonts w:hint="eastAsia" w:ascii="宋体" w:hAnsi="宋体" w:eastAsia="宋体"/>
          <w:color w:val="auto"/>
          <w:sz w:val="24"/>
          <w:szCs w:val="24"/>
          <w:highlight w:val="none"/>
          <w:shd w:val="clear" w:color="auto" w:fill="FFFFFF" w:themeFill="background1"/>
        </w:rPr>
        <w:t>1. 说明：应对照招标文件“第二章 采购需求”中的技术要求逐条作明确的投标响应，并作出偏离说明。</w:t>
      </w:r>
    </w:p>
    <w:p w14:paraId="06C7F4BC">
      <w:pPr>
        <w:pStyle w:val="22"/>
        <w:spacing w:line="360" w:lineRule="auto"/>
        <w:ind w:firstLine="480"/>
        <w:rPr>
          <w:rFonts w:ascii="宋体" w:hAnsi="宋体"/>
          <w:color w:val="auto"/>
          <w:highlight w:val="none"/>
          <w:shd w:val="clear" w:color="auto" w:fill="FFFFFF" w:themeFill="background1"/>
        </w:rPr>
      </w:pPr>
      <w:r>
        <w:rPr>
          <w:rFonts w:hint="eastAsia" w:ascii="宋体" w:hAnsi="宋体"/>
          <w:b w:val="0"/>
          <w:bCs w:val="0"/>
          <w:color w:val="auto"/>
          <w:highlight w:val="none"/>
          <w:shd w:val="clear" w:color="auto" w:fill="FFFFFF" w:themeFill="background1"/>
        </w:rPr>
        <w:t>2.投标人应根据自身的承诺，对照招标文件要求，在“偏离说明”中注明“</w:t>
      </w:r>
      <w:r>
        <w:rPr>
          <w:rFonts w:hint="eastAsia" w:ascii="宋体" w:hAnsi="宋体"/>
          <w:color w:val="auto"/>
          <w:highlight w:val="none"/>
          <w:shd w:val="clear" w:color="auto" w:fill="FFFFFF" w:themeFill="background1"/>
        </w:rPr>
        <w:t>正偏离</w:t>
      </w:r>
      <w:r>
        <w:rPr>
          <w:rFonts w:hint="eastAsia" w:ascii="宋体" w:hAnsi="宋体"/>
          <w:b w:val="0"/>
          <w:bCs w:val="0"/>
          <w:color w:val="auto"/>
          <w:highlight w:val="none"/>
          <w:shd w:val="clear" w:color="auto" w:fill="FFFFFF" w:themeFill="background1"/>
        </w:rPr>
        <w:t>”、“</w:t>
      </w:r>
      <w:r>
        <w:rPr>
          <w:rFonts w:hint="eastAsia" w:ascii="宋体" w:hAnsi="宋体"/>
          <w:color w:val="auto"/>
          <w:highlight w:val="none"/>
          <w:shd w:val="clear" w:color="auto" w:fill="FFFFFF" w:themeFill="background1"/>
        </w:rPr>
        <w:t>负偏离</w:t>
      </w:r>
      <w:r>
        <w:rPr>
          <w:rFonts w:hint="eastAsia" w:ascii="宋体" w:hAnsi="宋体"/>
          <w:b w:val="0"/>
          <w:bCs w:val="0"/>
          <w:color w:val="auto"/>
          <w:highlight w:val="none"/>
          <w:shd w:val="clear" w:color="auto" w:fill="FFFFFF" w:themeFill="background1"/>
        </w:rPr>
        <w:t>”或者“</w:t>
      </w:r>
      <w:r>
        <w:rPr>
          <w:rFonts w:hint="eastAsia" w:ascii="宋体" w:hAnsi="宋体"/>
          <w:color w:val="auto"/>
          <w:highlight w:val="none"/>
          <w:shd w:val="clear" w:color="auto" w:fill="FFFFFF" w:themeFill="background1"/>
        </w:rPr>
        <w:t>无偏离</w:t>
      </w:r>
      <w:r>
        <w:rPr>
          <w:rFonts w:hint="eastAsia" w:ascii="宋体" w:hAnsi="宋体"/>
          <w:b w:val="0"/>
          <w:bCs w:val="0"/>
          <w:color w:val="auto"/>
          <w:highlight w:val="none"/>
          <w:shd w:val="clear" w:color="auto" w:fill="FFFFFF" w:themeFill="background1"/>
        </w:rPr>
        <w:t>”。既不属于“</w:t>
      </w:r>
      <w:r>
        <w:rPr>
          <w:rFonts w:hint="eastAsia" w:ascii="宋体" w:hAnsi="宋体"/>
          <w:color w:val="auto"/>
          <w:highlight w:val="none"/>
          <w:shd w:val="clear" w:color="auto" w:fill="FFFFFF" w:themeFill="background1"/>
        </w:rPr>
        <w:t>正偏离</w:t>
      </w:r>
      <w:r>
        <w:rPr>
          <w:rFonts w:hint="eastAsia" w:ascii="宋体" w:hAnsi="宋体"/>
          <w:b w:val="0"/>
          <w:bCs w:val="0"/>
          <w:color w:val="auto"/>
          <w:highlight w:val="none"/>
          <w:shd w:val="clear" w:color="auto" w:fill="FFFFFF" w:themeFill="background1"/>
        </w:rPr>
        <w:t>”也不属于“</w:t>
      </w:r>
      <w:r>
        <w:rPr>
          <w:rFonts w:hint="eastAsia" w:ascii="宋体" w:hAnsi="宋体"/>
          <w:color w:val="auto"/>
          <w:highlight w:val="none"/>
          <w:shd w:val="clear" w:color="auto" w:fill="FFFFFF" w:themeFill="background1"/>
        </w:rPr>
        <w:t>负偏离</w:t>
      </w:r>
      <w:r>
        <w:rPr>
          <w:rFonts w:hint="eastAsia" w:ascii="宋体" w:hAnsi="宋体"/>
          <w:b w:val="0"/>
          <w:bCs w:val="0"/>
          <w:color w:val="auto"/>
          <w:highlight w:val="none"/>
          <w:shd w:val="clear" w:color="auto" w:fill="FFFFFF" w:themeFill="background1"/>
        </w:rPr>
        <w:t>”即为“</w:t>
      </w:r>
      <w:r>
        <w:rPr>
          <w:rFonts w:hint="eastAsia" w:ascii="宋体" w:hAnsi="宋体"/>
          <w:color w:val="auto"/>
          <w:highlight w:val="none"/>
          <w:shd w:val="clear" w:color="auto" w:fill="FFFFFF" w:themeFill="background1"/>
        </w:rPr>
        <w:t>无偏离</w:t>
      </w:r>
      <w:r>
        <w:rPr>
          <w:rFonts w:hint="eastAsia" w:ascii="宋体" w:hAnsi="宋体"/>
          <w:b w:val="0"/>
          <w:bCs w:val="0"/>
          <w:color w:val="auto"/>
          <w:highlight w:val="none"/>
          <w:shd w:val="clear" w:color="auto" w:fill="FFFFFF" w:themeFill="background1"/>
        </w:rPr>
        <w:t>”。</w:t>
      </w:r>
    </w:p>
    <w:p w14:paraId="5419FDB0">
      <w:pPr>
        <w:pStyle w:val="22"/>
        <w:spacing w:line="360" w:lineRule="auto"/>
        <w:ind w:firstLine="562"/>
        <w:rPr>
          <w:rFonts w:ascii="宋体" w:hAnsi="宋体"/>
          <w:color w:val="auto"/>
          <w:spacing w:val="20"/>
          <w:highlight w:val="none"/>
          <w:shd w:val="clear" w:color="auto" w:fill="FFFFFF" w:themeFill="background1"/>
        </w:rPr>
      </w:pPr>
    </w:p>
    <w:p w14:paraId="19DA79F8">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50BEF7FC">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0AF24C8">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3594CA5">
      <w:pPr>
        <w:spacing w:line="360" w:lineRule="auto"/>
        <w:ind w:firstLine="562"/>
        <w:rPr>
          <w:rFonts w:ascii="宋体" w:hAnsi="宋体"/>
          <w:color w:val="auto"/>
          <w:spacing w:val="20"/>
          <w:sz w:val="24"/>
          <w:highlight w:val="none"/>
          <w:u w:val="single"/>
          <w:shd w:val="clear" w:color="auto" w:fill="FFFFFF" w:themeFill="background1"/>
        </w:rPr>
      </w:pPr>
    </w:p>
    <w:p w14:paraId="119E9B61">
      <w:pPr>
        <w:spacing w:line="360" w:lineRule="auto"/>
        <w:ind w:firstLine="482"/>
        <w:rPr>
          <w:rFonts w:ascii="宋体" w:hAnsi="宋体"/>
          <w:color w:val="auto"/>
          <w:sz w:val="24"/>
          <w:szCs w:val="20"/>
          <w:highlight w:val="none"/>
          <w:shd w:val="clear" w:color="auto" w:fill="FFFFFF" w:themeFill="background1"/>
        </w:rPr>
      </w:pPr>
    </w:p>
    <w:p w14:paraId="7EE5C3E0">
      <w:pPr>
        <w:snapToGrid w:val="0"/>
        <w:spacing w:beforeLines="50" w:after="50"/>
        <w:ind w:left="142" w:firstLine="482"/>
        <w:jc w:val="left"/>
        <w:rPr>
          <w:rFonts w:ascii="宋体" w:hAnsi="宋体"/>
          <w:b/>
          <w:color w:val="auto"/>
          <w:sz w:val="24"/>
          <w:highlight w:val="none"/>
          <w:shd w:val="clear" w:color="auto" w:fill="FFFFFF" w:themeFill="background1"/>
        </w:rPr>
      </w:pPr>
      <w:r>
        <w:rPr>
          <w:rFonts w:hint="eastAsia" w:ascii="宋体" w:hAnsi="宋体"/>
          <w:b/>
          <w:color w:val="auto"/>
          <w:sz w:val="24"/>
          <w:highlight w:val="none"/>
          <w:shd w:val="clear" w:color="auto" w:fill="FFFFFF" w:themeFill="background1"/>
        </w:rPr>
        <w:br w:type="page"/>
      </w:r>
      <w:r>
        <w:rPr>
          <w:rFonts w:hint="eastAsia" w:ascii="宋体" w:hAnsi="宋体"/>
          <w:b/>
          <w:color w:val="auto"/>
          <w:sz w:val="24"/>
          <w:highlight w:val="none"/>
          <w:shd w:val="clear" w:color="auto" w:fill="FFFFFF" w:themeFill="background1"/>
        </w:rPr>
        <w:t>9.项目实施人员一览表格式</w:t>
      </w:r>
    </w:p>
    <w:p w14:paraId="1650747A">
      <w:pPr>
        <w:snapToGrid w:val="0"/>
        <w:spacing w:beforeLines="50" w:after="50"/>
        <w:ind w:left="142" w:firstLine="480"/>
        <w:jc w:val="left"/>
        <w:rPr>
          <w:rFonts w:ascii="宋体" w:hAnsi="宋体"/>
          <w:b/>
          <w:color w:val="auto"/>
          <w:sz w:val="24"/>
          <w:highlight w:val="none"/>
          <w:shd w:val="clear" w:color="auto" w:fill="FFFFFF" w:themeFill="background1"/>
        </w:rPr>
      </w:pPr>
    </w:p>
    <w:p w14:paraId="72E6794C">
      <w:pPr>
        <w:snapToGrid w:val="0"/>
        <w:spacing w:beforeLines="50" w:after="50"/>
        <w:ind w:left="142" w:firstLine="643"/>
        <w:jc w:val="center"/>
        <w:rPr>
          <w:rFonts w:ascii="宋体" w:hAnsi="宋体"/>
          <w:b/>
          <w:color w:val="auto"/>
          <w:sz w:val="32"/>
          <w:szCs w:val="32"/>
          <w:highlight w:val="none"/>
          <w:shd w:val="clear" w:color="auto" w:fill="FFFFFF" w:themeFill="background1"/>
        </w:rPr>
      </w:pPr>
      <w:r>
        <w:rPr>
          <w:rFonts w:hint="eastAsia" w:ascii="宋体" w:hAnsi="宋体"/>
          <w:b/>
          <w:color w:val="auto"/>
          <w:sz w:val="32"/>
          <w:szCs w:val="32"/>
          <w:highlight w:val="none"/>
          <w:shd w:val="clear" w:color="auto" w:fill="FFFFFF" w:themeFill="background1"/>
        </w:rPr>
        <w:t>项目实施人员一览表</w:t>
      </w:r>
    </w:p>
    <w:p w14:paraId="52D13FC1">
      <w:pPr>
        <w:pStyle w:val="31"/>
        <w:spacing w:after="120"/>
        <w:ind w:firstLine="482"/>
        <w:rPr>
          <w:color w:val="auto"/>
          <w:sz w:val="24"/>
          <w:szCs w:val="24"/>
          <w:highlight w:val="none"/>
          <w:shd w:val="clear" w:color="auto" w:fill="FFFFFF" w:themeFill="background1"/>
        </w:rPr>
      </w:pPr>
      <w:r>
        <w:rPr>
          <w:rFonts w:hint="eastAsia"/>
          <w:color w:val="auto"/>
          <w:sz w:val="24"/>
          <w:szCs w:val="24"/>
          <w:highlight w:val="none"/>
          <w:shd w:val="clear" w:color="auto" w:fill="FFFFFF" w:themeFill="background1"/>
        </w:rPr>
        <w:t>所投分标：</w:t>
      </w:r>
      <w:r>
        <w:rPr>
          <w:rFonts w:hint="eastAsia"/>
          <w:color w:val="auto"/>
          <w:sz w:val="24"/>
          <w:szCs w:val="24"/>
          <w:highlight w:val="none"/>
          <w:u w:val="single"/>
          <w:shd w:val="clear" w:color="auto" w:fill="FFFFFF" w:themeFill="background1"/>
        </w:rPr>
        <w:t>/</w:t>
      </w:r>
      <w:r>
        <w:rPr>
          <w:rFonts w:hint="eastAsia"/>
          <w:color w:val="auto"/>
          <w:sz w:val="24"/>
          <w:szCs w:val="24"/>
          <w:highlight w:val="none"/>
          <w:shd w:val="clear" w:color="auto" w:fill="FFFFFF" w:themeFill="background1"/>
        </w:rPr>
        <w:t>分标</w:t>
      </w:r>
    </w:p>
    <w:tbl>
      <w:tblPr>
        <w:tblStyle w:val="62"/>
        <w:tblW w:w="0" w:type="auto"/>
        <w:tblInd w:w="-15" w:type="dxa"/>
        <w:tblLayout w:type="fixed"/>
        <w:tblCellMar>
          <w:top w:w="0" w:type="dxa"/>
          <w:left w:w="0" w:type="dxa"/>
          <w:bottom w:w="0" w:type="dxa"/>
          <w:right w:w="0" w:type="dxa"/>
        </w:tblCellMar>
      </w:tblPr>
      <w:tblGrid>
        <w:gridCol w:w="712"/>
        <w:gridCol w:w="720"/>
        <w:gridCol w:w="1815"/>
        <w:gridCol w:w="1148"/>
        <w:gridCol w:w="1134"/>
        <w:gridCol w:w="992"/>
        <w:gridCol w:w="1180"/>
        <w:gridCol w:w="1464"/>
      </w:tblGrid>
      <w:tr w14:paraId="51B263D7">
        <w:tblPrEx>
          <w:tblCellMar>
            <w:top w:w="0" w:type="dxa"/>
            <w:left w:w="0" w:type="dxa"/>
            <w:bottom w:w="0" w:type="dxa"/>
            <w:right w:w="0" w:type="dxa"/>
          </w:tblCellMar>
        </w:tblPrEx>
        <w:trPr>
          <w:trHeight w:val="900" w:hRule="atLeast"/>
        </w:trPr>
        <w:tc>
          <w:tcPr>
            <w:tcW w:w="712" w:type="dxa"/>
            <w:tcBorders>
              <w:top w:val="single" w:color="auto" w:sz="12" w:space="0"/>
              <w:left w:val="single" w:color="auto" w:sz="12" w:space="0"/>
              <w:bottom w:val="single" w:color="auto" w:sz="8" w:space="0"/>
              <w:right w:val="single" w:color="auto" w:sz="8" w:space="0"/>
            </w:tcBorders>
            <w:noWrap/>
            <w:vAlign w:val="center"/>
          </w:tcPr>
          <w:p w14:paraId="057D3FAA">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姓名</w:t>
            </w:r>
          </w:p>
        </w:tc>
        <w:tc>
          <w:tcPr>
            <w:tcW w:w="720" w:type="dxa"/>
            <w:tcBorders>
              <w:top w:val="single" w:color="auto" w:sz="12" w:space="0"/>
              <w:left w:val="single" w:color="auto" w:sz="8" w:space="0"/>
              <w:bottom w:val="single" w:color="auto" w:sz="8" w:space="0"/>
              <w:right w:val="single" w:color="auto" w:sz="8" w:space="0"/>
            </w:tcBorders>
            <w:noWrap/>
            <w:vAlign w:val="center"/>
          </w:tcPr>
          <w:p w14:paraId="5B1A5415">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年龄</w:t>
            </w:r>
          </w:p>
        </w:tc>
        <w:tc>
          <w:tcPr>
            <w:tcW w:w="1815" w:type="dxa"/>
            <w:tcBorders>
              <w:top w:val="single" w:color="auto" w:sz="12" w:space="0"/>
              <w:left w:val="single" w:color="auto" w:sz="8" w:space="0"/>
              <w:bottom w:val="single" w:color="auto" w:sz="8" w:space="0"/>
              <w:right w:val="single" w:color="auto" w:sz="8" w:space="0"/>
            </w:tcBorders>
            <w:noWrap/>
            <w:vAlign w:val="center"/>
          </w:tcPr>
          <w:p w14:paraId="61584C57">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拟在本项目中</w:t>
            </w:r>
          </w:p>
          <w:p w14:paraId="24195A40">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担任的职务</w:t>
            </w:r>
          </w:p>
        </w:tc>
        <w:tc>
          <w:tcPr>
            <w:tcW w:w="1148" w:type="dxa"/>
            <w:tcBorders>
              <w:top w:val="single" w:color="auto" w:sz="12" w:space="0"/>
              <w:left w:val="single" w:color="auto" w:sz="8" w:space="0"/>
              <w:bottom w:val="single" w:color="auto" w:sz="8" w:space="0"/>
              <w:right w:val="single" w:color="auto" w:sz="8" w:space="0"/>
            </w:tcBorders>
            <w:noWrap/>
            <w:vAlign w:val="center"/>
          </w:tcPr>
          <w:p w14:paraId="5B1A9434">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技术职称</w:t>
            </w:r>
          </w:p>
        </w:tc>
        <w:tc>
          <w:tcPr>
            <w:tcW w:w="1134" w:type="dxa"/>
            <w:tcBorders>
              <w:top w:val="single" w:color="auto" w:sz="12" w:space="0"/>
              <w:left w:val="single" w:color="auto" w:sz="8" w:space="0"/>
              <w:bottom w:val="single" w:color="auto" w:sz="8" w:space="0"/>
              <w:right w:val="single" w:color="auto" w:sz="8" w:space="0"/>
            </w:tcBorders>
            <w:noWrap/>
            <w:vAlign w:val="center"/>
          </w:tcPr>
          <w:p w14:paraId="0EEBE2E8">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注册证书名称（如有）</w:t>
            </w:r>
          </w:p>
        </w:tc>
        <w:tc>
          <w:tcPr>
            <w:tcW w:w="992" w:type="dxa"/>
            <w:tcBorders>
              <w:top w:val="single" w:color="auto" w:sz="12" w:space="0"/>
              <w:left w:val="single" w:color="auto" w:sz="8" w:space="0"/>
              <w:bottom w:val="single" w:color="auto" w:sz="8" w:space="0"/>
              <w:right w:val="single" w:color="auto" w:sz="8" w:space="0"/>
            </w:tcBorders>
            <w:noWrap/>
            <w:vAlign w:val="center"/>
          </w:tcPr>
          <w:p w14:paraId="0FDAD77D">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从事专业</w:t>
            </w:r>
          </w:p>
        </w:tc>
        <w:tc>
          <w:tcPr>
            <w:tcW w:w="1180" w:type="dxa"/>
            <w:tcBorders>
              <w:top w:val="single" w:color="auto" w:sz="12" w:space="0"/>
              <w:left w:val="single" w:color="auto" w:sz="8" w:space="0"/>
              <w:bottom w:val="single" w:color="auto" w:sz="8" w:space="0"/>
              <w:right w:val="single" w:color="auto" w:sz="4" w:space="0"/>
            </w:tcBorders>
            <w:noWrap/>
            <w:vAlign w:val="center"/>
          </w:tcPr>
          <w:p w14:paraId="00507AD0">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工作年限</w:t>
            </w:r>
          </w:p>
        </w:tc>
        <w:tc>
          <w:tcPr>
            <w:tcW w:w="1464" w:type="dxa"/>
            <w:tcBorders>
              <w:top w:val="single" w:color="auto" w:sz="12" w:space="0"/>
              <w:left w:val="single" w:color="auto" w:sz="4" w:space="0"/>
              <w:bottom w:val="single" w:color="auto" w:sz="8" w:space="0"/>
              <w:right w:val="single" w:color="auto" w:sz="12" w:space="0"/>
            </w:tcBorders>
            <w:noWrap/>
            <w:vAlign w:val="center"/>
          </w:tcPr>
          <w:p w14:paraId="13350B7A">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类似本项目工作经验年限</w:t>
            </w:r>
          </w:p>
        </w:tc>
      </w:tr>
      <w:tr w14:paraId="1C291EFF">
        <w:tblPrEx>
          <w:tblCellMar>
            <w:top w:w="0" w:type="dxa"/>
            <w:left w:w="0" w:type="dxa"/>
            <w:bottom w:w="0" w:type="dxa"/>
            <w:right w:w="0" w:type="dxa"/>
          </w:tblCellMar>
        </w:tblPrEx>
        <w:trPr>
          <w:trHeight w:val="900" w:hRule="atLeast"/>
        </w:trPr>
        <w:tc>
          <w:tcPr>
            <w:tcW w:w="712" w:type="dxa"/>
            <w:tcBorders>
              <w:top w:val="single" w:color="auto" w:sz="8" w:space="0"/>
              <w:left w:val="single" w:color="auto" w:sz="12" w:space="0"/>
              <w:bottom w:val="single" w:color="auto" w:sz="8" w:space="0"/>
              <w:right w:val="single" w:color="auto" w:sz="8" w:space="0"/>
            </w:tcBorders>
            <w:noWrap/>
            <w:vAlign w:val="center"/>
          </w:tcPr>
          <w:p w14:paraId="2C5D5AA2">
            <w:pPr>
              <w:pStyle w:val="376"/>
              <w:autoSpaceDE w:val="0"/>
              <w:autoSpaceDN w:val="0"/>
              <w:jc w:val="center"/>
              <w:rPr>
                <w:color w:val="auto"/>
                <w:kern w:val="0"/>
                <w:sz w:val="24"/>
                <w:highlight w:val="none"/>
                <w:shd w:val="clear" w:color="auto" w:fill="FFFFFF" w:themeFill="background1"/>
              </w:rPr>
            </w:pPr>
          </w:p>
        </w:tc>
        <w:tc>
          <w:tcPr>
            <w:tcW w:w="720" w:type="dxa"/>
            <w:tcBorders>
              <w:top w:val="single" w:color="auto" w:sz="8" w:space="0"/>
              <w:left w:val="single" w:color="auto" w:sz="8" w:space="0"/>
              <w:bottom w:val="single" w:color="auto" w:sz="8" w:space="0"/>
              <w:right w:val="single" w:color="auto" w:sz="8" w:space="0"/>
            </w:tcBorders>
            <w:noWrap/>
            <w:vAlign w:val="center"/>
          </w:tcPr>
          <w:p w14:paraId="71D892CB">
            <w:pPr>
              <w:pStyle w:val="376"/>
              <w:autoSpaceDE w:val="0"/>
              <w:autoSpaceDN w:val="0"/>
              <w:jc w:val="center"/>
              <w:rPr>
                <w:color w:val="auto"/>
                <w:kern w:val="0"/>
                <w:sz w:val="24"/>
                <w:highlight w:val="none"/>
                <w:shd w:val="clear" w:color="auto" w:fill="FFFFFF" w:themeFill="background1"/>
              </w:rPr>
            </w:pPr>
          </w:p>
        </w:tc>
        <w:tc>
          <w:tcPr>
            <w:tcW w:w="1815" w:type="dxa"/>
            <w:tcBorders>
              <w:top w:val="single" w:color="auto" w:sz="8" w:space="0"/>
              <w:left w:val="single" w:color="auto" w:sz="8" w:space="0"/>
              <w:bottom w:val="single" w:color="auto" w:sz="8" w:space="0"/>
              <w:right w:val="single" w:color="auto" w:sz="8" w:space="0"/>
            </w:tcBorders>
            <w:noWrap/>
            <w:vAlign w:val="center"/>
          </w:tcPr>
          <w:p w14:paraId="15E938EF">
            <w:pPr>
              <w:pStyle w:val="376"/>
              <w:autoSpaceDE w:val="0"/>
              <w:autoSpaceDN w:val="0"/>
              <w:jc w:val="center"/>
              <w:rPr>
                <w:color w:val="auto"/>
                <w:kern w:val="0"/>
                <w:sz w:val="24"/>
                <w:highlight w:val="none"/>
                <w:shd w:val="clear" w:color="auto" w:fill="FFFFFF" w:themeFill="background1"/>
              </w:rPr>
            </w:pPr>
          </w:p>
        </w:tc>
        <w:tc>
          <w:tcPr>
            <w:tcW w:w="1148" w:type="dxa"/>
            <w:tcBorders>
              <w:top w:val="single" w:color="auto" w:sz="8" w:space="0"/>
              <w:left w:val="single" w:color="auto" w:sz="8" w:space="0"/>
              <w:bottom w:val="single" w:color="auto" w:sz="8" w:space="0"/>
              <w:right w:val="single" w:color="auto" w:sz="8" w:space="0"/>
            </w:tcBorders>
            <w:noWrap/>
            <w:vAlign w:val="center"/>
          </w:tcPr>
          <w:p w14:paraId="2A54C046">
            <w:pPr>
              <w:pStyle w:val="376"/>
              <w:autoSpaceDE w:val="0"/>
              <w:autoSpaceDN w:val="0"/>
              <w:jc w:val="center"/>
              <w:rPr>
                <w:color w:val="auto"/>
                <w:kern w:val="0"/>
                <w:sz w:val="24"/>
                <w:highlight w:val="none"/>
                <w:shd w:val="clear" w:color="auto" w:fill="FFFFFF" w:themeFill="background1"/>
              </w:rPr>
            </w:pPr>
          </w:p>
        </w:tc>
        <w:tc>
          <w:tcPr>
            <w:tcW w:w="1134" w:type="dxa"/>
            <w:tcBorders>
              <w:top w:val="single" w:color="auto" w:sz="8" w:space="0"/>
              <w:left w:val="single" w:color="auto" w:sz="8" w:space="0"/>
              <w:bottom w:val="single" w:color="auto" w:sz="8" w:space="0"/>
              <w:right w:val="single" w:color="auto" w:sz="8" w:space="0"/>
            </w:tcBorders>
            <w:noWrap/>
            <w:vAlign w:val="center"/>
          </w:tcPr>
          <w:p w14:paraId="69AC0904">
            <w:pPr>
              <w:pStyle w:val="376"/>
              <w:autoSpaceDE w:val="0"/>
              <w:autoSpaceDN w:val="0"/>
              <w:jc w:val="center"/>
              <w:rPr>
                <w:color w:val="auto"/>
                <w:kern w:val="0"/>
                <w:sz w:val="24"/>
                <w:highlight w:val="none"/>
                <w:shd w:val="clear" w:color="auto" w:fill="FFFFFF" w:themeFill="background1"/>
              </w:rPr>
            </w:pPr>
          </w:p>
        </w:tc>
        <w:tc>
          <w:tcPr>
            <w:tcW w:w="992" w:type="dxa"/>
            <w:tcBorders>
              <w:top w:val="single" w:color="auto" w:sz="8" w:space="0"/>
              <w:left w:val="single" w:color="auto" w:sz="8" w:space="0"/>
              <w:bottom w:val="single" w:color="auto" w:sz="8" w:space="0"/>
              <w:right w:val="single" w:color="auto" w:sz="8" w:space="0"/>
            </w:tcBorders>
            <w:noWrap/>
            <w:vAlign w:val="center"/>
          </w:tcPr>
          <w:p w14:paraId="1A9CDA12">
            <w:pPr>
              <w:pStyle w:val="376"/>
              <w:autoSpaceDE w:val="0"/>
              <w:autoSpaceDN w:val="0"/>
              <w:jc w:val="center"/>
              <w:rPr>
                <w:color w:val="auto"/>
                <w:kern w:val="0"/>
                <w:sz w:val="24"/>
                <w:highlight w:val="none"/>
                <w:shd w:val="clear" w:color="auto" w:fill="FFFFFF" w:themeFill="background1"/>
              </w:rPr>
            </w:pPr>
          </w:p>
        </w:tc>
        <w:tc>
          <w:tcPr>
            <w:tcW w:w="1180" w:type="dxa"/>
            <w:tcBorders>
              <w:top w:val="single" w:color="auto" w:sz="8" w:space="0"/>
              <w:left w:val="single" w:color="auto" w:sz="8" w:space="0"/>
              <w:bottom w:val="single" w:color="auto" w:sz="8" w:space="0"/>
              <w:right w:val="single" w:color="auto" w:sz="4" w:space="0"/>
            </w:tcBorders>
            <w:noWrap/>
            <w:vAlign w:val="center"/>
          </w:tcPr>
          <w:p w14:paraId="668242BC">
            <w:pPr>
              <w:pStyle w:val="376"/>
              <w:autoSpaceDE w:val="0"/>
              <w:autoSpaceDN w:val="0"/>
              <w:jc w:val="center"/>
              <w:rPr>
                <w:color w:val="auto"/>
                <w:kern w:val="0"/>
                <w:sz w:val="24"/>
                <w:highlight w:val="none"/>
                <w:shd w:val="clear" w:color="auto" w:fill="FFFFFF" w:themeFill="background1"/>
              </w:rPr>
            </w:pPr>
          </w:p>
        </w:tc>
        <w:tc>
          <w:tcPr>
            <w:tcW w:w="1464" w:type="dxa"/>
            <w:tcBorders>
              <w:top w:val="single" w:color="auto" w:sz="8" w:space="0"/>
              <w:left w:val="single" w:color="auto" w:sz="4" w:space="0"/>
              <w:bottom w:val="single" w:color="auto" w:sz="8" w:space="0"/>
              <w:right w:val="single" w:color="auto" w:sz="12" w:space="0"/>
            </w:tcBorders>
            <w:noWrap/>
            <w:vAlign w:val="center"/>
          </w:tcPr>
          <w:p w14:paraId="768DCE50">
            <w:pPr>
              <w:pStyle w:val="376"/>
              <w:autoSpaceDE w:val="0"/>
              <w:autoSpaceDN w:val="0"/>
              <w:jc w:val="center"/>
              <w:rPr>
                <w:color w:val="auto"/>
                <w:kern w:val="0"/>
                <w:sz w:val="24"/>
                <w:highlight w:val="none"/>
                <w:shd w:val="clear" w:color="auto" w:fill="FFFFFF" w:themeFill="background1"/>
              </w:rPr>
            </w:pPr>
          </w:p>
        </w:tc>
      </w:tr>
      <w:tr w14:paraId="18EA1A3B">
        <w:tblPrEx>
          <w:tblCellMar>
            <w:top w:w="0" w:type="dxa"/>
            <w:left w:w="0" w:type="dxa"/>
            <w:bottom w:w="0" w:type="dxa"/>
            <w:right w:w="0" w:type="dxa"/>
          </w:tblCellMar>
        </w:tblPrEx>
        <w:trPr>
          <w:trHeight w:val="907" w:hRule="atLeast"/>
        </w:trPr>
        <w:tc>
          <w:tcPr>
            <w:tcW w:w="712" w:type="dxa"/>
            <w:tcBorders>
              <w:top w:val="single" w:color="auto" w:sz="8" w:space="0"/>
              <w:left w:val="single" w:color="auto" w:sz="12" w:space="0"/>
              <w:bottom w:val="single" w:color="auto" w:sz="8" w:space="0"/>
              <w:right w:val="single" w:color="auto" w:sz="8" w:space="0"/>
            </w:tcBorders>
            <w:noWrap/>
            <w:vAlign w:val="center"/>
          </w:tcPr>
          <w:p w14:paraId="2BAD30B6">
            <w:pPr>
              <w:pStyle w:val="376"/>
              <w:autoSpaceDE w:val="0"/>
              <w:autoSpaceDN w:val="0"/>
              <w:jc w:val="center"/>
              <w:rPr>
                <w:color w:val="auto"/>
                <w:kern w:val="0"/>
                <w:sz w:val="24"/>
                <w:highlight w:val="none"/>
                <w:shd w:val="clear" w:color="auto" w:fill="FFFFFF" w:themeFill="background1"/>
              </w:rPr>
            </w:pPr>
          </w:p>
        </w:tc>
        <w:tc>
          <w:tcPr>
            <w:tcW w:w="720" w:type="dxa"/>
            <w:tcBorders>
              <w:top w:val="single" w:color="auto" w:sz="8" w:space="0"/>
              <w:left w:val="single" w:color="auto" w:sz="8" w:space="0"/>
              <w:bottom w:val="single" w:color="auto" w:sz="8" w:space="0"/>
              <w:right w:val="single" w:color="auto" w:sz="8" w:space="0"/>
            </w:tcBorders>
            <w:noWrap/>
            <w:vAlign w:val="center"/>
          </w:tcPr>
          <w:p w14:paraId="6529D3FD">
            <w:pPr>
              <w:pStyle w:val="376"/>
              <w:autoSpaceDE w:val="0"/>
              <w:autoSpaceDN w:val="0"/>
              <w:jc w:val="center"/>
              <w:rPr>
                <w:color w:val="auto"/>
                <w:kern w:val="0"/>
                <w:sz w:val="24"/>
                <w:highlight w:val="none"/>
                <w:shd w:val="clear" w:color="auto" w:fill="FFFFFF" w:themeFill="background1"/>
              </w:rPr>
            </w:pPr>
          </w:p>
        </w:tc>
        <w:tc>
          <w:tcPr>
            <w:tcW w:w="1815" w:type="dxa"/>
            <w:tcBorders>
              <w:top w:val="single" w:color="auto" w:sz="8" w:space="0"/>
              <w:left w:val="single" w:color="auto" w:sz="8" w:space="0"/>
              <w:bottom w:val="single" w:color="auto" w:sz="8" w:space="0"/>
              <w:right w:val="single" w:color="auto" w:sz="8" w:space="0"/>
            </w:tcBorders>
            <w:noWrap/>
            <w:vAlign w:val="center"/>
          </w:tcPr>
          <w:p w14:paraId="7226176E">
            <w:pPr>
              <w:pStyle w:val="376"/>
              <w:autoSpaceDE w:val="0"/>
              <w:autoSpaceDN w:val="0"/>
              <w:jc w:val="center"/>
              <w:rPr>
                <w:color w:val="auto"/>
                <w:kern w:val="0"/>
                <w:sz w:val="24"/>
                <w:highlight w:val="none"/>
                <w:shd w:val="clear" w:color="auto" w:fill="FFFFFF" w:themeFill="background1"/>
              </w:rPr>
            </w:pPr>
          </w:p>
        </w:tc>
        <w:tc>
          <w:tcPr>
            <w:tcW w:w="1148" w:type="dxa"/>
            <w:tcBorders>
              <w:top w:val="single" w:color="auto" w:sz="8" w:space="0"/>
              <w:left w:val="single" w:color="auto" w:sz="8" w:space="0"/>
              <w:bottom w:val="single" w:color="auto" w:sz="8" w:space="0"/>
              <w:right w:val="single" w:color="auto" w:sz="8" w:space="0"/>
            </w:tcBorders>
            <w:noWrap/>
            <w:vAlign w:val="center"/>
          </w:tcPr>
          <w:p w14:paraId="64C2BF6D">
            <w:pPr>
              <w:pStyle w:val="376"/>
              <w:autoSpaceDE w:val="0"/>
              <w:autoSpaceDN w:val="0"/>
              <w:jc w:val="center"/>
              <w:rPr>
                <w:color w:val="auto"/>
                <w:kern w:val="0"/>
                <w:sz w:val="24"/>
                <w:highlight w:val="none"/>
                <w:shd w:val="clear" w:color="auto" w:fill="FFFFFF" w:themeFill="background1"/>
              </w:rPr>
            </w:pPr>
          </w:p>
        </w:tc>
        <w:tc>
          <w:tcPr>
            <w:tcW w:w="1134" w:type="dxa"/>
            <w:tcBorders>
              <w:top w:val="single" w:color="auto" w:sz="8" w:space="0"/>
              <w:left w:val="single" w:color="auto" w:sz="8" w:space="0"/>
              <w:bottom w:val="single" w:color="auto" w:sz="8" w:space="0"/>
              <w:right w:val="single" w:color="auto" w:sz="8" w:space="0"/>
            </w:tcBorders>
            <w:noWrap/>
            <w:vAlign w:val="center"/>
          </w:tcPr>
          <w:p w14:paraId="16DDB727">
            <w:pPr>
              <w:pStyle w:val="376"/>
              <w:autoSpaceDE w:val="0"/>
              <w:autoSpaceDN w:val="0"/>
              <w:jc w:val="center"/>
              <w:rPr>
                <w:color w:val="auto"/>
                <w:kern w:val="0"/>
                <w:sz w:val="24"/>
                <w:highlight w:val="none"/>
                <w:shd w:val="clear" w:color="auto" w:fill="FFFFFF" w:themeFill="background1"/>
              </w:rPr>
            </w:pPr>
          </w:p>
        </w:tc>
        <w:tc>
          <w:tcPr>
            <w:tcW w:w="992" w:type="dxa"/>
            <w:tcBorders>
              <w:top w:val="single" w:color="auto" w:sz="8" w:space="0"/>
              <w:left w:val="single" w:color="auto" w:sz="8" w:space="0"/>
              <w:bottom w:val="single" w:color="auto" w:sz="8" w:space="0"/>
              <w:right w:val="single" w:color="auto" w:sz="8" w:space="0"/>
            </w:tcBorders>
            <w:noWrap/>
            <w:vAlign w:val="center"/>
          </w:tcPr>
          <w:p w14:paraId="3658B0A9">
            <w:pPr>
              <w:pStyle w:val="376"/>
              <w:autoSpaceDE w:val="0"/>
              <w:autoSpaceDN w:val="0"/>
              <w:jc w:val="center"/>
              <w:rPr>
                <w:color w:val="auto"/>
                <w:kern w:val="0"/>
                <w:sz w:val="24"/>
                <w:highlight w:val="none"/>
                <w:shd w:val="clear" w:color="auto" w:fill="FFFFFF" w:themeFill="background1"/>
              </w:rPr>
            </w:pPr>
          </w:p>
        </w:tc>
        <w:tc>
          <w:tcPr>
            <w:tcW w:w="1180" w:type="dxa"/>
            <w:tcBorders>
              <w:top w:val="single" w:color="auto" w:sz="8" w:space="0"/>
              <w:left w:val="single" w:color="auto" w:sz="8" w:space="0"/>
              <w:bottom w:val="single" w:color="auto" w:sz="8" w:space="0"/>
              <w:right w:val="single" w:color="auto" w:sz="4" w:space="0"/>
            </w:tcBorders>
            <w:noWrap/>
            <w:vAlign w:val="center"/>
          </w:tcPr>
          <w:p w14:paraId="5435E74B">
            <w:pPr>
              <w:pStyle w:val="376"/>
              <w:autoSpaceDE w:val="0"/>
              <w:autoSpaceDN w:val="0"/>
              <w:jc w:val="center"/>
              <w:rPr>
                <w:color w:val="auto"/>
                <w:kern w:val="0"/>
                <w:sz w:val="24"/>
                <w:highlight w:val="none"/>
                <w:shd w:val="clear" w:color="auto" w:fill="FFFFFF" w:themeFill="background1"/>
              </w:rPr>
            </w:pPr>
          </w:p>
        </w:tc>
        <w:tc>
          <w:tcPr>
            <w:tcW w:w="1464" w:type="dxa"/>
            <w:tcBorders>
              <w:top w:val="single" w:color="auto" w:sz="8" w:space="0"/>
              <w:left w:val="single" w:color="auto" w:sz="4" w:space="0"/>
              <w:bottom w:val="single" w:color="auto" w:sz="8" w:space="0"/>
              <w:right w:val="single" w:color="auto" w:sz="12" w:space="0"/>
            </w:tcBorders>
            <w:noWrap/>
            <w:vAlign w:val="center"/>
          </w:tcPr>
          <w:p w14:paraId="36F73E4B">
            <w:pPr>
              <w:pStyle w:val="376"/>
              <w:autoSpaceDE w:val="0"/>
              <w:autoSpaceDN w:val="0"/>
              <w:jc w:val="center"/>
              <w:rPr>
                <w:color w:val="auto"/>
                <w:kern w:val="0"/>
                <w:sz w:val="24"/>
                <w:highlight w:val="none"/>
                <w:shd w:val="clear" w:color="auto" w:fill="FFFFFF" w:themeFill="background1"/>
              </w:rPr>
            </w:pPr>
          </w:p>
        </w:tc>
      </w:tr>
      <w:tr w14:paraId="7CA05AD8">
        <w:tblPrEx>
          <w:tblCellMar>
            <w:top w:w="0" w:type="dxa"/>
            <w:left w:w="0" w:type="dxa"/>
            <w:bottom w:w="0" w:type="dxa"/>
            <w:right w:w="0" w:type="dxa"/>
          </w:tblCellMar>
        </w:tblPrEx>
        <w:trPr>
          <w:trHeight w:val="907" w:hRule="atLeast"/>
        </w:trPr>
        <w:tc>
          <w:tcPr>
            <w:tcW w:w="712" w:type="dxa"/>
            <w:tcBorders>
              <w:top w:val="single" w:color="auto" w:sz="8" w:space="0"/>
              <w:left w:val="single" w:color="auto" w:sz="12" w:space="0"/>
              <w:bottom w:val="single" w:color="auto" w:sz="8" w:space="0"/>
              <w:right w:val="single" w:color="auto" w:sz="8" w:space="0"/>
            </w:tcBorders>
            <w:noWrap/>
            <w:vAlign w:val="center"/>
          </w:tcPr>
          <w:p w14:paraId="38DEED6F">
            <w:pPr>
              <w:pStyle w:val="376"/>
              <w:autoSpaceDE w:val="0"/>
              <w:autoSpaceDN w:val="0"/>
              <w:jc w:val="center"/>
              <w:rPr>
                <w:color w:val="auto"/>
                <w:kern w:val="0"/>
                <w:sz w:val="24"/>
                <w:highlight w:val="none"/>
                <w:shd w:val="clear" w:color="auto" w:fill="FFFFFF" w:themeFill="background1"/>
              </w:rPr>
            </w:pPr>
          </w:p>
        </w:tc>
        <w:tc>
          <w:tcPr>
            <w:tcW w:w="720" w:type="dxa"/>
            <w:tcBorders>
              <w:top w:val="single" w:color="auto" w:sz="8" w:space="0"/>
              <w:left w:val="single" w:color="auto" w:sz="8" w:space="0"/>
              <w:bottom w:val="single" w:color="auto" w:sz="8" w:space="0"/>
              <w:right w:val="single" w:color="auto" w:sz="8" w:space="0"/>
            </w:tcBorders>
            <w:noWrap/>
            <w:vAlign w:val="center"/>
          </w:tcPr>
          <w:p w14:paraId="4B422C87">
            <w:pPr>
              <w:pStyle w:val="376"/>
              <w:autoSpaceDE w:val="0"/>
              <w:autoSpaceDN w:val="0"/>
              <w:jc w:val="center"/>
              <w:rPr>
                <w:color w:val="auto"/>
                <w:kern w:val="0"/>
                <w:sz w:val="24"/>
                <w:highlight w:val="none"/>
                <w:shd w:val="clear" w:color="auto" w:fill="FFFFFF" w:themeFill="background1"/>
              </w:rPr>
            </w:pPr>
          </w:p>
        </w:tc>
        <w:tc>
          <w:tcPr>
            <w:tcW w:w="1815" w:type="dxa"/>
            <w:tcBorders>
              <w:top w:val="single" w:color="auto" w:sz="8" w:space="0"/>
              <w:left w:val="single" w:color="auto" w:sz="8" w:space="0"/>
              <w:bottom w:val="single" w:color="auto" w:sz="8" w:space="0"/>
              <w:right w:val="single" w:color="auto" w:sz="8" w:space="0"/>
            </w:tcBorders>
            <w:noWrap/>
            <w:vAlign w:val="center"/>
          </w:tcPr>
          <w:p w14:paraId="247C6CB0">
            <w:pPr>
              <w:pStyle w:val="376"/>
              <w:autoSpaceDE w:val="0"/>
              <w:autoSpaceDN w:val="0"/>
              <w:jc w:val="center"/>
              <w:rPr>
                <w:rFonts w:ascii="宋体" w:cs="宋体"/>
                <w:color w:val="auto"/>
                <w:kern w:val="0"/>
                <w:sz w:val="24"/>
                <w:highlight w:val="none"/>
                <w:shd w:val="clear" w:color="auto" w:fill="FFFFFF" w:themeFill="background1"/>
              </w:rPr>
            </w:pPr>
          </w:p>
        </w:tc>
        <w:tc>
          <w:tcPr>
            <w:tcW w:w="1148" w:type="dxa"/>
            <w:tcBorders>
              <w:top w:val="single" w:color="auto" w:sz="8" w:space="0"/>
              <w:left w:val="single" w:color="auto" w:sz="8" w:space="0"/>
              <w:bottom w:val="single" w:color="auto" w:sz="8" w:space="0"/>
              <w:right w:val="single" w:color="auto" w:sz="8" w:space="0"/>
            </w:tcBorders>
            <w:noWrap/>
            <w:vAlign w:val="center"/>
          </w:tcPr>
          <w:p w14:paraId="56183619">
            <w:pPr>
              <w:pStyle w:val="376"/>
              <w:autoSpaceDE w:val="0"/>
              <w:autoSpaceDN w:val="0"/>
              <w:jc w:val="center"/>
              <w:rPr>
                <w:color w:val="auto"/>
                <w:kern w:val="0"/>
                <w:sz w:val="24"/>
                <w:highlight w:val="none"/>
                <w:shd w:val="clear" w:color="auto" w:fill="FFFFFF" w:themeFill="background1"/>
              </w:rPr>
            </w:pPr>
          </w:p>
        </w:tc>
        <w:tc>
          <w:tcPr>
            <w:tcW w:w="1134" w:type="dxa"/>
            <w:tcBorders>
              <w:top w:val="single" w:color="auto" w:sz="8" w:space="0"/>
              <w:left w:val="single" w:color="auto" w:sz="8" w:space="0"/>
              <w:bottom w:val="single" w:color="auto" w:sz="8" w:space="0"/>
              <w:right w:val="single" w:color="auto" w:sz="8" w:space="0"/>
            </w:tcBorders>
            <w:noWrap/>
            <w:vAlign w:val="center"/>
          </w:tcPr>
          <w:p w14:paraId="4684868D">
            <w:pPr>
              <w:pStyle w:val="376"/>
              <w:autoSpaceDE w:val="0"/>
              <w:autoSpaceDN w:val="0"/>
              <w:jc w:val="center"/>
              <w:rPr>
                <w:color w:val="auto"/>
                <w:kern w:val="0"/>
                <w:sz w:val="24"/>
                <w:highlight w:val="none"/>
                <w:shd w:val="clear" w:color="auto" w:fill="FFFFFF" w:themeFill="background1"/>
              </w:rPr>
            </w:pPr>
          </w:p>
        </w:tc>
        <w:tc>
          <w:tcPr>
            <w:tcW w:w="992" w:type="dxa"/>
            <w:tcBorders>
              <w:top w:val="single" w:color="auto" w:sz="8" w:space="0"/>
              <w:left w:val="single" w:color="auto" w:sz="8" w:space="0"/>
              <w:bottom w:val="single" w:color="auto" w:sz="8" w:space="0"/>
              <w:right w:val="single" w:color="auto" w:sz="8" w:space="0"/>
            </w:tcBorders>
            <w:noWrap/>
            <w:vAlign w:val="center"/>
          </w:tcPr>
          <w:p w14:paraId="469A1CFD">
            <w:pPr>
              <w:pStyle w:val="376"/>
              <w:autoSpaceDE w:val="0"/>
              <w:autoSpaceDN w:val="0"/>
              <w:jc w:val="center"/>
              <w:rPr>
                <w:color w:val="auto"/>
                <w:kern w:val="0"/>
                <w:sz w:val="24"/>
                <w:highlight w:val="none"/>
                <w:shd w:val="clear" w:color="auto" w:fill="FFFFFF" w:themeFill="background1"/>
              </w:rPr>
            </w:pPr>
          </w:p>
        </w:tc>
        <w:tc>
          <w:tcPr>
            <w:tcW w:w="1180" w:type="dxa"/>
            <w:tcBorders>
              <w:top w:val="single" w:color="auto" w:sz="8" w:space="0"/>
              <w:left w:val="single" w:color="auto" w:sz="8" w:space="0"/>
              <w:bottom w:val="single" w:color="auto" w:sz="8" w:space="0"/>
              <w:right w:val="single" w:color="auto" w:sz="4" w:space="0"/>
            </w:tcBorders>
            <w:noWrap/>
            <w:vAlign w:val="center"/>
          </w:tcPr>
          <w:p w14:paraId="04CBCD1F">
            <w:pPr>
              <w:pStyle w:val="376"/>
              <w:autoSpaceDE w:val="0"/>
              <w:autoSpaceDN w:val="0"/>
              <w:jc w:val="center"/>
              <w:rPr>
                <w:color w:val="auto"/>
                <w:kern w:val="0"/>
                <w:sz w:val="24"/>
                <w:highlight w:val="none"/>
                <w:shd w:val="clear" w:color="auto" w:fill="FFFFFF" w:themeFill="background1"/>
              </w:rPr>
            </w:pPr>
          </w:p>
        </w:tc>
        <w:tc>
          <w:tcPr>
            <w:tcW w:w="1464" w:type="dxa"/>
            <w:tcBorders>
              <w:top w:val="single" w:color="auto" w:sz="8" w:space="0"/>
              <w:left w:val="single" w:color="auto" w:sz="4" w:space="0"/>
              <w:bottom w:val="single" w:color="auto" w:sz="8" w:space="0"/>
              <w:right w:val="single" w:color="auto" w:sz="12" w:space="0"/>
            </w:tcBorders>
            <w:noWrap/>
            <w:vAlign w:val="center"/>
          </w:tcPr>
          <w:p w14:paraId="324D1C47">
            <w:pPr>
              <w:pStyle w:val="376"/>
              <w:autoSpaceDE w:val="0"/>
              <w:autoSpaceDN w:val="0"/>
              <w:jc w:val="center"/>
              <w:rPr>
                <w:color w:val="auto"/>
                <w:kern w:val="0"/>
                <w:sz w:val="24"/>
                <w:highlight w:val="none"/>
                <w:shd w:val="clear" w:color="auto" w:fill="FFFFFF" w:themeFill="background1"/>
              </w:rPr>
            </w:pPr>
          </w:p>
        </w:tc>
      </w:tr>
      <w:tr w14:paraId="239D734E">
        <w:tblPrEx>
          <w:tblCellMar>
            <w:top w:w="0" w:type="dxa"/>
            <w:left w:w="0" w:type="dxa"/>
            <w:bottom w:w="0" w:type="dxa"/>
            <w:right w:w="0" w:type="dxa"/>
          </w:tblCellMar>
        </w:tblPrEx>
        <w:trPr>
          <w:trHeight w:val="900" w:hRule="atLeast"/>
        </w:trPr>
        <w:tc>
          <w:tcPr>
            <w:tcW w:w="712" w:type="dxa"/>
            <w:tcBorders>
              <w:top w:val="single" w:color="auto" w:sz="8" w:space="0"/>
              <w:left w:val="single" w:color="auto" w:sz="12" w:space="0"/>
              <w:bottom w:val="single" w:color="auto" w:sz="8" w:space="0"/>
              <w:right w:val="single" w:color="auto" w:sz="8" w:space="0"/>
            </w:tcBorders>
            <w:noWrap/>
            <w:vAlign w:val="center"/>
          </w:tcPr>
          <w:p w14:paraId="1818D310">
            <w:pPr>
              <w:pStyle w:val="376"/>
              <w:autoSpaceDE w:val="0"/>
              <w:autoSpaceDN w:val="0"/>
              <w:jc w:val="center"/>
              <w:rPr>
                <w:color w:val="auto"/>
                <w:kern w:val="0"/>
                <w:sz w:val="24"/>
                <w:highlight w:val="none"/>
                <w:shd w:val="clear" w:color="auto" w:fill="FFFFFF" w:themeFill="background1"/>
              </w:rPr>
            </w:pPr>
          </w:p>
        </w:tc>
        <w:tc>
          <w:tcPr>
            <w:tcW w:w="720" w:type="dxa"/>
            <w:tcBorders>
              <w:top w:val="single" w:color="auto" w:sz="8" w:space="0"/>
              <w:left w:val="single" w:color="auto" w:sz="8" w:space="0"/>
              <w:bottom w:val="single" w:color="auto" w:sz="8" w:space="0"/>
              <w:right w:val="single" w:color="auto" w:sz="8" w:space="0"/>
            </w:tcBorders>
            <w:noWrap/>
            <w:vAlign w:val="center"/>
          </w:tcPr>
          <w:p w14:paraId="36635057">
            <w:pPr>
              <w:pStyle w:val="376"/>
              <w:autoSpaceDE w:val="0"/>
              <w:autoSpaceDN w:val="0"/>
              <w:jc w:val="center"/>
              <w:rPr>
                <w:color w:val="auto"/>
                <w:kern w:val="0"/>
                <w:sz w:val="24"/>
                <w:highlight w:val="none"/>
                <w:shd w:val="clear" w:color="auto" w:fill="FFFFFF" w:themeFill="background1"/>
              </w:rPr>
            </w:pPr>
          </w:p>
        </w:tc>
        <w:tc>
          <w:tcPr>
            <w:tcW w:w="1815" w:type="dxa"/>
            <w:tcBorders>
              <w:top w:val="single" w:color="auto" w:sz="8" w:space="0"/>
              <w:left w:val="single" w:color="auto" w:sz="8" w:space="0"/>
              <w:bottom w:val="single" w:color="auto" w:sz="8" w:space="0"/>
              <w:right w:val="single" w:color="auto" w:sz="8" w:space="0"/>
            </w:tcBorders>
            <w:noWrap/>
            <w:vAlign w:val="center"/>
          </w:tcPr>
          <w:p w14:paraId="314FEDFA">
            <w:pPr>
              <w:pStyle w:val="376"/>
              <w:autoSpaceDE w:val="0"/>
              <w:autoSpaceDN w:val="0"/>
              <w:jc w:val="center"/>
              <w:rPr>
                <w:color w:val="auto"/>
                <w:kern w:val="0"/>
                <w:sz w:val="24"/>
                <w:highlight w:val="none"/>
                <w:shd w:val="clear" w:color="auto" w:fill="FFFFFF" w:themeFill="background1"/>
              </w:rPr>
            </w:pPr>
          </w:p>
        </w:tc>
        <w:tc>
          <w:tcPr>
            <w:tcW w:w="1148" w:type="dxa"/>
            <w:tcBorders>
              <w:top w:val="single" w:color="auto" w:sz="8" w:space="0"/>
              <w:left w:val="single" w:color="auto" w:sz="8" w:space="0"/>
              <w:bottom w:val="single" w:color="auto" w:sz="8" w:space="0"/>
              <w:right w:val="single" w:color="auto" w:sz="8" w:space="0"/>
            </w:tcBorders>
            <w:noWrap/>
            <w:vAlign w:val="center"/>
          </w:tcPr>
          <w:p w14:paraId="2B6A9EE8">
            <w:pPr>
              <w:pStyle w:val="376"/>
              <w:autoSpaceDE w:val="0"/>
              <w:autoSpaceDN w:val="0"/>
              <w:jc w:val="center"/>
              <w:rPr>
                <w:color w:val="auto"/>
                <w:kern w:val="0"/>
                <w:sz w:val="24"/>
                <w:highlight w:val="none"/>
                <w:shd w:val="clear" w:color="auto" w:fill="FFFFFF" w:themeFill="background1"/>
              </w:rPr>
            </w:pPr>
          </w:p>
        </w:tc>
        <w:tc>
          <w:tcPr>
            <w:tcW w:w="1134" w:type="dxa"/>
            <w:tcBorders>
              <w:top w:val="single" w:color="auto" w:sz="8" w:space="0"/>
              <w:left w:val="single" w:color="auto" w:sz="8" w:space="0"/>
              <w:bottom w:val="single" w:color="auto" w:sz="8" w:space="0"/>
              <w:right w:val="single" w:color="auto" w:sz="8" w:space="0"/>
            </w:tcBorders>
            <w:noWrap/>
            <w:vAlign w:val="center"/>
          </w:tcPr>
          <w:p w14:paraId="30B1DFE6">
            <w:pPr>
              <w:pStyle w:val="376"/>
              <w:autoSpaceDE w:val="0"/>
              <w:autoSpaceDN w:val="0"/>
              <w:jc w:val="center"/>
              <w:rPr>
                <w:color w:val="auto"/>
                <w:kern w:val="0"/>
                <w:sz w:val="24"/>
                <w:highlight w:val="none"/>
                <w:shd w:val="clear" w:color="auto" w:fill="FFFFFF" w:themeFill="background1"/>
              </w:rPr>
            </w:pPr>
          </w:p>
        </w:tc>
        <w:tc>
          <w:tcPr>
            <w:tcW w:w="992" w:type="dxa"/>
            <w:tcBorders>
              <w:top w:val="single" w:color="auto" w:sz="8" w:space="0"/>
              <w:left w:val="single" w:color="auto" w:sz="8" w:space="0"/>
              <w:bottom w:val="single" w:color="auto" w:sz="8" w:space="0"/>
              <w:right w:val="single" w:color="auto" w:sz="8" w:space="0"/>
            </w:tcBorders>
            <w:noWrap/>
            <w:vAlign w:val="center"/>
          </w:tcPr>
          <w:p w14:paraId="265508AA">
            <w:pPr>
              <w:pStyle w:val="376"/>
              <w:autoSpaceDE w:val="0"/>
              <w:autoSpaceDN w:val="0"/>
              <w:jc w:val="center"/>
              <w:rPr>
                <w:color w:val="auto"/>
                <w:kern w:val="0"/>
                <w:sz w:val="24"/>
                <w:highlight w:val="none"/>
                <w:shd w:val="clear" w:color="auto" w:fill="FFFFFF" w:themeFill="background1"/>
              </w:rPr>
            </w:pPr>
          </w:p>
        </w:tc>
        <w:tc>
          <w:tcPr>
            <w:tcW w:w="1180" w:type="dxa"/>
            <w:tcBorders>
              <w:top w:val="single" w:color="auto" w:sz="8" w:space="0"/>
              <w:left w:val="single" w:color="auto" w:sz="8" w:space="0"/>
              <w:bottom w:val="single" w:color="auto" w:sz="8" w:space="0"/>
              <w:right w:val="single" w:color="auto" w:sz="4" w:space="0"/>
            </w:tcBorders>
            <w:noWrap/>
            <w:vAlign w:val="center"/>
          </w:tcPr>
          <w:p w14:paraId="7793C7E0">
            <w:pPr>
              <w:pStyle w:val="376"/>
              <w:autoSpaceDE w:val="0"/>
              <w:autoSpaceDN w:val="0"/>
              <w:jc w:val="center"/>
              <w:rPr>
                <w:color w:val="auto"/>
                <w:kern w:val="0"/>
                <w:sz w:val="24"/>
                <w:highlight w:val="none"/>
                <w:shd w:val="clear" w:color="auto" w:fill="FFFFFF" w:themeFill="background1"/>
              </w:rPr>
            </w:pPr>
          </w:p>
        </w:tc>
        <w:tc>
          <w:tcPr>
            <w:tcW w:w="1464" w:type="dxa"/>
            <w:tcBorders>
              <w:top w:val="single" w:color="auto" w:sz="8" w:space="0"/>
              <w:left w:val="single" w:color="auto" w:sz="4" w:space="0"/>
              <w:bottom w:val="single" w:color="auto" w:sz="8" w:space="0"/>
              <w:right w:val="single" w:color="auto" w:sz="12" w:space="0"/>
            </w:tcBorders>
            <w:noWrap/>
            <w:vAlign w:val="center"/>
          </w:tcPr>
          <w:p w14:paraId="6AE9E91D">
            <w:pPr>
              <w:pStyle w:val="376"/>
              <w:autoSpaceDE w:val="0"/>
              <w:autoSpaceDN w:val="0"/>
              <w:jc w:val="center"/>
              <w:rPr>
                <w:color w:val="auto"/>
                <w:kern w:val="0"/>
                <w:sz w:val="24"/>
                <w:highlight w:val="none"/>
                <w:shd w:val="clear" w:color="auto" w:fill="FFFFFF" w:themeFill="background1"/>
              </w:rPr>
            </w:pPr>
          </w:p>
        </w:tc>
      </w:tr>
      <w:tr w14:paraId="701EDE09">
        <w:tblPrEx>
          <w:tblCellMar>
            <w:top w:w="0" w:type="dxa"/>
            <w:left w:w="0" w:type="dxa"/>
            <w:bottom w:w="0" w:type="dxa"/>
            <w:right w:w="0" w:type="dxa"/>
          </w:tblCellMar>
        </w:tblPrEx>
        <w:trPr>
          <w:trHeight w:val="907" w:hRule="atLeast"/>
        </w:trPr>
        <w:tc>
          <w:tcPr>
            <w:tcW w:w="712" w:type="dxa"/>
            <w:tcBorders>
              <w:top w:val="single" w:color="auto" w:sz="8" w:space="0"/>
              <w:left w:val="single" w:color="auto" w:sz="12" w:space="0"/>
              <w:bottom w:val="single" w:color="auto" w:sz="8" w:space="0"/>
              <w:right w:val="single" w:color="auto" w:sz="8" w:space="0"/>
            </w:tcBorders>
            <w:noWrap/>
            <w:vAlign w:val="center"/>
          </w:tcPr>
          <w:p w14:paraId="3D59AC2F">
            <w:pPr>
              <w:pStyle w:val="376"/>
              <w:autoSpaceDE w:val="0"/>
              <w:autoSpaceDN w:val="0"/>
              <w:jc w:val="center"/>
              <w:rPr>
                <w:color w:val="auto"/>
                <w:kern w:val="0"/>
                <w:sz w:val="24"/>
                <w:highlight w:val="none"/>
                <w:shd w:val="clear" w:color="auto" w:fill="FFFFFF" w:themeFill="background1"/>
              </w:rPr>
            </w:pPr>
          </w:p>
        </w:tc>
        <w:tc>
          <w:tcPr>
            <w:tcW w:w="720" w:type="dxa"/>
            <w:tcBorders>
              <w:top w:val="single" w:color="auto" w:sz="8" w:space="0"/>
              <w:left w:val="single" w:color="auto" w:sz="8" w:space="0"/>
              <w:bottom w:val="single" w:color="auto" w:sz="8" w:space="0"/>
              <w:right w:val="single" w:color="auto" w:sz="8" w:space="0"/>
            </w:tcBorders>
            <w:noWrap/>
            <w:vAlign w:val="center"/>
          </w:tcPr>
          <w:p w14:paraId="0207AB8B">
            <w:pPr>
              <w:pStyle w:val="376"/>
              <w:autoSpaceDE w:val="0"/>
              <w:autoSpaceDN w:val="0"/>
              <w:jc w:val="center"/>
              <w:rPr>
                <w:color w:val="auto"/>
                <w:kern w:val="0"/>
                <w:sz w:val="24"/>
                <w:highlight w:val="none"/>
                <w:shd w:val="clear" w:color="auto" w:fill="FFFFFF" w:themeFill="background1"/>
              </w:rPr>
            </w:pPr>
          </w:p>
        </w:tc>
        <w:tc>
          <w:tcPr>
            <w:tcW w:w="1815" w:type="dxa"/>
            <w:tcBorders>
              <w:top w:val="single" w:color="auto" w:sz="8" w:space="0"/>
              <w:left w:val="single" w:color="auto" w:sz="8" w:space="0"/>
              <w:bottom w:val="single" w:color="auto" w:sz="8" w:space="0"/>
              <w:right w:val="single" w:color="auto" w:sz="8" w:space="0"/>
            </w:tcBorders>
            <w:noWrap/>
            <w:vAlign w:val="center"/>
          </w:tcPr>
          <w:p w14:paraId="4A26C897">
            <w:pPr>
              <w:pStyle w:val="376"/>
              <w:autoSpaceDE w:val="0"/>
              <w:autoSpaceDN w:val="0"/>
              <w:jc w:val="center"/>
              <w:rPr>
                <w:color w:val="auto"/>
                <w:kern w:val="0"/>
                <w:sz w:val="24"/>
                <w:highlight w:val="none"/>
                <w:shd w:val="clear" w:color="auto" w:fill="FFFFFF" w:themeFill="background1"/>
              </w:rPr>
            </w:pPr>
          </w:p>
        </w:tc>
        <w:tc>
          <w:tcPr>
            <w:tcW w:w="1148" w:type="dxa"/>
            <w:tcBorders>
              <w:top w:val="single" w:color="auto" w:sz="8" w:space="0"/>
              <w:left w:val="single" w:color="auto" w:sz="8" w:space="0"/>
              <w:bottom w:val="single" w:color="auto" w:sz="8" w:space="0"/>
              <w:right w:val="single" w:color="auto" w:sz="8" w:space="0"/>
            </w:tcBorders>
            <w:noWrap/>
            <w:vAlign w:val="center"/>
          </w:tcPr>
          <w:p w14:paraId="6234820C">
            <w:pPr>
              <w:pStyle w:val="376"/>
              <w:autoSpaceDE w:val="0"/>
              <w:autoSpaceDN w:val="0"/>
              <w:jc w:val="center"/>
              <w:rPr>
                <w:color w:val="auto"/>
                <w:kern w:val="0"/>
                <w:sz w:val="24"/>
                <w:highlight w:val="none"/>
                <w:shd w:val="clear" w:color="auto" w:fill="FFFFFF" w:themeFill="background1"/>
              </w:rPr>
            </w:pPr>
          </w:p>
        </w:tc>
        <w:tc>
          <w:tcPr>
            <w:tcW w:w="1134" w:type="dxa"/>
            <w:tcBorders>
              <w:top w:val="single" w:color="auto" w:sz="8" w:space="0"/>
              <w:left w:val="single" w:color="auto" w:sz="8" w:space="0"/>
              <w:bottom w:val="single" w:color="auto" w:sz="8" w:space="0"/>
              <w:right w:val="single" w:color="auto" w:sz="8" w:space="0"/>
            </w:tcBorders>
            <w:noWrap/>
            <w:vAlign w:val="center"/>
          </w:tcPr>
          <w:p w14:paraId="1B580E93">
            <w:pPr>
              <w:pStyle w:val="376"/>
              <w:autoSpaceDE w:val="0"/>
              <w:autoSpaceDN w:val="0"/>
              <w:jc w:val="center"/>
              <w:rPr>
                <w:color w:val="auto"/>
                <w:kern w:val="0"/>
                <w:sz w:val="24"/>
                <w:highlight w:val="none"/>
                <w:shd w:val="clear" w:color="auto" w:fill="FFFFFF" w:themeFill="background1"/>
              </w:rPr>
            </w:pPr>
          </w:p>
        </w:tc>
        <w:tc>
          <w:tcPr>
            <w:tcW w:w="992" w:type="dxa"/>
            <w:tcBorders>
              <w:top w:val="single" w:color="auto" w:sz="8" w:space="0"/>
              <w:left w:val="single" w:color="auto" w:sz="8" w:space="0"/>
              <w:bottom w:val="single" w:color="auto" w:sz="8" w:space="0"/>
              <w:right w:val="single" w:color="auto" w:sz="8" w:space="0"/>
            </w:tcBorders>
            <w:noWrap/>
            <w:vAlign w:val="center"/>
          </w:tcPr>
          <w:p w14:paraId="52FB8C61">
            <w:pPr>
              <w:pStyle w:val="376"/>
              <w:autoSpaceDE w:val="0"/>
              <w:autoSpaceDN w:val="0"/>
              <w:jc w:val="center"/>
              <w:rPr>
                <w:color w:val="auto"/>
                <w:kern w:val="0"/>
                <w:sz w:val="24"/>
                <w:highlight w:val="none"/>
                <w:shd w:val="clear" w:color="auto" w:fill="FFFFFF" w:themeFill="background1"/>
              </w:rPr>
            </w:pPr>
          </w:p>
        </w:tc>
        <w:tc>
          <w:tcPr>
            <w:tcW w:w="1180" w:type="dxa"/>
            <w:tcBorders>
              <w:top w:val="single" w:color="auto" w:sz="8" w:space="0"/>
              <w:left w:val="single" w:color="auto" w:sz="8" w:space="0"/>
              <w:bottom w:val="single" w:color="auto" w:sz="8" w:space="0"/>
              <w:right w:val="single" w:color="auto" w:sz="4" w:space="0"/>
            </w:tcBorders>
            <w:noWrap/>
            <w:vAlign w:val="center"/>
          </w:tcPr>
          <w:p w14:paraId="57903A86">
            <w:pPr>
              <w:pStyle w:val="376"/>
              <w:autoSpaceDE w:val="0"/>
              <w:autoSpaceDN w:val="0"/>
              <w:jc w:val="center"/>
              <w:rPr>
                <w:color w:val="auto"/>
                <w:kern w:val="0"/>
                <w:sz w:val="24"/>
                <w:highlight w:val="none"/>
                <w:shd w:val="clear" w:color="auto" w:fill="FFFFFF" w:themeFill="background1"/>
              </w:rPr>
            </w:pPr>
          </w:p>
        </w:tc>
        <w:tc>
          <w:tcPr>
            <w:tcW w:w="1464" w:type="dxa"/>
            <w:tcBorders>
              <w:top w:val="single" w:color="auto" w:sz="8" w:space="0"/>
              <w:left w:val="single" w:color="auto" w:sz="4" w:space="0"/>
              <w:bottom w:val="single" w:color="auto" w:sz="8" w:space="0"/>
              <w:right w:val="single" w:color="auto" w:sz="12" w:space="0"/>
            </w:tcBorders>
            <w:noWrap/>
            <w:vAlign w:val="center"/>
          </w:tcPr>
          <w:p w14:paraId="35B3609D">
            <w:pPr>
              <w:pStyle w:val="376"/>
              <w:autoSpaceDE w:val="0"/>
              <w:autoSpaceDN w:val="0"/>
              <w:jc w:val="center"/>
              <w:rPr>
                <w:color w:val="auto"/>
                <w:kern w:val="0"/>
                <w:sz w:val="24"/>
                <w:highlight w:val="none"/>
                <w:shd w:val="clear" w:color="auto" w:fill="FFFFFF" w:themeFill="background1"/>
              </w:rPr>
            </w:pPr>
          </w:p>
        </w:tc>
      </w:tr>
      <w:tr w14:paraId="31D0B86C">
        <w:tblPrEx>
          <w:tblCellMar>
            <w:top w:w="0" w:type="dxa"/>
            <w:left w:w="0" w:type="dxa"/>
            <w:bottom w:w="0" w:type="dxa"/>
            <w:right w:w="0" w:type="dxa"/>
          </w:tblCellMar>
        </w:tblPrEx>
        <w:trPr>
          <w:trHeight w:val="900" w:hRule="atLeast"/>
        </w:trPr>
        <w:tc>
          <w:tcPr>
            <w:tcW w:w="712" w:type="dxa"/>
            <w:tcBorders>
              <w:top w:val="single" w:color="auto" w:sz="8" w:space="0"/>
              <w:left w:val="single" w:color="auto" w:sz="12" w:space="0"/>
              <w:bottom w:val="single" w:color="auto" w:sz="12" w:space="0"/>
              <w:right w:val="single" w:color="auto" w:sz="8" w:space="0"/>
            </w:tcBorders>
            <w:noWrap/>
            <w:vAlign w:val="center"/>
          </w:tcPr>
          <w:p w14:paraId="7B2DFBC2">
            <w:pPr>
              <w:pStyle w:val="376"/>
              <w:autoSpaceDE w:val="0"/>
              <w:autoSpaceDN w:val="0"/>
              <w:jc w:val="center"/>
              <w:rPr>
                <w:color w:val="auto"/>
                <w:kern w:val="0"/>
                <w:sz w:val="24"/>
                <w:highlight w:val="none"/>
                <w:shd w:val="clear" w:color="auto" w:fill="FFFFFF" w:themeFill="background1"/>
              </w:rPr>
            </w:pPr>
          </w:p>
        </w:tc>
        <w:tc>
          <w:tcPr>
            <w:tcW w:w="720" w:type="dxa"/>
            <w:tcBorders>
              <w:top w:val="single" w:color="auto" w:sz="8" w:space="0"/>
              <w:left w:val="single" w:color="auto" w:sz="8" w:space="0"/>
              <w:bottom w:val="single" w:color="auto" w:sz="12" w:space="0"/>
              <w:right w:val="single" w:color="auto" w:sz="8" w:space="0"/>
            </w:tcBorders>
            <w:noWrap/>
            <w:vAlign w:val="center"/>
          </w:tcPr>
          <w:p w14:paraId="37D6B864">
            <w:pPr>
              <w:pStyle w:val="376"/>
              <w:autoSpaceDE w:val="0"/>
              <w:autoSpaceDN w:val="0"/>
              <w:jc w:val="center"/>
              <w:rPr>
                <w:color w:val="auto"/>
                <w:kern w:val="0"/>
                <w:sz w:val="24"/>
                <w:highlight w:val="none"/>
                <w:shd w:val="clear" w:color="auto" w:fill="FFFFFF" w:themeFill="background1"/>
              </w:rPr>
            </w:pPr>
          </w:p>
        </w:tc>
        <w:tc>
          <w:tcPr>
            <w:tcW w:w="1815" w:type="dxa"/>
            <w:tcBorders>
              <w:top w:val="single" w:color="auto" w:sz="8" w:space="0"/>
              <w:left w:val="single" w:color="auto" w:sz="8" w:space="0"/>
              <w:bottom w:val="single" w:color="auto" w:sz="12" w:space="0"/>
              <w:right w:val="single" w:color="auto" w:sz="8" w:space="0"/>
            </w:tcBorders>
            <w:noWrap/>
            <w:vAlign w:val="center"/>
          </w:tcPr>
          <w:p w14:paraId="06E9591E">
            <w:pPr>
              <w:pStyle w:val="376"/>
              <w:autoSpaceDE w:val="0"/>
              <w:autoSpaceDN w:val="0"/>
              <w:jc w:val="center"/>
              <w:rPr>
                <w:color w:val="auto"/>
                <w:kern w:val="0"/>
                <w:sz w:val="24"/>
                <w:highlight w:val="none"/>
                <w:shd w:val="clear" w:color="auto" w:fill="FFFFFF" w:themeFill="background1"/>
              </w:rPr>
            </w:pPr>
          </w:p>
        </w:tc>
        <w:tc>
          <w:tcPr>
            <w:tcW w:w="1148" w:type="dxa"/>
            <w:tcBorders>
              <w:top w:val="single" w:color="auto" w:sz="8" w:space="0"/>
              <w:left w:val="single" w:color="auto" w:sz="8" w:space="0"/>
              <w:bottom w:val="single" w:color="auto" w:sz="12" w:space="0"/>
              <w:right w:val="single" w:color="auto" w:sz="8" w:space="0"/>
            </w:tcBorders>
            <w:noWrap/>
            <w:vAlign w:val="center"/>
          </w:tcPr>
          <w:p w14:paraId="0FA57014">
            <w:pPr>
              <w:pStyle w:val="376"/>
              <w:autoSpaceDE w:val="0"/>
              <w:autoSpaceDN w:val="0"/>
              <w:jc w:val="center"/>
              <w:rPr>
                <w:color w:val="auto"/>
                <w:kern w:val="0"/>
                <w:sz w:val="24"/>
                <w:highlight w:val="none"/>
                <w:shd w:val="clear" w:color="auto" w:fill="FFFFFF" w:themeFill="background1"/>
              </w:rPr>
            </w:pPr>
          </w:p>
        </w:tc>
        <w:tc>
          <w:tcPr>
            <w:tcW w:w="1134" w:type="dxa"/>
            <w:tcBorders>
              <w:top w:val="single" w:color="auto" w:sz="8" w:space="0"/>
              <w:left w:val="single" w:color="auto" w:sz="8" w:space="0"/>
              <w:bottom w:val="single" w:color="auto" w:sz="12" w:space="0"/>
              <w:right w:val="single" w:color="auto" w:sz="8" w:space="0"/>
            </w:tcBorders>
            <w:noWrap/>
            <w:vAlign w:val="center"/>
          </w:tcPr>
          <w:p w14:paraId="4E78F9B3">
            <w:pPr>
              <w:pStyle w:val="376"/>
              <w:autoSpaceDE w:val="0"/>
              <w:autoSpaceDN w:val="0"/>
              <w:jc w:val="center"/>
              <w:rPr>
                <w:color w:val="auto"/>
                <w:kern w:val="0"/>
                <w:sz w:val="24"/>
                <w:highlight w:val="none"/>
                <w:shd w:val="clear" w:color="auto" w:fill="FFFFFF" w:themeFill="background1"/>
              </w:rPr>
            </w:pPr>
          </w:p>
        </w:tc>
        <w:tc>
          <w:tcPr>
            <w:tcW w:w="992" w:type="dxa"/>
            <w:tcBorders>
              <w:top w:val="single" w:color="auto" w:sz="8" w:space="0"/>
              <w:left w:val="single" w:color="auto" w:sz="8" w:space="0"/>
              <w:bottom w:val="single" w:color="auto" w:sz="12" w:space="0"/>
              <w:right w:val="single" w:color="auto" w:sz="8" w:space="0"/>
            </w:tcBorders>
            <w:noWrap/>
            <w:vAlign w:val="center"/>
          </w:tcPr>
          <w:p w14:paraId="31C508AA">
            <w:pPr>
              <w:pStyle w:val="376"/>
              <w:autoSpaceDE w:val="0"/>
              <w:autoSpaceDN w:val="0"/>
              <w:jc w:val="center"/>
              <w:rPr>
                <w:color w:val="auto"/>
                <w:kern w:val="0"/>
                <w:sz w:val="24"/>
                <w:highlight w:val="none"/>
                <w:shd w:val="clear" w:color="auto" w:fill="FFFFFF" w:themeFill="background1"/>
              </w:rPr>
            </w:pPr>
          </w:p>
        </w:tc>
        <w:tc>
          <w:tcPr>
            <w:tcW w:w="1180" w:type="dxa"/>
            <w:tcBorders>
              <w:top w:val="single" w:color="auto" w:sz="8" w:space="0"/>
              <w:left w:val="single" w:color="auto" w:sz="8" w:space="0"/>
              <w:bottom w:val="single" w:color="auto" w:sz="12" w:space="0"/>
              <w:right w:val="single" w:color="auto" w:sz="4" w:space="0"/>
            </w:tcBorders>
            <w:noWrap/>
            <w:vAlign w:val="center"/>
          </w:tcPr>
          <w:p w14:paraId="21C7701E">
            <w:pPr>
              <w:pStyle w:val="376"/>
              <w:autoSpaceDE w:val="0"/>
              <w:autoSpaceDN w:val="0"/>
              <w:jc w:val="center"/>
              <w:rPr>
                <w:color w:val="auto"/>
                <w:kern w:val="0"/>
                <w:sz w:val="24"/>
                <w:highlight w:val="none"/>
                <w:shd w:val="clear" w:color="auto" w:fill="FFFFFF" w:themeFill="background1"/>
              </w:rPr>
            </w:pPr>
          </w:p>
        </w:tc>
        <w:tc>
          <w:tcPr>
            <w:tcW w:w="1464" w:type="dxa"/>
            <w:tcBorders>
              <w:top w:val="single" w:color="auto" w:sz="8" w:space="0"/>
              <w:left w:val="single" w:color="auto" w:sz="4" w:space="0"/>
              <w:bottom w:val="single" w:color="auto" w:sz="12" w:space="0"/>
              <w:right w:val="single" w:color="auto" w:sz="12" w:space="0"/>
            </w:tcBorders>
            <w:noWrap/>
            <w:vAlign w:val="center"/>
          </w:tcPr>
          <w:p w14:paraId="55D7B5F4">
            <w:pPr>
              <w:pStyle w:val="376"/>
              <w:autoSpaceDE w:val="0"/>
              <w:autoSpaceDN w:val="0"/>
              <w:jc w:val="center"/>
              <w:rPr>
                <w:color w:val="auto"/>
                <w:kern w:val="0"/>
                <w:sz w:val="24"/>
                <w:highlight w:val="none"/>
                <w:shd w:val="clear" w:color="auto" w:fill="FFFFFF" w:themeFill="background1"/>
              </w:rPr>
            </w:pPr>
          </w:p>
        </w:tc>
      </w:tr>
    </w:tbl>
    <w:p w14:paraId="416829E8">
      <w:pPr>
        <w:pStyle w:val="31"/>
        <w:spacing w:after="120"/>
        <w:ind w:firstLine="482"/>
        <w:rPr>
          <w:color w:val="auto"/>
          <w:sz w:val="24"/>
          <w:szCs w:val="24"/>
          <w:highlight w:val="none"/>
          <w:shd w:val="clear" w:color="auto" w:fill="FFFFFF" w:themeFill="background1"/>
        </w:rPr>
      </w:pPr>
    </w:p>
    <w:p w14:paraId="154691D8">
      <w:pPr>
        <w:spacing w:line="360" w:lineRule="auto"/>
        <w:ind w:firstLine="482"/>
        <w:jc w:val="left"/>
        <w:rPr>
          <w:rFonts w:ascii="宋体" w:hAnsi="宋体"/>
          <w:color w:val="auto"/>
          <w:sz w:val="24"/>
          <w:szCs w:val="20"/>
          <w:highlight w:val="none"/>
          <w:shd w:val="clear" w:color="auto" w:fill="FFFFFF" w:themeFill="background1"/>
        </w:rPr>
      </w:pPr>
      <w:r>
        <w:rPr>
          <w:rFonts w:hint="eastAsia" w:ascii="宋体" w:hAnsi="宋体"/>
          <w:color w:val="auto"/>
          <w:sz w:val="24"/>
          <w:szCs w:val="20"/>
          <w:highlight w:val="none"/>
          <w:shd w:val="clear" w:color="auto" w:fill="FFFFFF" w:themeFill="background1"/>
        </w:rPr>
        <w:t>注：</w:t>
      </w:r>
    </w:p>
    <w:p w14:paraId="3B432FFC">
      <w:pPr>
        <w:spacing w:line="360" w:lineRule="auto"/>
        <w:ind w:firstLine="482"/>
        <w:jc w:val="left"/>
        <w:rPr>
          <w:rFonts w:ascii="宋体" w:hAnsi="宋体"/>
          <w:color w:val="auto"/>
          <w:sz w:val="24"/>
          <w:szCs w:val="20"/>
          <w:highlight w:val="none"/>
          <w:shd w:val="clear" w:color="auto" w:fill="FFFFFF" w:themeFill="background1"/>
        </w:rPr>
      </w:pPr>
      <w:r>
        <w:rPr>
          <w:rFonts w:hint="eastAsia" w:ascii="宋体" w:hAnsi="宋体"/>
          <w:color w:val="auto"/>
          <w:sz w:val="24"/>
          <w:szCs w:val="20"/>
          <w:highlight w:val="none"/>
          <w:shd w:val="clear" w:color="auto" w:fill="FFFFFF" w:themeFill="background1"/>
        </w:rPr>
        <w:t>1.在填写时，如本表格不适合投标单位的实际情况，可根据本表格式自行制表填写。</w:t>
      </w:r>
    </w:p>
    <w:p w14:paraId="07FC1232">
      <w:pPr>
        <w:spacing w:line="360" w:lineRule="auto"/>
        <w:ind w:firstLine="482"/>
        <w:jc w:val="left"/>
        <w:rPr>
          <w:rFonts w:ascii="宋体" w:hAnsi="宋体"/>
          <w:color w:val="auto"/>
          <w:sz w:val="24"/>
          <w:szCs w:val="20"/>
          <w:highlight w:val="none"/>
          <w:shd w:val="clear" w:color="auto" w:fill="FFFFFF" w:themeFill="background1"/>
        </w:rPr>
      </w:pPr>
      <w:r>
        <w:rPr>
          <w:rFonts w:hint="eastAsia" w:ascii="宋体" w:hAnsi="宋体"/>
          <w:color w:val="auto"/>
          <w:sz w:val="24"/>
          <w:szCs w:val="20"/>
          <w:highlight w:val="none"/>
          <w:shd w:val="clear" w:color="auto" w:fill="FFFFFF" w:themeFill="background1"/>
        </w:rPr>
        <w:t>2.投标人应当附本表所列证书的复印件并加盖投标人电子签章。</w:t>
      </w:r>
    </w:p>
    <w:p w14:paraId="645DA971">
      <w:pPr>
        <w:spacing w:line="360" w:lineRule="auto"/>
        <w:ind w:firstLine="482"/>
        <w:jc w:val="left"/>
        <w:rPr>
          <w:rFonts w:ascii="宋体" w:hAnsi="宋体"/>
          <w:color w:val="auto"/>
          <w:sz w:val="24"/>
          <w:szCs w:val="20"/>
          <w:highlight w:val="none"/>
          <w:shd w:val="clear" w:color="auto" w:fill="FFFFFF" w:themeFill="background1"/>
        </w:rPr>
      </w:pPr>
    </w:p>
    <w:p w14:paraId="51A68323">
      <w:pPr>
        <w:spacing w:line="360" w:lineRule="auto"/>
        <w:ind w:firstLine="482"/>
        <w:jc w:val="left"/>
        <w:rPr>
          <w:rFonts w:ascii="宋体" w:hAnsi="宋体"/>
          <w:color w:val="auto"/>
          <w:sz w:val="24"/>
          <w:szCs w:val="20"/>
          <w:highlight w:val="none"/>
        </w:rPr>
      </w:pPr>
    </w:p>
    <w:p w14:paraId="0467AD3C">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2BDE692F">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6458D1BD">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FF48FC4">
      <w:pPr>
        <w:ind w:firstLine="560"/>
        <w:rPr>
          <w:b/>
          <w:color w:val="auto"/>
          <w:sz w:val="28"/>
          <w:szCs w:val="28"/>
          <w:highlight w:val="none"/>
          <w:shd w:val="clear" w:color="auto" w:fill="FFFFFF" w:themeFill="background1"/>
        </w:rPr>
      </w:pPr>
    </w:p>
    <w:p w14:paraId="5788D3AF">
      <w:pPr>
        <w:snapToGrid w:val="0"/>
        <w:spacing w:beforeLines="50" w:after="50"/>
        <w:ind w:left="142" w:firstLine="643"/>
        <w:jc w:val="center"/>
        <w:rPr>
          <w:rFonts w:ascii="宋体" w:hAnsi="宋体"/>
          <w:b/>
          <w:color w:val="auto"/>
          <w:sz w:val="32"/>
          <w:szCs w:val="32"/>
          <w:highlight w:val="none"/>
          <w:shd w:val="clear" w:color="auto" w:fill="FFFFFF" w:themeFill="background1"/>
        </w:rPr>
      </w:pPr>
      <w:r>
        <w:rPr>
          <w:rFonts w:hint="eastAsia" w:ascii="宋体" w:hAnsi="宋体"/>
          <w:b/>
          <w:color w:val="auto"/>
          <w:sz w:val="32"/>
          <w:szCs w:val="32"/>
          <w:highlight w:val="none"/>
          <w:shd w:val="clear" w:color="auto" w:fill="FFFFFF" w:themeFill="background1"/>
        </w:rPr>
        <w:t>主要人员资历表</w:t>
      </w:r>
    </w:p>
    <w:p w14:paraId="2412E45B">
      <w:pPr>
        <w:pStyle w:val="376"/>
        <w:jc w:val="center"/>
        <w:rPr>
          <w:rFonts w:ascii="黑体" w:hAnsi="宋体" w:eastAsia="黑体"/>
          <w:color w:val="auto"/>
          <w:sz w:val="24"/>
          <w:highlight w:val="none"/>
          <w:shd w:val="clear" w:color="auto" w:fill="FFFFFF" w:themeFill="background1"/>
        </w:rPr>
      </w:pPr>
    </w:p>
    <w:tbl>
      <w:tblPr>
        <w:tblStyle w:val="62"/>
        <w:tblW w:w="0" w:type="auto"/>
        <w:tblInd w:w="-15" w:type="dxa"/>
        <w:tblLayout w:type="fixed"/>
        <w:tblCellMar>
          <w:top w:w="0" w:type="dxa"/>
          <w:left w:w="0" w:type="dxa"/>
          <w:bottom w:w="0" w:type="dxa"/>
          <w:right w:w="0" w:type="dxa"/>
        </w:tblCellMar>
      </w:tblPr>
      <w:tblGrid>
        <w:gridCol w:w="528"/>
        <w:gridCol w:w="887"/>
        <w:gridCol w:w="521"/>
        <w:gridCol w:w="177"/>
        <w:gridCol w:w="710"/>
        <w:gridCol w:w="536"/>
        <w:gridCol w:w="690"/>
        <w:gridCol w:w="528"/>
        <w:gridCol w:w="205"/>
        <w:gridCol w:w="676"/>
        <w:gridCol w:w="915"/>
        <w:gridCol w:w="199"/>
        <w:gridCol w:w="520"/>
        <w:gridCol w:w="1889"/>
      </w:tblGrid>
      <w:tr w14:paraId="2C963F25">
        <w:tblPrEx>
          <w:tblCellMar>
            <w:top w:w="0" w:type="dxa"/>
            <w:left w:w="0" w:type="dxa"/>
            <w:bottom w:w="0" w:type="dxa"/>
            <w:right w:w="0" w:type="dxa"/>
          </w:tblCellMar>
        </w:tblPrEx>
        <w:trPr>
          <w:trHeight w:val="429" w:hRule="atLeast"/>
        </w:trPr>
        <w:tc>
          <w:tcPr>
            <w:tcW w:w="8981" w:type="dxa"/>
            <w:gridSpan w:val="14"/>
            <w:tcBorders>
              <w:top w:val="single" w:color="auto" w:sz="12" w:space="0"/>
              <w:left w:val="single" w:color="auto" w:sz="12" w:space="0"/>
              <w:bottom w:val="single" w:color="auto" w:sz="8" w:space="0"/>
              <w:right w:val="single" w:color="auto" w:sz="12" w:space="0"/>
            </w:tcBorders>
            <w:noWrap/>
            <w:vAlign w:val="center"/>
          </w:tcPr>
          <w:p w14:paraId="0EAD4425">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一般情况</w:t>
            </w:r>
          </w:p>
        </w:tc>
      </w:tr>
      <w:tr w14:paraId="2CC91B30">
        <w:tblPrEx>
          <w:tblCellMar>
            <w:top w:w="0" w:type="dxa"/>
            <w:left w:w="0" w:type="dxa"/>
            <w:bottom w:w="0" w:type="dxa"/>
            <w:right w:w="0" w:type="dxa"/>
          </w:tblCellMar>
        </w:tblPrEx>
        <w:trPr>
          <w:trHeight w:val="517" w:hRule="atLeast"/>
        </w:trPr>
        <w:tc>
          <w:tcPr>
            <w:tcW w:w="528" w:type="dxa"/>
            <w:tcBorders>
              <w:top w:val="single" w:color="auto" w:sz="8" w:space="0"/>
              <w:left w:val="single" w:color="auto" w:sz="12" w:space="0"/>
              <w:bottom w:val="single" w:color="auto" w:sz="8" w:space="0"/>
              <w:right w:val="single" w:color="auto" w:sz="8" w:space="0"/>
            </w:tcBorders>
            <w:noWrap/>
            <w:vAlign w:val="center"/>
          </w:tcPr>
          <w:p w14:paraId="1A0875D6">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姓名</w:t>
            </w:r>
          </w:p>
        </w:tc>
        <w:tc>
          <w:tcPr>
            <w:tcW w:w="887" w:type="dxa"/>
            <w:tcBorders>
              <w:top w:val="single" w:color="auto" w:sz="8" w:space="0"/>
              <w:left w:val="single" w:color="auto" w:sz="8" w:space="0"/>
              <w:bottom w:val="single" w:color="auto" w:sz="8" w:space="0"/>
              <w:right w:val="single" w:color="auto" w:sz="8" w:space="0"/>
            </w:tcBorders>
            <w:noWrap/>
            <w:vAlign w:val="center"/>
          </w:tcPr>
          <w:p w14:paraId="0BD92C85">
            <w:pPr>
              <w:pStyle w:val="376"/>
              <w:autoSpaceDE w:val="0"/>
              <w:autoSpaceDN w:val="0"/>
              <w:jc w:val="center"/>
              <w:rPr>
                <w:color w:val="auto"/>
                <w:kern w:val="0"/>
                <w:sz w:val="24"/>
                <w:highlight w:val="none"/>
                <w:shd w:val="clear" w:color="auto" w:fill="FFFFFF" w:themeFill="background1"/>
              </w:rPr>
            </w:pPr>
          </w:p>
        </w:tc>
        <w:tc>
          <w:tcPr>
            <w:tcW w:w="521" w:type="dxa"/>
            <w:tcBorders>
              <w:top w:val="single" w:color="auto" w:sz="8" w:space="0"/>
              <w:left w:val="single" w:color="auto" w:sz="8" w:space="0"/>
              <w:bottom w:val="single" w:color="auto" w:sz="8" w:space="0"/>
              <w:right w:val="single" w:color="auto" w:sz="8" w:space="0"/>
            </w:tcBorders>
            <w:noWrap/>
            <w:vAlign w:val="center"/>
          </w:tcPr>
          <w:p w14:paraId="541BF6BD">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性别</w:t>
            </w:r>
          </w:p>
        </w:tc>
        <w:tc>
          <w:tcPr>
            <w:tcW w:w="887" w:type="dxa"/>
            <w:gridSpan w:val="2"/>
            <w:tcBorders>
              <w:top w:val="single" w:color="auto" w:sz="8" w:space="0"/>
              <w:left w:val="single" w:color="auto" w:sz="8" w:space="0"/>
              <w:bottom w:val="single" w:color="auto" w:sz="8" w:space="0"/>
              <w:right w:val="single" w:color="auto" w:sz="8" w:space="0"/>
            </w:tcBorders>
            <w:noWrap/>
            <w:vAlign w:val="center"/>
          </w:tcPr>
          <w:p w14:paraId="580FAD7C">
            <w:pPr>
              <w:pStyle w:val="376"/>
              <w:autoSpaceDE w:val="0"/>
              <w:autoSpaceDN w:val="0"/>
              <w:jc w:val="center"/>
              <w:rPr>
                <w:color w:val="auto"/>
                <w:kern w:val="0"/>
                <w:sz w:val="24"/>
                <w:highlight w:val="none"/>
                <w:shd w:val="clear" w:color="auto" w:fill="FFFFFF" w:themeFill="background1"/>
              </w:rPr>
            </w:pPr>
          </w:p>
        </w:tc>
        <w:tc>
          <w:tcPr>
            <w:tcW w:w="536" w:type="dxa"/>
            <w:tcBorders>
              <w:top w:val="single" w:color="auto" w:sz="8" w:space="0"/>
              <w:left w:val="single" w:color="auto" w:sz="8" w:space="0"/>
              <w:bottom w:val="single" w:color="auto" w:sz="8" w:space="0"/>
              <w:right w:val="single" w:color="auto" w:sz="8" w:space="0"/>
            </w:tcBorders>
            <w:noWrap/>
            <w:vAlign w:val="center"/>
          </w:tcPr>
          <w:p w14:paraId="3208BD4A">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年龄</w:t>
            </w:r>
          </w:p>
        </w:tc>
        <w:tc>
          <w:tcPr>
            <w:tcW w:w="690" w:type="dxa"/>
            <w:tcBorders>
              <w:top w:val="single" w:color="auto" w:sz="8" w:space="0"/>
              <w:left w:val="single" w:color="auto" w:sz="8" w:space="0"/>
              <w:bottom w:val="single" w:color="auto" w:sz="8" w:space="0"/>
              <w:right w:val="single" w:color="auto" w:sz="8" w:space="0"/>
            </w:tcBorders>
            <w:noWrap/>
            <w:vAlign w:val="center"/>
          </w:tcPr>
          <w:p w14:paraId="67543490">
            <w:pPr>
              <w:pStyle w:val="376"/>
              <w:autoSpaceDE w:val="0"/>
              <w:autoSpaceDN w:val="0"/>
              <w:jc w:val="center"/>
              <w:rPr>
                <w:color w:val="auto"/>
                <w:kern w:val="0"/>
                <w:sz w:val="24"/>
                <w:highlight w:val="none"/>
                <w:shd w:val="clear" w:color="auto" w:fill="FFFFFF" w:themeFill="background1"/>
              </w:rPr>
            </w:pPr>
          </w:p>
        </w:tc>
        <w:tc>
          <w:tcPr>
            <w:tcW w:w="528" w:type="dxa"/>
            <w:tcBorders>
              <w:top w:val="single" w:color="auto" w:sz="8" w:space="0"/>
              <w:left w:val="single" w:color="auto" w:sz="8" w:space="0"/>
              <w:bottom w:val="single" w:color="auto" w:sz="8" w:space="0"/>
              <w:right w:val="single" w:color="auto" w:sz="8" w:space="0"/>
            </w:tcBorders>
            <w:noWrap/>
            <w:vAlign w:val="center"/>
          </w:tcPr>
          <w:p w14:paraId="15D290A4">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学位</w:t>
            </w:r>
          </w:p>
        </w:tc>
        <w:tc>
          <w:tcPr>
            <w:tcW w:w="881" w:type="dxa"/>
            <w:gridSpan w:val="2"/>
            <w:tcBorders>
              <w:top w:val="single" w:color="auto" w:sz="8" w:space="0"/>
              <w:left w:val="single" w:color="auto" w:sz="8" w:space="0"/>
              <w:bottom w:val="single" w:color="auto" w:sz="8" w:space="0"/>
              <w:right w:val="single" w:color="auto" w:sz="8" w:space="0"/>
            </w:tcBorders>
            <w:noWrap/>
            <w:vAlign w:val="center"/>
          </w:tcPr>
          <w:p w14:paraId="07F123BA">
            <w:pPr>
              <w:pStyle w:val="376"/>
              <w:autoSpaceDE w:val="0"/>
              <w:autoSpaceDN w:val="0"/>
              <w:jc w:val="center"/>
              <w:rPr>
                <w:color w:val="auto"/>
                <w:kern w:val="0"/>
                <w:sz w:val="24"/>
                <w:highlight w:val="none"/>
                <w:shd w:val="clear" w:color="auto" w:fill="FFFFFF" w:themeFill="background1"/>
              </w:rPr>
            </w:pPr>
          </w:p>
        </w:tc>
        <w:tc>
          <w:tcPr>
            <w:tcW w:w="1634" w:type="dxa"/>
            <w:gridSpan w:val="3"/>
            <w:tcBorders>
              <w:top w:val="single" w:color="auto" w:sz="8" w:space="0"/>
              <w:left w:val="single" w:color="auto" w:sz="8" w:space="0"/>
              <w:bottom w:val="single" w:color="auto" w:sz="8" w:space="0"/>
              <w:right w:val="single" w:color="auto" w:sz="8" w:space="0"/>
            </w:tcBorders>
            <w:noWrap/>
            <w:vAlign w:val="center"/>
          </w:tcPr>
          <w:p w14:paraId="3BC14D10">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身份证号码</w:t>
            </w:r>
          </w:p>
        </w:tc>
        <w:tc>
          <w:tcPr>
            <w:tcW w:w="1889" w:type="dxa"/>
            <w:tcBorders>
              <w:top w:val="single" w:color="auto" w:sz="8" w:space="0"/>
              <w:left w:val="single" w:color="auto" w:sz="8" w:space="0"/>
              <w:bottom w:val="single" w:color="auto" w:sz="8" w:space="0"/>
              <w:right w:val="single" w:color="auto" w:sz="12" w:space="0"/>
            </w:tcBorders>
            <w:noWrap/>
            <w:vAlign w:val="center"/>
          </w:tcPr>
          <w:p w14:paraId="4F594E79">
            <w:pPr>
              <w:pStyle w:val="376"/>
              <w:autoSpaceDE w:val="0"/>
              <w:autoSpaceDN w:val="0"/>
              <w:jc w:val="center"/>
              <w:rPr>
                <w:color w:val="auto"/>
                <w:kern w:val="0"/>
                <w:sz w:val="24"/>
                <w:highlight w:val="none"/>
                <w:shd w:val="clear" w:color="auto" w:fill="FFFFFF" w:themeFill="background1"/>
              </w:rPr>
            </w:pPr>
          </w:p>
        </w:tc>
      </w:tr>
      <w:tr w14:paraId="10DF0CC6">
        <w:tblPrEx>
          <w:tblCellMar>
            <w:top w:w="0" w:type="dxa"/>
            <w:left w:w="0" w:type="dxa"/>
            <w:bottom w:w="0" w:type="dxa"/>
            <w:right w:w="0" w:type="dxa"/>
          </w:tblCellMar>
        </w:tblPrEx>
        <w:trPr>
          <w:trHeight w:val="475" w:hRule="atLeast"/>
        </w:trPr>
        <w:tc>
          <w:tcPr>
            <w:tcW w:w="528" w:type="dxa"/>
            <w:tcBorders>
              <w:top w:val="single" w:color="auto" w:sz="8" w:space="0"/>
              <w:left w:val="single" w:color="auto" w:sz="12" w:space="0"/>
              <w:bottom w:val="single" w:color="auto" w:sz="8" w:space="0"/>
              <w:right w:val="single" w:color="auto" w:sz="8" w:space="0"/>
            </w:tcBorders>
            <w:noWrap/>
            <w:vAlign w:val="center"/>
          </w:tcPr>
          <w:p w14:paraId="7AB974D3">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学历</w:t>
            </w:r>
          </w:p>
        </w:tc>
        <w:tc>
          <w:tcPr>
            <w:tcW w:w="1585" w:type="dxa"/>
            <w:gridSpan w:val="3"/>
            <w:tcBorders>
              <w:top w:val="single" w:color="auto" w:sz="8" w:space="0"/>
              <w:left w:val="single" w:color="auto" w:sz="8" w:space="0"/>
              <w:bottom w:val="single" w:color="auto" w:sz="8" w:space="0"/>
              <w:right w:val="single" w:color="auto" w:sz="8" w:space="0"/>
            </w:tcBorders>
            <w:noWrap/>
            <w:vAlign w:val="center"/>
          </w:tcPr>
          <w:p w14:paraId="107421F5">
            <w:pPr>
              <w:pStyle w:val="376"/>
              <w:autoSpaceDE w:val="0"/>
              <w:autoSpaceDN w:val="0"/>
              <w:jc w:val="center"/>
              <w:rPr>
                <w:color w:val="auto"/>
                <w:kern w:val="0"/>
                <w:sz w:val="24"/>
                <w:highlight w:val="none"/>
                <w:shd w:val="clear" w:color="auto" w:fill="FFFFFF" w:themeFill="background1"/>
              </w:rPr>
            </w:pPr>
          </w:p>
        </w:tc>
        <w:tc>
          <w:tcPr>
            <w:tcW w:w="1246" w:type="dxa"/>
            <w:gridSpan w:val="2"/>
            <w:tcBorders>
              <w:top w:val="single" w:color="auto" w:sz="8" w:space="0"/>
              <w:left w:val="single" w:color="auto" w:sz="8" w:space="0"/>
              <w:bottom w:val="single" w:color="auto" w:sz="8" w:space="0"/>
              <w:right w:val="single" w:color="auto" w:sz="8" w:space="0"/>
            </w:tcBorders>
            <w:noWrap/>
            <w:vAlign w:val="center"/>
          </w:tcPr>
          <w:p w14:paraId="338C591C">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毕业学校</w:t>
            </w:r>
          </w:p>
        </w:tc>
        <w:tc>
          <w:tcPr>
            <w:tcW w:w="2099" w:type="dxa"/>
            <w:gridSpan w:val="4"/>
            <w:tcBorders>
              <w:top w:val="single" w:color="auto" w:sz="8" w:space="0"/>
              <w:left w:val="single" w:color="auto" w:sz="8" w:space="0"/>
              <w:bottom w:val="single" w:color="auto" w:sz="8" w:space="0"/>
              <w:right w:val="single" w:color="auto" w:sz="8" w:space="0"/>
            </w:tcBorders>
            <w:noWrap/>
            <w:vAlign w:val="center"/>
          </w:tcPr>
          <w:p w14:paraId="430D01CD">
            <w:pPr>
              <w:pStyle w:val="376"/>
              <w:autoSpaceDE w:val="0"/>
              <w:autoSpaceDN w:val="0"/>
              <w:jc w:val="center"/>
              <w:rPr>
                <w:color w:val="auto"/>
                <w:kern w:val="0"/>
                <w:sz w:val="24"/>
                <w:highlight w:val="none"/>
                <w:shd w:val="clear" w:color="auto" w:fill="FFFFFF" w:themeFill="background1"/>
              </w:rPr>
            </w:pPr>
          </w:p>
        </w:tc>
        <w:tc>
          <w:tcPr>
            <w:tcW w:w="915" w:type="dxa"/>
            <w:tcBorders>
              <w:top w:val="single" w:color="auto" w:sz="8" w:space="0"/>
              <w:left w:val="single" w:color="auto" w:sz="8" w:space="0"/>
              <w:bottom w:val="single" w:color="auto" w:sz="8" w:space="0"/>
              <w:right w:val="single" w:color="auto" w:sz="8" w:space="0"/>
            </w:tcBorders>
            <w:noWrap/>
            <w:vAlign w:val="center"/>
          </w:tcPr>
          <w:p w14:paraId="1B6C4BFB">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专业</w:t>
            </w:r>
          </w:p>
        </w:tc>
        <w:tc>
          <w:tcPr>
            <w:tcW w:w="2608" w:type="dxa"/>
            <w:gridSpan w:val="3"/>
            <w:tcBorders>
              <w:top w:val="single" w:color="auto" w:sz="8" w:space="0"/>
              <w:left w:val="single" w:color="auto" w:sz="8" w:space="0"/>
              <w:bottom w:val="single" w:color="auto" w:sz="8" w:space="0"/>
              <w:right w:val="single" w:color="auto" w:sz="12" w:space="0"/>
            </w:tcBorders>
            <w:noWrap/>
            <w:vAlign w:val="center"/>
          </w:tcPr>
          <w:p w14:paraId="58593C13">
            <w:pPr>
              <w:pStyle w:val="376"/>
              <w:autoSpaceDE w:val="0"/>
              <w:autoSpaceDN w:val="0"/>
              <w:jc w:val="center"/>
              <w:rPr>
                <w:color w:val="auto"/>
                <w:kern w:val="0"/>
                <w:sz w:val="24"/>
                <w:highlight w:val="none"/>
                <w:shd w:val="clear" w:color="auto" w:fill="FFFFFF" w:themeFill="background1"/>
              </w:rPr>
            </w:pPr>
          </w:p>
        </w:tc>
      </w:tr>
      <w:tr w14:paraId="5940421B">
        <w:tblPrEx>
          <w:tblCellMar>
            <w:top w:w="0" w:type="dxa"/>
            <w:left w:w="0" w:type="dxa"/>
            <w:bottom w:w="0" w:type="dxa"/>
            <w:right w:w="0" w:type="dxa"/>
          </w:tblCellMar>
        </w:tblPrEx>
        <w:trPr>
          <w:trHeight w:val="633" w:hRule="atLeast"/>
        </w:trPr>
        <w:tc>
          <w:tcPr>
            <w:tcW w:w="528" w:type="dxa"/>
            <w:tcBorders>
              <w:top w:val="single" w:color="auto" w:sz="8" w:space="0"/>
              <w:left w:val="single" w:color="auto" w:sz="12" w:space="0"/>
              <w:bottom w:val="single" w:color="auto" w:sz="8" w:space="0"/>
              <w:right w:val="single" w:color="auto" w:sz="8" w:space="0"/>
            </w:tcBorders>
            <w:noWrap/>
            <w:vAlign w:val="center"/>
          </w:tcPr>
          <w:p w14:paraId="15CD7C8A">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职称</w:t>
            </w:r>
          </w:p>
        </w:tc>
        <w:tc>
          <w:tcPr>
            <w:tcW w:w="887" w:type="dxa"/>
            <w:tcBorders>
              <w:top w:val="single" w:color="auto" w:sz="8" w:space="0"/>
              <w:left w:val="single" w:color="auto" w:sz="8" w:space="0"/>
              <w:bottom w:val="single" w:color="auto" w:sz="8" w:space="0"/>
              <w:right w:val="single" w:color="auto" w:sz="8" w:space="0"/>
            </w:tcBorders>
            <w:noWrap/>
            <w:vAlign w:val="center"/>
          </w:tcPr>
          <w:p w14:paraId="55A70B02">
            <w:pPr>
              <w:pStyle w:val="376"/>
              <w:autoSpaceDE w:val="0"/>
              <w:autoSpaceDN w:val="0"/>
              <w:jc w:val="center"/>
              <w:rPr>
                <w:color w:val="auto"/>
                <w:kern w:val="0"/>
                <w:sz w:val="24"/>
                <w:highlight w:val="none"/>
                <w:shd w:val="clear" w:color="auto" w:fill="FFFFFF" w:themeFill="background1"/>
              </w:rPr>
            </w:pPr>
          </w:p>
        </w:tc>
        <w:tc>
          <w:tcPr>
            <w:tcW w:w="698" w:type="dxa"/>
            <w:gridSpan w:val="2"/>
            <w:tcBorders>
              <w:top w:val="single" w:color="auto" w:sz="8" w:space="0"/>
              <w:left w:val="single" w:color="auto" w:sz="8" w:space="0"/>
              <w:bottom w:val="single" w:color="auto" w:sz="8" w:space="0"/>
              <w:right w:val="single" w:color="auto" w:sz="8" w:space="0"/>
            </w:tcBorders>
            <w:noWrap/>
            <w:vAlign w:val="center"/>
          </w:tcPr>
          <w:p w14:paraId="4E84B787">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执业资格</w:t>
            </w:r>
          </w:p>
        </w:tc>
        <w:tc>
          <w:tcPr>
            <w:tcW w:w="1246" w:type="dxa"/>
            <w:gridSpan w:val="2"/>
            <w:tcBorders>
              <w:top w:val="single" w:color="auto" w:sz="8" w:space="0"/>
              <w:left w:val="single" w:color="auto" w:sz="8" w:space="0"/>
              <w:bottom w:val="single" w:color="auto" w:sz="8" w:space="0"/>
              <w:right w:val="single" w:color="auto" w:sz="8" w:space="0"/>
            </w:tcBorders>
            <w:noWrap/>
            <w:vAlign w:val="center"/>
          </w:tcPr>
          <w:p w14:paraId="30B131CC">
            <w:pPr>
              <w:pStyle w:val="376"/>
              <w:autoSpaceDE w:val="0"/>
              <w:autoSpaceDN w:val="0"/>
              <w:jc w:val="center"/>
              <w:rPr>
                <w:color w:val="auto"/>
                <w:kern w:val="0"/>
                <w:sz w:val="24"/>
                <w:highlight w:val="none"/>
                <w:shd w:val="clear" w:color="auto" w:fill="FFFFFF" w:themeFill="background1"/>
              </w:rPr>
            </w:pPr>
          </w:p>
        </w:tc>
        <w:tc>
          <w:tcPr>
            <w:tcW w:w="1423" w:type="dxa"/>
            <w:gridSpan w:val="3"/>
            <w:tcBorders>
              <w:top w:val="single" w:color="auto" w:sz="8" w:space="0"/>
              <w:left w:val="single" w:color="auto" w:sz="8" w:space="0"/>
              <w:bottom w:val="single" w:color="auto" w:sz="8" w:space="0"/>
              <w:right w:val="single" w:color="auto" w:sz="8" w:space="0"/>
            </w:tcBorders>
            <w:noWrap/>
            <w:vAlign w:val="center"/>
          </w:tcPr>
          <w:p w14:paraId="5F4D5EDA">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服务投标人时间（年）</w:t>
            </w:r>
          </w:p>
        </w:tc>
        <w:tc>
          <w:tcPr>
            <w:tcW w:w="676" w:type="dxa"/>
            <w:tcBorders>
              <w:top w:val="single" w:color="auto" w:sz="8" w:space="0"/>
              <w:left w:val="single" w:color="auto" w:sz="8" w:space="0"/>
              <w:bottom w:val="single" w:color="auto" w:sz="8" w:space="0"/>
              <w:right w:val="single" w:color="auto" w:sz="8" w:space="0"/>
            </w:tcBorders>
            <w:noWrap/>
            <w:vAlign w:val="center"/>
          </w:tcPr>
          <w:p w14:paraId="638FCCF1">
            <w:pPr>
              <w:pStyle w:val="376"/>
              <w:autoSpaceDE w:val="0"/>
              <w:autoSpaceDN w:val="0"/>
              <w:jc w:val="center"/>
              <w:rPr>
                <w:color w:val="auto"/>
                <w:kern w:val="0"/>
                <w:sz w:val="24"/>
                <w:highlight w:val="none"/>
                <w:shd w:val="clear" w:color="auto" w:fill="FFFFFF" w:themeFill="background1"/>
              </w:rPr>
            </w:pPr>
          </w:p>
        </w:tc>
        <w:tc>
          <w:tcPr>
            <w:tcW w:w="1634" w:type="dxa"/>
            <w:gridSpan w:val="3"/>
            <w:tcBorders>
              <w:top w:val="single" w:color="auto" w:sz="8" w:space="0"/>
              <w:left w:val="single" w:color="auto" w:sz="8" w:space="0"/>
              <w:bottom w:val="single" w:color="auto" w:sz="8" w:space="0"/>
              <w:right w:val="single" w:color="auto" w:sz="8" w:space="0"/>
            </w:tcBorders>
            <w:noWrap/>
            <w:vAlign w:val="center"/>
          </w:tcPr>
          <w:p w14:paraId="3BC09BCD">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在本项目任职</w:t>
            </w:r>
          </w:p>
        </w:tc>
        <w:tc>
          <w:tcPr>
            <w:tcW w:w="1889" w:type="dxa"/>
            <w:tcBorders>
              <w:top w:val="single" w:color="auto" w:sz="8" w:space="0"/>
              <w:left w:val="single" w:color="auto" w:sz="8" w:space="0"/>
              <w:bottom w:val="single" w:color="auto" w:sz="8" w:space="0"/>
              <w:right w:val="single" w:color="auto" w:sz="12" w:space="0"/>
            </w:tcBorders>
            <w:noWrap/>
          </w:tcPr>
          <w:p w14:paraId="73936FDA">
            <w:pPr>
              <w:pStyle w:val="376"/>
              <w:autoSpaceDE w:val="0"/>
              <w:autoSpaceDN w:val="0"/>
              <w:rPr>
                <w:color w:val="auto"/>
                <w:kern w:val="0"/>
                <w:sz w:val="24"/>
                <w:highlight w:val="none"/>
                <w:shd w:val="clear" w:color="auto" w:fill="FFFFFF" w:themeFill="background1"/>
              </w:rPr>
            </w:pPr>
          </w:p>
        </w:tc>
      </w:tr>
      <w:tr w14:paraId="3F85BEB0">
        <w:tblPrEx>
          <w:tblCellMar>
            <w:top w:w="0" w:type="dxa"/>
            <w:left w:w="0" w:type="dxa"/>
            <w:bottom w:w="0" w:type="dxa"/>
            <w:right w:w="0" w:type="dxa"/>
          </w:tblCellMar>
        </w:tblPrEx>
        <w:trPr>
          <w:trHeight w:val="438" w:hRule="atLeast"/>
        </w:trPr>
        <w:tc>
          <w:tcPr>
            <w:tcW w:w="8981" w:type="dxa"/>
            <w:gridSpan w:val="14"/>
            <w:tcBorders>
              <w:top w:val="single" w:color="auto" w:sz="8" w:space="0"/>
              <w:left w:val="single" w:color="auto" w:sz="12" w:space="0"/>
              <w:bottom w:val="single" w:color="auto" w:sz="8" w:space="0"/>
              <w:right w:val="single" w:color="auto" w:sz="12" w:space="0"/>
            </w:tcBorders>
            <w:noWrap/>
            <w:vAlign w:val="center"/>
          </w:tcPr>
          <w:p w14:paraId="39208104">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经历</w:t>
            </w:r>
          </w:p>
        </w:tc>
      </w:tr>
      <w:tr w14:paraId="6E12521C">
        <w:tblPrEx>
          <w:tblCellMar>
            <w:top w:w="0" w:type="dxa"/>
            <w:left w:w="0" w:type="dxa"/>
            <w:bottom w:w="0" w:type="dxa"/>
            <w:right w:w="0" w:type="dxa"/>
          </w:tblCellMar>
        </w:tblPrEx>
        <w:trPr>
          <w:trHeight w:val="664" w:hRule="atLeast"/>
        </w:trPr>
        <w:tc>
          <w:tcPr>
            <w:tcW w:w="528" w:type="dxa"/>
            <w:tcBorders>
              <w:top w:val="single" w:color="auto" w:sz="8" w:space="0"/>
              <w:left w:val="single" w:color="auto" w:sz="12" w:space="0"/>
              <w:bottom w:val="single" w:color="auto" w:sz="8" w:space="0"/>
              <w:right w:val="single" w:color="auto" w:sz="8" w:space="0"/>
            </w:tcBorders>
            <w:noWrap/>
            <w:vAlign w:val="center"/>
          </w:tcPr>
          <w:p w14:paraId="5A900255">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时间</w:t>
            </w:r>
          </w:p>
        </w:tc>
        <w:tc>
          <w:tcPr>
            <w:tcW w:w="4254" w:type="dxa"/>
            <w:gridSpan w:val="8"/>
            <w:tcBorders>
              <w:top w:val="single" w:color="auto" w:sz="8" w:space="0"/>
              <w:left w:val="single" w:color="auto" w:sz="8" w:space="0"/>
              <w:bottom w:val="single" w:color="auto" w:sz="8" w:space="0"/>
              <w:right w:val="single" w:color="auto" w:sz="8" w:space="0"/>
            </w:tcBorders>
            <w:noWrap/>
            <w:vAlign w:val="center"/>
          </w:tcPr>
          <w:p w14:paraId="7DC789E1">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负责或参加过的项目名称</w:t>
            </w:r>
          </w:p>
          <w:p w14:paraId="1ACE9D64">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（项目类型、规模、内容、合同金额等）</w:t>
            </w:r>
          </w:p>
        </w:tc>
        <w:tc>
          <w:tcPr>
            <w:tcW w:w="1790" w:type="dxa"/>
            <w:gridSpan w:val="3"/>
            <w:tcBorders>
              <w:top w:val="single" w:color="auto" w:sz="8" w:space="0"/>
              <w:left w:val="single" w:color="auto" w:sz="8" w:space="0"/>
              <w:bottom w:val="single" w:color="auto" w:sz="8" w:space="0"/>
              <w:right w:val="single" w:color="auto" w:sz="8" w:space="0"/>
            </w:tcBorders>
            <w:noWrap/>
            <w:vAlign w:val="center"/>
          </w:tcPr>
          <w:p w14:paraId="503FE841">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在该项目中任职</w:t>
            </w:r>
          </w:p>
        </w:tc>
        <w:tc>
          <w:tcPr>
            <w:tcW w:w="2409" w:type="dxa"/>
            <w:gridSpan w:val="2"/>
            <w:tcBorders>
              <w:top w:val="single" w:color="auto" w:sz="8" w:space="0"/>
              <w:left w:val="single" w:color="auto" w:sz="8" w:space="0"/>
              <w:bottom w:val="single" w:color="auto" w:sz="8" w:space="0"/>
              <w:right w:val="single" w:color="auto" w:sz="12" w:space="0"/>
            </w:tcBorders>
            <w:noWrap/>
            <w:vAlign w:val="center"/>
          </w:tcPr>
          <w:p w14:paraId="7E2DAC6C">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备注</w:t>
            </w:r>
          </w:p>
          <w:p w14:paraId="7EFF9F4C">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（完成情况及获奖）</w:t>
            </w:r>
          </w:p>
        </w:tc>
      </w:tr>
      <w:tr w14:paraId="67921150">
        <w:tblPrEx>
          <w:tblCellMar>
            <w:top w:w="0" w:type="dxa"/>
            <w:left w:w="0" w:type="dxa"/>
            <w:bottom w:w="0" w:type="dxa"/>
            <w:right w:w="0" w:type="dxa"/>
          </w:tblCellMar>
        </w:tblPrEx>
        <w:trPr>
          <w:trHeight w:val="976" w:hRule="atLeast"/>
        </w:trPr>
        <w:tc>
          <w:tcPr>
            <w:tcW w:w="528" w:type="dxa"/>
            <w:tcBorders>
              <w:top w:val="single" w:color="auto" w:sz="8" w:space="0"/>
              <w:left w:val="single" w:color="auto" w:sz="12" w:space="0"/>
              <w:bottom w:val="single" w:color="auto" w:sz="8" w:space="0"/>
              <w:right w:val="single" w:color="auto" w:sz="8" w:space="0"/>
            </w:tcBorders>
            <w:noWrap/>
          </w:tcPr>
          <w:p w14:paraId="66654581">
            <w:pPr>
              <w:pStyle w:val="376"/>
              <w:autoSpaceDE w:val="0"/>
              <w:autoSpaceDN w:val="0"/>
              <w:rPr>
                <w:color w:val="auto"/>
                <w:kern w:val="0"/>
                <w:sz w:val="24"/>
                <w:highlight w:val="none"/>
                <w:shd w:val="clear" w:color="auto" w:fill="FFFFFF" w:themeFill="background1"/>
              </w:rPr>
            </w:pPr>
          </w:p>
        </w:tc>
        <w:tc>
          <w:tcPr>
            <w:tcW w:w="4254" w:type="dxa"/>
            <w:gridSpan w:val="8"/>
            <w:tcBorders>
              <w:top w:val="single" w:color="auto" w:sz="8" w:space="0"/>
              <w:left w:val="single" w:color="auto" w:sz="8" w:space="0"/>
              <w:bottom w:val="single" w:color="auto" w:sz="8" w:space="0"/>
              <w:right w:val="single" w:color="auto" w:sz="8" w:space="0"/>
            </w:tcBorders>
            <w:noWrap/>
          </w:tcPr>
          <w:p w14:paraId="573A8E23">
            <w:pPr>
              <w:pStyle w:val="376"/>
              <w:autoSpaceDE w:val="0"/>
              <w:autoSpaceDN w:val="0"/>
              <w:rPr>
                <w:color w:val="auto"/>
                <w:kern w:val="0"/>
                <w:sz w:val="24"/>
                <w:highlight w:val="none"/>
                <w:shd w:val="clear" w:color="auto" w:fill="FFFFFF" w:themeFill="background1"/>
              </w:rPr>
            </w:pPr>
          </w:p>
        </w:tc>
        <w:tc>
          <w:tcPr>
            <w:tcW w:w="1790" w:type="dxa"/>
            <w:gridSpan w:val="3"/>
            <w:tcBorders>
              <w:top w:val="single" w:color="auto" w:sz="8" w:space="0"/>
              <w:left w:val="single" w:color="auto" w:sz="8" w:space="0"/>
              <w:bottom w:val="single" w:color="auto" w:sz="8" w:space="0"/>
              <w:right w:val="single" w:color="auto" w:sz="8" w:space="0"/>
            </w:tcBorders>
            <w:noWrap/>
          </w:tcPr>
          <w:p w14:paraId="3FC0BC1D">
            <w:pPr>
              <w:pStyle w:val="376"/>
              <w:autoSpaceDE w:val="0"/>
              <w:autoSpaceDN w:val="0"/>
              <w:rPr>
                <w:color w:val="auto"/>
                <w:kern w:val="0"/>
                <w:sz w:val="24"/>
                <w:highlight w:val="none"/>
                <w:shd w:val="clear" w:color="auto" w:fill="FFFFFF" w:themeFill="background1"/>
              </w:rPr>
            </w:pPr>
          </w:p>
        </w:tc>
        <w:tc>
          <w:tcPr>
            <w:tcW w:w="2409" w:type="dxa"/>
            <w:gridSpan w:val="2"/>
            <w:tcBorders>
              <w:top w:val="single" w:color="auto" w:sz="8" w:space="0"/>
              <w:left w:val="single" w:color="auto" w:sz="8" w:space="0"/>
              <w:bottom w:val="single" w:color="auto" w:sz="8" w:space="0"/>
              <w:right w:val="single" w:color="auto" w:sz="12" w:space="0"/>
            </w:tcBorders>
            <w:noWrap/>
          </w:tcPr>
          <w:p w14:paraId="02176FCF">
            <w:pPr>
              <w:pStyle w:val="376"/>
              <w:autoSpaceDE w:val="0"/>
              <w:autoSpaceDN w:val="0"/>
              <w:rPr>
                <w:color w:val="auto"/>
                <w:kern w:val="0"/>
                <w:sz w:val="24"/>
                <w:highlight w:val="none"/>
                <w:shd w:val="clear" w:color="auto" w:fill="FFFFFF" w:themeFill="background1"/>
              </w:rPr>
            </w:pPr>
          </w:p>
        </w:tc>
      </w:tr>
      <w:tr w14:paraId="72565A87">
        <w:tblPrEx>
          <w:tblCellMar>
            <w:top w:w="0" w:type="dxa"/>
            <w:left w:w="0" w:type="dxa"/>
            <w:bottom w:w="0" w:type="dxa"/>
            <w:right w:w="0" w:type="dxa"/>
          </w:tblCellMar>
        </w:tblPrEx>
        <w:trPr>
          <w:trHeight w:val="445" w:hRule="atLeast"/>
        </w:trPr>
        <w:tc>
          <w:tcPr>
            <w:tcW w:w="8981" w:type="dxa"/>
            <w:gridSpan w:val="14"/>
            <w:tcBorders>
              <w:top w:val="single" w:color="auto" w:sz="8" w:space="0"/>
              <w:left w:val="single" w:color="auto" w:sz="12" w:space="0"/>
              <w:bottom w:val="single" w:color="auto" w:sz="8" w:space="0"/>
              <w:right w:val="single" w:color="auto" w:sz="12" w:space="0"/>
            </w:tcBorders>
            <w:noWrap/>
            <w:vAlign w:val="center"/>
          </w:tcPr>
          <w:p w14:paraId="6FB6DFF2">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获奖情况</w:t>
            </w:r>
          </w:p>
        </w:tc>
      </w:tr>
      <w:tr w14:paraId="3E734418">
        <w:tblPrEx>
          <w:tblCellMar>
            <w:top w:w="0" w:type="dxa"/>
            <w:left w:w="0" w:type="dxa"/>
            <w:bottom w:w="0" w:type="dxa"/>
            <w:right w:w="0" w:type="dxa"/>
          </w:tblCellMar>
        </w:tblPrEx>
        <w:trPr>
          <w:trHeight w:val="1067" w:hRule="atLeast"/>
        </w:trPr>
        <w:tc>
          <w:tcPr>
            <w:tcW w:w="8981" w:type="dxa"/>
            <w:gridSpan w:val="14"/>
            <w:tcBorders>
              <w:top w:val="single" w:color="auto" w:sz="8" w:space="0"/>
              <w:left w:val="single" w:color="auto" w:sz="12" w:space="0"/>
              <w:bottom w:val="single" w:color="auto" w:sz="8" w:space="0"/>
              <w:right w:val="single" w:color="auto" w:sz="12" w:space="0"/>
            </w:tcBorders>
            <w:noWrap/>
          </w:tcPr>
          <w:p w14:paraId="57947388">
            <w:pPr>
              <w:pStyle w:val="376"/>
              <w:autoSpaceDE w:val="0"/>
              <w:autoSpaceDN w:val="0"/>
              <w:rPr>
                <w:color w:val="auto"/>
                <w:kern w:val="0"/>
                <w:sz w:val="24"/>
                <w:highlight w:val="none"/>
                <w:shd w:val="clear" w:color="auto" w:fill="FFFFFF" w:themeFill="background1"/>
              </w:rPr>
            </w:pPr>
          </w:p>
        </w:tc>
      </w:tr>
      <w:tr w14:paraId="6BEF4D4D">
        <w:tblPrEx>
          <w:tblCellMar>
            <w:top w:w="0" w:type="dxa"/>
            <w:left w:w="0" w:type="dxa"/>
            <w:bottom w:w="0" w:type="dxa"/>
            <w:right w:w="0" w:type="dxa"/>
          </w:tblCellMar>
        </w:tblPrEx>
        <w:trPr>
          <w:trHeight w:val="475" w:hRule="atLeast"/>
        </w:trPr>
        <w:tc>
          <w:tcPr>
            <w:tcW w:w="8981" w:type="dxa"/>
            <w:gridSpan w:val="14"/>
            <w:tcBorders>
              <w:top w:val="single" w:color="auto" w:sz="8" w:space="0"/>
              <w:left w:val="single" w:color="auto" w:sz="12" w:space="0"/>
              <w:bottom w:val="single" w:color="auto" w:sz="8" w:space="0"/>
              <w:right w:val="single" w:color="auto" w:sz="12" w:space="0"/>
            </w:tcBorders>
            <w:noWrap/>
            <w:vAlign w:val="center"/>
          </w:tcPr>
          <w:p w14:paraId="46514514">
            <w:pPr>
              <w:pStyle w:val="376"/>
              <w:autoSpaceDE w:val="0"/>
              <w:autoSpaceDN w:val="0"/>
              <w:jc w:val="center"/>
              <w:rPr>
                <w:rFonts w:ascii="宋体" w:cs="宋体"/>
                <w:color w:val="auto"/>
                <w:kern w:val="0"/>
                <w:sz w:val="24"/>
                <w:highlight w:val="none"/>
                <w:shd w:val="clear" w:color="auto" w:fill="FFFFFF" w:themeFill="background1"/>
              </w:rPr>
            </w:pPr>
            <w:r>
              <w:rPr>
                <w:rFonts w:hint="eastAsia" w:ascii="宋体" w:cs="宋体"/>
                <w:color w:val="auto"/>
                <w:kern w:val="0"/>
                <w:sz w:val="24"/>
                <w:highlight w:val="none"/>
                <w:shd w:val="clear" w:color="auto" w:fill="FFFFFF" w:themeFill="background1"/>
              </w:rPr>
              <w:t>目前承担的项目</w:t>
            </w:r>
          </w:p>
        </w:tc>
      </w:tr>
      <w:tr w14:paraId="7CD80989">
        <w:tblPrEx>
          <w:tblCellMar>
            <w:top w:w="0" w:type="dxa"/>
            <w:left w:w="0" w:type="dxa"/>
            <w:bottom w:w="0" w:type="dxa"/>
            <w:right w:w="0" w:type="dxa"/>
          </w:tblCellMar>
        </w:tblPrEx>
        <w:trPr>
          <w:trHeight w:val="983" w:hRule="atLeast"/>
        </w:trPr>
        <w:tc>
          <w:tcPr>
            <w:tcW w:w="8981" w:type="dxa"/>
            <w:gridSpan w:val="14"/>
            <w:tcBorders>
              <w:top w:val="single" w:color="auto" w:sz="8" w:space="0"/>
              <w:left w:val="single" w:color="auto" w:sz="12" w:space="0"/>
              <w:bottom w:val="single" w:color="auto" w:sz="12" w:space="0"/>
              <w:right w:val="single" w:color="auto" w:sz="12" w:space="0"/>
            </w:tcBorders>
            <w:noWrap/>
          </w:tcPr>
          <w:p w14:paraId="59B967E3">
            <w:pPr>
              <w:pStyle w:val="376"/>
              <w:autoSpaceDE w:val="0"/>
              <w:autoSpaceDN w:val="0"/>
              <w:rPr>
                <w:color w:val="auto"/>
                <w:kern w:val="0"/>
                <w:sz w:val="24"/>
                <w:highlight w:val="none"/>
                <w:shd w:val="clear" w:color="auto" w:fill="FFFFFF" w:themeFill="background1"/>
              </w:rPr>
            </w:pPr>
          </w:p>
        </w:tc>
      </w:tr>
    </w:tbl>
    <w:p w14:paraId="443C255D">
      <w:pPr>
        <w:pStyle w:val="376"/>
        <w:autoSpaceDE w:val="0"/>
        <w:autoSpaceDN w:val="0"/>
        <w:adjustRightInd w:val="0"/>
        <w:spacing w:line="120" w:lineRule="exact"/>
        <w:jc w:val="left"/>
        <w:rPr>
          <w:color w:val="auto"/>
          <w:kern w:val="0"/>
          <w:sz w:val="24"/>
          <w:highlight w:val="none"/>
          <w:shd w:val="clear" w:color="auto" w:fill="FFFFFF" w:themeFill="background1"/>
        </w:rPr>
      </w:pPr>
    </w:p>
    <w:p w14:paraId="013ABCC7">
      <w:pPr>
        <w:pStyle w:val="376"/>
        <w:spacing w:line="440" w:lineRule="exact"/>
        <w:rPr>
          <w:rFonts w:hAnsi="宋体" w:cs="仿宋"/>
          <w:color w:val="auto"/>
          <w:szCs w:val="21"/>
          <w:highlight w:val="none"/>
          <w:shd w:val="clear" w:color="auto" w:fill="FFFFFF" w:themeFill="background1"/>
        </w:rPr>
      </w:pPr>
      <w:r>
        <w:rPr>
          <w:rFonts w:hint="eastAsia" w:hAnsi="宋体" w:cs="仿宋"/>
          <w:color w:val="auto"/>
          <w:szCs w:val="21"/>
          <w:highlight w:val="none"/>
          <w:shd w:val="clear" w:color="auto" w:fill="FFFFFF" w:themeFill="background1"/>
        </w:rPr>
        <w:t>注：①项目负责人、技术负责人及其他技术人员均应填写。</w:t>
      </w:r>
    </w:p>
    <w:p w14:paraId="7CFA581E">
      <w:pPr>
        <w:pStyle w:val="376"/>
        <w:spacing w:line="440" w:lineRule="exact"/>
        <w:ind w:firstLine="420" w:firstLineChars="200"/>
        <w:rPr>
          <w:rFonts w:hAnsi="宋体" w:cs="仿宋"/>
          <w:color w:val="auto"/>
          <w:szCs w:val="21"/>
          <w:highlight w:val="none"/>
          <w:shd w:val="clear" w:color="auto" w:fill="FFFFFF" w:themeFill="background1"/>
        </w:rPr>
      </w:pPr>
      <w:r>
        <w:rPr>
          <w:rFonts w:hAnsi="宋体" w:cs="仿宋"/>
          <w:color w:val="auto"/>
          <w:szCs w:val="21"/>
          <w:highlight w:val="none"/>
          <w:shd w:val="clear" w:color="auto" w:fill="FFFFFF" w:themeFill="background1"/>
        </w:rPr>
        <w:t>②本表人员应与参加本项目的主要人员汇总表中所列人员相一致，附</w:t>
      </w:r>
      <w:r>
        <w:rPr>
          <w:rFonts w:hint="eastAsia" w:hAnsi="宋体" w:cs="仿宋"/>
          <w:color w:val="auto"/>
          <w:szCs w:val="21"/>
          <w:highlight w:val="none"/>
          <w:shd w:val="clear" w:color="auto" w:fill="FFFFFF" w:themeFill="background1"/>
        </w:rPr>
        <w:t>投入人员的</w:t>
      </w:r>
      <w:r>
        <w:rPr>
          <w:rFonts w:hAnsi="宋体" w:cs="仿宋"/>
          <w:b/>
          <w:color w:val="auto"/>
          <w:szCs w:val="21"/>
          <w:highlight w:val="none"/>
          <w:shd w:val="clear" w:color="auto" w:fill="FFFFFF" w:themeFill="background1"/>
        </w:rPr>
        <w:t>身份证、毕业证、职称证、执业资格证书</w:t>
      </w:r>
      <w:r>
        <w:rPr>
          <w:rFonts w:hAnsi="宋体" w:cs="仿宋"/>
          <w:color w:val="auto"/>
          <w:szCs w:val="21"/>
          <w:highlight w:val="none"/>
          <w:shd w:val="clear" w:color="auto" w:fill="FFFFFF" w:themeFill="background1"/>
        </w:rPr>
        <w:t>以及其他相关证书的复印件</w:t>
      </w:r>
      <w:r>
        <w:rPr>
          <w:rFonts w:hint="eastAsia" w:hAnsi="宋体" w:cs="仿宋"/>
          <w:color w:val="auto"/>
          <w:szCs w:val="21"/>
          <w:highlight w:val="none"/>
          <w:shd w:val="clear" w:color="auto" w:fill="FFFFFF" w:themeFill="background1"/>
        </w:rPr>
        <w:t>或扫描件</w:t>
      </w:r>
      <w:r>
        <w:rPr>
          <w:rFonts w:hAnsi="宋体" w:cs="仿宋"/>
          <w:color w:val="auto"/>
          <w:szCs w:val="21"/>
          <w:highlight w:val="none"/>
          <w:shd w:val="clear" w:color="auto" w:fill="FFFFFF" w:themeFill="background1"/>
        </w:rPr>
        <w:t>。</w:t>
      </w:r>
    </w:p>
    <w:p w14:paraId="5004F135">
      <w:pPr>
        <w:pStyle w:val="376"/>
        <w:rPr>
          <w:rFonts w:ascii="宋体" w:hAnsi="宋体"/>
          <w:color w:val="auto"/>
          <w:sz w:val="24"/>
          <w:highlight w:val="none"/>
          <w:shd w:val="clear" w:color="auto" w:fill="FFFFFF" w:themeFill="background1"/>
        </w:rPr>
      </w:pPr>
    </w:p>
    <w:p w14:paraId="2082B69C">
      <w:pPr>
        <w:ind w:firstLine="560"/>
        <w:rPr>
          <w:b/>
          <w:color w:val="auto"/>
          <w:sz w:val="28"/>
          <w:szCs w:val="28"/>
          <w:highlight w:val="none"/>
          <w:shd w:val="clear" w:color="auto" w:fill="FFFFFF" w:themeFill="background1"/>
        </w:rPr>
      </w:pPr>
    </w:p>
    <w:p w14:paraId="28F90D6C">
      <w:pPr>
        <w:ind w:firstLine="560"/>
        <w:rPr>
          <w:b/>
          <w:color w:val="auto"/>
          <w:sz w:val="28"/>
          <w:szCs w:val="28"/>
          <w:highlight w:val="none"/>
          <w:shd w:val="clear" w:color="auto" w:fill="FFFFFF" w:themeFill="background1"/>
        </w:rPr>
      </w:pPr>
    </w:p>
    <w:bookmarkEnd w:id="356"/>
    <w:p w14:paraId="4C30E33B">
      <w:pPr>
        <w:snapToGrid w:val="0"/>
        <w:spacing w:before="50" w:afterLines="50"/>
        <w:ind w:firstLine="482"/>
        <w:jc w:val="left"/>
        <w:rPr>
          <w:rFonts w:ascii="宋体" w:hAnsi="宋体"/>
          <w:color w:val="auto"/>
          <w:sz w:val="24"/>
          <w:szCs w:val="20"/>
          <w:highlight w:val="none"/>
          <w:shd w:val="clear" w:color="auto" w:fill="FFFFFF" w:themeFill="background1"/>
        </w:rPr>
      </w:pPr>
    </w:p>
    <w:p w14:paraId="31E2EBAE">
      <w:pPr>
        <w:ind w:firstLine="482"/>
        <w:rPr>
          <w:rFonts w:ascii="宋体" w:hAnsi="宋体"/>
          <w:b/>
          <w:bCs/>
          <w:color w:val="auto"/>
          <w:sz w:val="24"/>
          <w:highlight w:val="none"/>
          <w:shd w:val="clear" w:color="auto" w:fill="FFFFFF" w:themeFill="background1"/>
        </w:rPr>
      </w:pPr>
      <w:r>
        <w:rPr>
          <w:rFonts w:ascii="宋体" w:hAnsi="宋体"/>
          <w:b/>
          <w:bCs/>
          <w:color w:val="auto"/>
          <w:sz w:val="24"/>
          <w:highlight w:val="none"/>
          <w:shd w:val="clear" w:color="auto" w:fill="FFFFFF" w:themeFill="background1"/>
        </w:rPr>
        <w:br w:type="page"/>
      </w:r>
      <w:bookmarkStart w:id="357" w:name="_Toc19686840"/>
    </w:p>
    <w:p w14:paraId="234EE37B">
      <w:pPr>
        <w:ind w:firstLine="482"/>
        <w:rPr>
          <w:b/>
          <w:color w:val="auto"/>
          <w:sz w:val="28"/>
          <w:szCs w:val="28"/>
          <w:highlight w:val="none"/>
          <w:shd w:val="clear" w:color="auto" w:fill="FFFFFF" w:themeFill="background1"/>
        </w:rPr>
      </w:pPr>
      <w:r>
        <w:rPr>
          <w:rFonts w:hint="eastAsia" w:ascii="宋体" w:hAnsi="宋体"/>
          <w:b/>
          <w:bCs/>
          <w:color w:val="auto"/>
          <w:sz w:val="24"/>
          <w:highlight w:val="none"/>
          <w:shd w:val="clear" w:color="auto" w:fill="FFFFFF" w:themeFill="background1"/>
        </w:rPr>
        <w:t>四</w:t>
      </w:r>
      <w:r>
        <w:rPr>
          <w:rFonts w:hint="eastAsia"/>
          <w:b/>
          <w:color w:val="auto"/>
          <w:sz w:val="28"/>
          <w:szCs w:val="28"/>
          <w:highlight w:val="none"/>
          <w:shd w:val="clear" w:color="auto" w:fill="FFFFFF" w:themeFill="background1"/>
        </w:rPr>
        <w:t>、其他文书、文件格式</w:t>
      </w:r>
      <w:bookmarkEnd w:id="357"/>
    </w:p>
    <w:p w14:paraId="67A23717">
      <w:pPr>
        <w:spacing w:beforeLines="50" w:afterLines="50" w:line="400" w:lineRule="exact"/>
        <w:ind w:firstLine="482"/>
        <w:rPr>
          <w:rFonts w:ascii="宋体" w:hAnsi="宋体"/>
          <w:color w:val="auto"/>
          <w:sz w:val="24"/>
          <w:highlight w:val="none"/>
          <w:shd w:val="clear" w:color="auto" w:fill="FFFFFF" w:themeFill="background1"/>
        </w:rPr>
      </w:pPr>
    </w:p>
    <w:p w14:paraId="7B9DB0C4">
      <w:pPr>
        <w:snapToGrid w:val="0"/>
        <w:spacing w:beforeLines="50" w:after="50"/>
        <w:ind w:left="142" w:firstLine="482"/>
        <w:jc w:val="left"/>
        <w:rPr>
          <w:rFonts w:ascii="宋体" w:hAnsi="宋体"/>
          <w:b/>
          <w:color w:val="auto"/>
          <w:spacing w:val="20"/>
          <w:sz w:val="24"/>
          <w:highlight w:val="none"/>
          <w:shd w:val="clear" w:color="auto" w:fill="FFFFFF" w:themeFill="background1"/>
        </w:rPr>
      </w:pPr>
      <w:r>
        <w:rPr>
          <w:rFonts w:hint="eastAsia" w:ascii="宋体" w:hAnsi="宋体"/>
          <w:b/>
          <w:color w:val="auto"/>
          <w:sz w:val="24"/>
          <w:highlight w:val="none"/>
          <w:shd w:val="clear" w:color="auto" w:fill="FFFFFF" w:themeFill="background1"/>
        </w:rPr>
        <w:t>1.</w:t>
      </w:r>
      <w:r>
        <w:rPr>
          <w:rFonts w:hint="eastAsia" w:ascii="宋体" w:hAnsi="宋体"/>
          <w:b/>
          <w:color w:val="auto"/>
          <w:spacing w:val="20"/>
          <w:sz w:val="24"/>
          <w:highlight w:val="none"/>
          <w:shd w:val="clear" w:color="auto" w:fill="FFFFFF" w:themeFill="background1"/>
        </w:rPr>
        <w:t>联合投标协议书格式</w:t>
      </w:r>
    </w:p>
    <w:p w14:paraId="0068C54A">
      <w:pPr>
        <w:pStyle w:val="8"/>
        <w:overflowPunct w:val="0"/>
        <w:ind w:firstLine="883"/>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14:paraId="5E6D6A6A">
      <w:pPr>
        <w:pStyle w:val="8"/>
        <w:overflowPunct w:val="0"/>
        <w:spacing w:line="360" w:lineRule="auto"/>
        <w:ind w:firstLine="482"/>
        <w:contextualSpacing/>
        <w:rPr>
          <w:rFonts w:ascii="宋体" w:hAnsi="宋体"/>
          <w:color w:val="auto"/>
          <w:sz w:val="24"/>
          <w:highlight w:val="none"/>
        </w:rPr>
      </w:pPr>
    </w:p>
    <w:p w14:paraId="1C945193">
      <w:pPr>
        <w:pStyle w:val="8"/>
        <w:wordWrap w:val="0"/>
        <w:overflowPunct w:val="0"/>
        <w:spacing w:line="360" w:lineRule="auto"/>
        <w:contextualSpacing/>
        <w:rPr>
          <w:rFonts w:ascii="宋体" w:hAnsi="宋体"/>
          <w:color w:val="auto"/>
          <w:sz w:val="21"/>
          <w:szCs w:val="21"/>
          <w:highlight w:val="none"/>
          <w:lang w:eastAsia="zh-CN"/>
        </w:rPr>
      </w:pPr>
      <w:r>
        <w:rPr>
          <w:rFonts w:ascii="宋体" w:hAnsi="宋体"/>
          <w:color w:val="auto"/>
          <w:sz w:val="21"/>
          <w:szCs w:val="21"/>
          <w:highlight w:val="none"/>
          <w:u w:val="single"/>
          <w:lang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lang w:eastAsia="zh-CN"/>
        </w:rPr>
        <w:t>（所有成员单位名称）自愿组成</w:t>
      </w:r>
      <w:r>
        <w:rPr>
          <w:rFonts w:ascii="宋体" w:hAnsi="宋体"/>
          <w:color w:val="auto"/>
          <w:sz w:val="21"/>
          <w:szCs w:val="21"/>
          <w:highlight w:val="none"/>
          <w:u w:val="single"/>
          <w:lang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lang w:eastAsia="zh-CN"/>
        </w:rPr>
        <w:t>（联合体名称）联合体，共同参加</w:t>
      </w:r>
      <w:r>
        <w:rPr>
          <w:rFonts w:ascii="宋体" w:hAnsi="宋体"/>
          <w:color w:val="auto"/>
          <w:sz w:val="21"/>
          <w:szCs w:val="21"/>
          <w:highlight w:val="none"/>
          <w:u w:val="single"/>
          <w:lang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u w:val="single"/>
          <w:lang w:eastAsia="zh-CN"/>
        </w:rPr>
        <w:t>（项</w:t>
      </w:r>
      <w:r>
        <w:rPr>
          <w:rFonts w:hint="eastAsia" w:ascii="宋体" w:hAnsi="宋体"/>
          <w:color w:val="auto"/>
          <w:sz w:val="21"/>
          <w:szCs w:val="21"/>
          <w:highlight w:val="none"/>
          <w:lang w:eastAsia="zh-CN"/>
        </w:rPr>
        <w:t>目名称）采购招标项目投标。现就联合体投标事宜订立如下协议。</w:t>
      </w:r>
    </w:p>
    <w:p w14:paraId="4EBCDC54">
      <w:pPr>
        <w:pStyle w:val="8"/>
        <w:wordWrap w:val="0"/>
        <w:overflowPunct w:val="0"/>
        <w:spacing w:line="360" w:lineRule="auto"/>
        <w:ind w:firstLine="367" w:firstLineChars="175"/>
        <w:contextualSpacing/>
        <w:rPr>
          <w:rFonts w:ascii="宋体" w:hAnsi="宋体"/>
          <w:color w:val="auto"/>
          <w:sz w:val="21"/>
          <w:szCs w:val="21"/>
          <w:highlight w:val="none"/>
          <w:lang w:eastAsia="zh-CN"/>
        </w:rPr>
      </w:pPr>
      <w:r>
        <w:rPr>
          <w:rFonts w:ascii="宋体" w:hAnsi="宋体"/>
          <w:color w:val="auto"/>
          <w:sz w:val="21"/>
          <w:szCs w:val="21"/>
          <w:highlight w:val="none"/>
          <w:lang w:eastAsia="zh-CN"/>
        </w:rPr>
        <w:t xml:space="preserve">1.  </w:t>
      </w:r>
      <w:r>
        <w:rPr>
          <w:rFonts w:ascii="宋体" w:hAnsi="宋体"/>
          <w:color w:val="auto"/>
          <w:sz w:val="21"/>
          <w:szCs w:val="21"/>
          <w:highlight w:val="none"/>
          <w:u w:val="single"/>
          <w:lang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lang w:eastAsia="zh-CN"/>
        </w:rPr>
        <w:t>（某成员单位名称）为</w:t>
      </w:r>
      <w:r>
        <w:rPr>
          <w:rFonts w:ascii="宋体" w:hAnsi="宋体"/>
          <w:color w:val="auto"/>
          <w:sz w:val="21"/>
          <w:szCs w:val="21"/>
          <w:highlight w:val="none"/>
          <w:u w:val="single"/>
          <w:lang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lang w:eastAsia="zh-CN"/>
        </w:rPr>
        <w:t>（联合体名称）牵头人。</w:t>
      </w:r>
    </w:p>
    <w:p w14:paraId="74EE99CD">
      <w:pPr>
        <w:pStyle w:val="8"/>
        <w:wordWrap w:val="0"/>
        <w:overflowPunct w:val="0"/>
        <w:spacing w:line="360" w:lineRule="auto"/>
        <w:ind w:firstLine="367" w:firstLineChars="175"/>
        <w:contextualSpacing/>
        <w:rPr>
          <w:rFonts w:ascii="宋体" w:hAnsi="宋体"/>
          <w:color w:val="auto"/>
          <w:sz w:val="21"/>
          <w:szCs w:val="21"/>
          <w:highlight w:val="none"/>
          <w:lang w:eastAsia="zh-CN"/>
        </w:rPr>
      </w:pPr>
      <w:r>
        <w:rPr>
          <w:rFonts w:ascii="宋体" w:hAnsi="宋体"/>
          <w:color w:val="auto"/>
          <w:sz w:val="21"/>
          <w:szCs w:val="21"/>
          <w:highlight w:val="none"/>
          <w:lang w:eastAsia="zh-CN"/>
        </w:rPr>
        <w:t>2.</w:t>
      </w:r>
      <w:r>
        <w:rPr>
          <w:rFonts w:hint="eastAsia" w:ascii="宋体" w:hAnsi="宋体"/>
          <w:color w:val="auto"/>
          <w:sz w:val="21"/>
          <w:szCs w:val="21"/>
          <w:highlight w:val="none"/>
          <w:lang w:eastAsia="zh-CN"/>
        </w:rPr>
        <w:t>联合体各成员授权牵头人代表联合体参加投标活动，签署文件及对文件的盖章，提交和接收相关的资料、</w:t>
      </w:r>
      <w:r>
        <w:rPr>
          <w:rFonts w:ascii="宋体" w:hAnsi="宋体"/>
          <w:color w:val="auto"/>
          <w:sz w:val="21"/>
          <w:szCs w:val="21"/>
          <w:highlight w:val="none"/>
          <w:lang w:eastAsia="zh-CN"/>
        </w:rPr>
        <w:t xml:space="preserve"> </w:t>
      </w:r>
      <w:r>
        <w:rPr>
          <w:rFonts w:hint="eastAsia" w:ascii="宋体" w:hAnsi="宋体"/>
          <w:color w:val="auto"/>
          <w:sz w:val="21"/>
          <w:szCs w:val="21"/>
          <w:highlight w:val="none"/>
          <w:lang w:eastAsia="zh-CN"/>
        </w:rPr>
        <w:t>信息及指示，进行合同谈判活动，负责合同实施阶段的组织和协调工作，以及处理与本招标项目有关的一切事宜。</w:t>
      </w:r>
    </w:p>
    <w:p w14:paraId="16F71CE4">
      <w:pPr>
        <w:pStyle w:val="8"/>
        <w:wordWrap w:val="0"/>
        <w:overflowPunct w:val="0"/>
        <w:spacing w:line="360" w:lineRule="auto"/>
        <w:ind w:firstLine="367" w:firstLineChars="175"/>
        <w:contextualSpacing/>
        <w:rPr>
          <w:rFonts w:ascii="宋体" w:hAnsi="宋体"/>
          <w:color w:val="auto"/>
          <w:sz w:val="21"/>
          <w:szCs w:val="21"/>
          <w:highlight w:val="none"/>
          <w:lang w:eastAsia="zh-CN"/>
        </w:rPr>
      </w:pPr>
      <w:r>
        <w:rPr>
          <w:rFonts w:ascii="宋体" w:hAnsi="宋体"/>
          <w:color w:val="auto"/>
          <w:sz w:val="21"/>
          <w:szCs w:val="21"/>
          <w:highlight w:val="none"/>
          <w:lang w:eastAsia="zh-CN"/>
        </w:rPr>
        <w:t>3.</w:t>
      </w:r>
      <w:r>
        <w:rPr>
          <w:rFonts w:hint="eastAsia" w:ascii="宋体" w:hAnsi="宋体"/>
          <w:color w:val="auto"/>
          <w:sz w:val="21"/>
          <w:szCs w:val="21"/>
          <w:highlight w:val="none"/>
          <w:lang w:eastAsia="zh-CN"/>
        </w:rPr>
        <w:t>联合体牵头人在本项目中签署和盖章的一切文件和处理的一切事宜，联合体各成员均予以承认。</w:t>
      </w:r>
      <w:r>
        <w:rPr>
          <w:rFonts w:ascii="宋体" w:hAnsi="宋体"/>
          <w:color w:val="auto"/>
          <w:sz w:val="21"/>
          <w:szCs w:val="21"/>
          <w:highlight w:val="none"/>
          <w:lang w:eastAsia="zh-CN"/>
        </w:rPr>
        <w:t xml:space="preserve"> </w:t>
      </w:r>
      <w:r>
        <w:rPr>
          <w:rFonts w:hint="eastAsia" w:ascii="宋体" w:hAnsi="宋体"/>
          <w:color w:val="auto"/>
          <w:sz w:val="21"/>
          <w:szCs w:val="21"/>
          <w:highlight w:val="none"/>
          <w:lang w:eastAsia="zh-CN"/>
        </w:rPr>
        <w:t>联合体各成员将严格按照招标文件、投标文件和合同的要求全面履行义务，并向招标人承担连带责任。</w:t>
      </w:r>
    </w:p>
    <w:p w14:paraId="00E7D23A">
      <w:pPr>
        <w:pStyle w:val="8"/>
        <w:wordWrap w:val="0"/>
        <w:overflowPunct w:val="0"/>
        <w:spacing w:line="360" w:lineRule="auto"/>
        <w:ind w:firstLine="367" w:firstLineChars="175"/>
        <w:contextualSpacing/>
        <w:rPr>
          <w:rFonts w:ascii="宋体" w:hAnsi="宋体"/>
          <w:color w:val="auto"/>
          <w:sz w:val="21"/>
          <w:szCs w:val="21"/>
          <w:highlight w:val="none"/>
          <w:lang w:eastAsia="zh-CN"/>
        </w:rPr>
      </w:pPr>
      <w:r>
        <w:rPr>
          <w:rFonts w:ascii="宋体" w:hAnsi="宋体"/>
          <w:color w:val="auto"/>
          <w:sz w:val="21"/>
          <w:szCs w:val="21"/>
          <w:highlight w:val="none"/>
          <w:lang w:eastAsia="zh-CN"/>
        </w:rPr>
        <w:t>4.</w:t>
      </w:r>
      <w:r>
        <w:rPr>
          <w:rFonts w:hint="eastAsia" w:ascii="宋体" w:hAnsi="宋体"/>
          <w:color w:val="auto"/>
          <w:sz w:val="21"/>
          <w:szCs w:val="21"/>
          <w:highlight w:val="none"/>
          <w:lang w:eastAsia="zh-CN"/>
        </w:rPr>
        <w:t>联合体各成员单位内部的职责分工如下：</w:t>
      </w:r>
      <w:r>
        <w:rPr>
          <w:rFonts w:ascii="宋体" w:hAnsi="宋体"/>
          <w:color w:val="auto"/>
          <w:sz w:val="21"/>
          <w:szCs w:val="21"/>
          <w:highlight w:val="none"/>
          <w:u w:val="single"/>
          <w:lang w:eastAsia="zh-CN"/>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lang w:eastAsia="zh-CN"/>
        </w:rPr>
        <w:t>。</w:t>
      </w:r>
    </w:p>
    <w:p w14:paraId="6FB2CA1C">
      <w:pPr>
        <w:pStyle w:val="8"/>
        <w:wordWrap w:val="0"/>
        <w:overflowPunct w:val="0"/>
        <w:spacing w:line="360" w:lineRule="auto"/>
        <w:ind w:firstLine="367" w:firstLineChars="175"/>
        <w:contextualSpacing/>
        <w:rPr>
          <w:rFonts w:ascii="宋体" w:hAnsi="宋体"/>
          <w:color w:val="auto"/>
          <w:sz w:val="21"/>
          <w:szCs w:val="21"/>
          <w:highlight w:val="none"/>
          <w:lang w:eastAsia="zh-CN"/>
        </w:rPr>
      </w:pPr>
      <w:r>
        <w:rPr>
          <w:rFonts w:ascii="宋体" w:hAnsi="宋体"/>
          <w:color w:val="auto"/>
          <w:sz w:val="21"/>
          <w:szCs w:val="21"/>
          <w:highlight w:val="none"/>
          <w:lang w:eastAsia="zh-CN"/>
        </w:rPr>
        <w:t>5.</w:t>
      </w:r>
      <w:r>
        <w:rPr>
          <w:rFonts w:hint="eastAsia" w:ascii="宋体" w:hAnsi="宋体"/>
          <w:color w:val="auto"/>
          <w:sz w:val="21"/>
          <w:szCs w:val="21"/>
          <w:highlight w:val="none"/>
          <w:lang w:eastAsia="zh-CN"/>
        </w:rPr>
        <w:t>本协议书自所有成员单位法定代表人或者其委托代理人签字或者盖公章之日起生效，合同履行完毕后自动失效。</w:t>
      </w:r>
    </w:p>
    <w:p w14:paraId="41FA82E0">
      <w:pPr>
        <w:pStyle w:val="8"/>
        <w:wordWrap w:val="0"/>
        <w:overflowPunct w:val="0"/>
        <w:spacing w:line="360" w:lineRule="auto"/>
        <w:ind w:firstLine="367" w:firstLineChars="175"/>
        <w:contextualSpacing/>
        <w:rPr>
          <w:rFonts w:ascii="宋体" w:hAnsi="宋体"/>
          <w:color w:val="auto"/>
          <w:sz w:val="21"/>
          <w:szCs w:val="21"/>
          <w:highlight w:val="none"/>
          <w:lang w:eastAsia="zh-CN"/>
        </w:rPr>
      </w:pPr>
      <w:r>
        <w:rPr>
          <w:rFonts w:ascii="宋体" w:hAnsi="宋体"/>
          <w:color w:val="auto"/>
          <w:sz w:val="21"/>
          <w:szCs w:val="21"/>
          <w:highlight w:val="none"/>
          <w:lang w:eastAsia="zh-CN"/>
        </w:rPr>
        <w:t>6.</w:t>
      </w:r>
      <w:r>
        <w:rPr>
          <w:rFonts w:hint="eastAsia" w:ascii="宋体" w:hAnsi="宋体"/>
          <w:color w:val="auto"/>
          <w:sz w:val="21"/>
          <w:szCs w:val="21"/>
          <w:highlight w:val="none"/>
          <w:lang w:eastAsia="zh-CN"/>
        </w:rPr>
        <w:t>本协议书一式</w:t>
      </w:r>
      <w:r>
        <w:rPr>
          <w:rFonts w:ascii="宋体" w:hAnsi="宋体"/>
          <w:color w:val="auto"/>
          <w:sz w:val="21"/>
          <w:szCs w:val="21"/>
          <w:highlight w:val="none"/>
          <w:u w:val="single"/>
          <w:lang w:eastAsia="zh-CN"/>
        </w:rPr>
        <w:t xml:space="preserve"> </w:t>
      </w:r>
      <w:r>
        <w:rPr>
          <w:rFonts w:ascii="宋体" w:hAnsi="宋体"/>
          <w:color w:val="auto"/>
          <w:sz w:val="21"/>
          <w:szCs w:val="21"/>
          <w:highlight w:val="none"/>
          <w:u w:val="single"/>
          <w:lang w:eastAsia="zh-CN"/>
        </w:rPr>
        <w:tab/>
      </w:r>
      <w:r>
        <w:rPr>
          <w:rFonts w:hint="eastAsia" w:ascii="宋体" w:hAnsi="宋体"/>
          <w:color w:val="auto"/>
          <w:sz w:val="21"/>
          <w:szCs w:val="21"/>
          <w:highlight w:val="none"/>
          <w:lang w:eastAsia="zh-CN"/>
        </w:rPr>
        <w:t>份，联合体成员和招标人各执一份。</w:t>
      </w:r>
    </w:p>
    <w:p w14:paraId="3FE87CAB">
      <w:pPr>
        <w:pStyle w:val="8"/>
        <w:overflowPunct w:val="0"/>
        <w:spacing w:line="360" w:lineRule="auto"/>
        <w:ind w:firstLineChars="175"/>
        <w:contextualSpacing/>
        <w:rPr>
          <w:rFonts w:ascii="宋体" w:hAnsi="宋体"/>
          <w:color w:val="auto"/>
          <w:sz w:val="24"/>
          <w:highlight w:val="none"/>
        </w:rPr>
      </w:pPr>
    </w:p>
    <w:p w14:paraId="301A4B5A">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14:paraId="5A0D1703">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w:t>
      </w:r>
    </w:p>
    <w:p w14:paraId="04A1B629">
      <w:pPr>
        <w:pStyle w:val="8"/>
        <w:overflowPunct w:val="0"/>
        <w:spacing w:line="360" w:lineRule="auto"/>
        <w:ind w:firstLine="482"/>
        <w:contextualSpacing/>
        <w:rPr>
          <w:rFonts w:ascii="宋体" w:hAnsi="宋体"/>
          <w:color w:val="auto"/>
          <w:sz w:val="24"/>
          <w:highlight w:val="none"/>
        </w:rPr>
      </w:pPr>
    </w:p>
    <w:p w14:paraId="047DC03C">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14:paraId="505B21A5">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ab/>
      </w:r>
      <w:r>
        <w:rPr>
          <w:rFonts w:hint="eastAsia" w:ascii="宋体" w:hAnsi="宋体"/>
          <w:color w:val="auto"/>
          <w:sz w:val="24"/>
          <w:highlight w:val="none"/>
        </w:rPr>
        <w:t>（签字）</w:t>
      </w:r>
    </w:p>
    <w:p w14:paraId="61EA8092">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r>
        <w:rPr>
          <w:rFonts w:ascii="宋体" w:hAnsi="宋体"/>
          <w:color w:val="auto"/>
          <w:sz w:val="24"/>
          <w:highlight w:val="none"/>
        </w:rPr>
        <w:tab/>
      </w:r>
    </w:p>
    <w:p w14:paraId="439D4F3C">
      <w:pPr>
        <w:pStyle w:val="8"/>
        <w:overflowPunct w:val="0"/>
        <w:spacing w:line="360" w:lineRule="auto"/>
        <w:ind w:firstLine="3780" w:firstLineChars="1575"/>
        <w:contextualSpacing/>
        <w:rPr>
          <w:rFonts w:ascii="宋体" w:hAnsi="宋体"/>
          <w:b/>
          <w:bCs/>
          <w:color w:val="auto"/>
          <w:sz w:val="24"/>
          <w:highlight w:val="none"/>
        </w:rPr>
      </w:pPr>
      <w:r>
        <w:rPr>
          <w:rFonts w:hint="eastAsia" w:ascii="宋体" w:hAnsi="宋体"/>
          <w:color w:val="auto"/>
          <w:sz w:val="24"/>
          <w:highlight w:val="none"/>
        </w:rPr>
        <w:t>年</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ab/>
      </w:r>
      <w:r>
        <w:rPr>
          <w:rFonts w:hint="eastAsia" w:ascii="宋体" w:hAnsi="宋体"/>
          <w:color w:val="auto"/>
          <w:sz w:val="24"/>
          <w:highlight w:val="none"/>
        </w:rPr>
        <w:t>日</w:t>
      </w:r>
    </w:p>
    <w:p w14:paraId="319196C6">
      <w:pPr>
        <w:ind w:firstLine="482"/>
        <w:rPr>
          <w:rFonts w:ascii="宋体" w:hAnsi="宋体"/>
          <w:b/>
          <w:bCs/>
          <w:color w:val="auto"/>
          <w:sz w:val="24"/>
          <w:highlight w:val="none"/>
          <w:shd w:val="clear" w:color="auto" w:fill="FFFFFF" w:themeFill="background1"/>
        </w:rPr>
      </w:pPr>
      <w:r>
        <w:rPr>
          <w:rFonts w:hint="eastAsia" w:ascii="宋体" w:hAnsi="宋体"/>
          <w:b/>
          <w:bCs/>
          <w:color w:val="auto"/>
          <w:sz w:val="24"/>
          <w:highlight w:val="none"/>
          <w:shd w:val="clear" w:color="auto" w:fill="FFFFFF" w:themeFill="background1"/>
        </w:rPr>
        <w:br w:type="page"/>
      </w:r>
    </w:p>
    <w:p w14:paraId="3625AA93">
      <w:pPr>
        <w:spacing w:line="360" w:lineRule="auto"/>
        <w:ind w:firstLine="482"/>
        <w:jc w:val="left"/>
        <w:rPr>
          <w:rFonts w:ascii="宋体" w:hAnsi="宋体"/>
          <w:b/>
          <w:bCs/>
          <w:color w:val="auto"/>
          <w:sz w:val="32"/>
          <w:szCs w:val="32"/>
          <w:highlight w:val="none"/>
          <w:shd w:val="clear" w:color="auto" w:fill="FFFFFF" w:themeFill="background1"/>
        </w:rPr>
      </w:pPr>
      <w:r>
        <w:rPr>
          <w:rFonts w:hint="eastAsia" w:ascii="宋体" w:hAnsi="宋体"/>
          <w:b/>
          <w:color w:val="auto"/>
          <w:sz w:val="24"/>
          <w:highlight w:val="none"/>
          <w:shd w:val="clear" w:color="auto" w:fill="FFFFFF" w:themeFill="background1"/>
        </w:rPr>
        <w:t>2.质疑函（格式）</w:t>
      </w:r>
    </w:p>
    <w:p w14:paraId="4566A6EB">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4B9CB63A">
      <w:pPr>
        <w:pStyle w:val="31"/>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1FD0C769">
      <w:pPr>
        <w:pStyle w:val="31"/>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E8B743F">
      <w:pPr>
        <w:pStyle w:val="31"/>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B9DFDC">
      <w:pPr>
        <w:pStyle w:val="31"/>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1C68B14">
      <w:pPr>
        <w:pStyle w:val="31"/>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E438523">
      <w:pPr>
        <w:pStyle w:val="31"/>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53E8530">
      <w:pPr>
        <w:pStyle w:val="31"/>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85B9F94">
      <w:pPr>
        <w:pStyle w:val="31"/>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AC80FFE">
      <w:pPr>
        <w:pStyle w:val="31"/>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CD5BBDB">
      <w:pPr>
        <w:pStyle w:val="31"/>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6223221">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EC89523">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7CF09533">
      <w:pPr>
        <w:pStyle w:val="31"/>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5BB9061">
      <w:pPr>
        <w:pStyle w:val="31"/>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22456F2C">
      <w:pPr>
        <w:pStyle w:val="31"/>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14:paraId="31873CC8">
      <w:pPr>
        <w:pStyle w:val="31"/>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23AD22F9">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61A4B8DB">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A9E17D2">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E9F620E">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2A82A1D4">
      <w:pPr>
        <w:pStyle w:val="31"/>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729586F2">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6EF0B64">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21BD704">
      <w:pPr>
        <w:pStyle w:val="31"/>
        <w:spacing w:line="360" w:lineRule="auto"/>
        <w:ind w:left="25" w:leftChars="12" w:firstLine="352" w:firstLineChars="147"/>
        <w:rPr>
          <w:rFonts w:hint="eastAsia" w:hAnsi="宋体"/>
          <w:color w:val="auto"/>
          <w:sz w:val="24"/>
          <w:szCs w:val="24"/>
          <w:highlight w:val="none"/>
        </w:rPr>
      </w:pPr>
    </w:p>
    <w:p w14:paraId="71230F5A">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D3E7592">
      <w:pPr>
        <w:pStyle w:val="31"/>
        <w:spacing w:line="360" w:lineRule="auto"/>
        <w:ind w:left="25" w:leftChars="12" w:firstLine="352" w:firstLineChars="147"/>
        <w:rPr>
          <w:rFonts w:hint="eastAsia" w:hAnsi="宋体"/>
          <w:color w:val="auto"/>
          <w:sz w:val="24"/>
          <w:szCs w:val="24"/>
          <w:highlight w:val="none"/>
        </w:rPr>
      </w:pPr>
    </w:p>
    <w:p w14:paraId="3949A76B">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2BB0F7CC">
      <w:pPr>
        <w:pStyle w:val="31"/>
        <w:snapToGrid w:val="0"/>
        <w:spacing w:line="360" w:lineRule="auto"/>
        <w:rPr>
          <w:rFonts w:hint="eastAsia" w:hAnsi="宋体"/>
          <w:b/>
          <w:color w:val="auto"/>
          <w:sz w:val="24"/>
          <w:szCs w:val="24"/>
          <w:highlight w:val="none"/>
        </w:rPr>
      </w:pPr>
    </w:p>
    <w:p w14:paraId="4C6AE6F7">
      <w:pPr>
        <w:pStyle w:val="31"/>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48382657">
      <w:pPr>
        <w:pStyle w:val="31"/>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44916D2">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AB1170">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D1C2424">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66887568">
      <w:pPr>
        <w:pStyle w:val="31"/>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D227EFF">
      <w:pPr>
        <w:pStyle w:val="31"/>
        <w:spacing w:line="360" w:lineRule="auto"/>
        <w:ind w:left="25" w:leftChars="12" w:firstLine="295" w:firstLineChars="147"/>
        <w:rPr>
          <w:rFonts w:hAnsi="宋体"/>
          <w:b/>
          <w:color w:val="auto"/>
          <w:highlight w:val="none"/>
        </w:rPr>
      </w:pPr>
    </w:p>
    <w:p w14:paraId="57E91B88">
      <w:pPr>
        <w:spacing w:line="460" w:lineRule="exact"/>
        <w:ind w:firstLine="883"/>
        <w:rPr>
          <w:rFonts w:eastAsia="隶书"/>
          <w:color w:val="auto"/>
          <w:sz w:val="44"/>
          <w:highlight w:val="none"/>
        </w:rPr>
      </w:pPr>
    </w:p>
    <w:p w14:paraId="2B74627C">
      <w:pPr>
        <w:pStyle w:val="31"/>
        <w:spacing w:line="360" w:lineRule="auto"/>
        <w:ind w:firstLine="482"/>
        <w:rPr>
          <w:rFonts w:hAnsi="宋体"/>
          <w:b/>
          <w:color w:val="auto"/>
          <w:sz w:val="24"/>
          <w:highlight w:val="none"/>
          <w:shd w:val="clear" w:color="auto" w:fill="FFFFFF" w:themeFill="background1"/>
        </w:rPr>
      </w:pPr>
      <w:r>
        <w:rPr>
          <w:rFonts w:hAnsi="宋体"/>
          <w:b/>
          <w:color w:val="auto"/>
          <w:sz w:val="24"/>
          <w:highlight w:val="none"/>
        </w:rPr>
        <w:br w:type="page"/>
      </w:r>
      <w:r>
        <w:rPr>
          <w:rFonts w:hint="eastAsia" w:hAnsi="宋体"/>
          <w:b/>
          <w:color w:val="auto"/>
          <w:sz w:val="24"/>
          <w:highlight w:val="none"/>
          <w:shd w:val="clear" w:color="auto" w:fill="FFFFFF" w:themeFill="background1"/>
        </w:rPr>
        <w:t>3.投诉书（格式）</w:t>
      </w:r>
    </w:p>
    <w:p w14:paraId="0F836068">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41E9FC2">
      <w:pPr>
        <w:pStyle w:val="31"/>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9B14A13">
      <w:pPr>
        <w:pStyle w:val="31"/>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E95F51">
      <w:pPr>
        <w:pStyle w:val="31"/>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862830">
      <w:pPr>
        <w:pStyle w:val="31"/>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4F800AA">
      <w:pPr>
        <w:pStyle w:val="31"/>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985BB8">
      <w:pPr>
        <w:pStyle w:val="31"/>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243A8C9">
      <w:pPr>
        <w:pStyle w:val="31"/>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1EEF44B">
      <w:pPr>
        <w:pStyle w:val="31"/>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93F72B">
      <w:pPr>
        <w:pStyle w:val="31"/>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59970CDC">
      <w:pPr>
        <w:pStyle w:val="31"/>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E11D839">
      <w:pPr>
        <w:pStyle w:val="31"/>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E4FC7E">
      <w:pPr>
        <w:pStyle w:val="31"/>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C5F6389">
      <w:pPr>
        <w:pStyle w:val="31"/>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5BC6258A">
      <w:pPr>
        <w:pStyle w:val="31"/>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4CEEE4BA">
      <w:pPr>
        <w:pStyle w:val="31"/>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7A87D03D">
      <w:pPr>
        <w:pStyle w:val="31"/>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F31CCA3">
      <w:pPr>
        <w:pStyle w:val="31"/>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13EA87D">
      <w:pPr>
        <w:pStyle w:val="31"/>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0E87B075">
      <w:pPr>
        <w:pStyle w:val="31"/>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69163D5">
      <w:pPr>
        <w:pStyle w:val="31"/>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2AEB6C4">
      <w:pPr>
        <w:pStyle w:val="31"/>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6D9376B">
      <w:pPr>
        <w:pStyle w:val="31"/>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5C0B29F0">
      <w:pPr>
        <w:pStyle w:val="31"/>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613C530">
      <w:pPr>
        <w:pStyle w:val="31"/>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A57C35A">
      <w:pPr>
        <w:pStyle w:val="31"/>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48A6656">
      <w:pPr>
        <w:pStyle w:val="31"/>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58F5511">
      <w:pPr>
        <w:pStyle w:val="31"/>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6840DCF">
      <w:pPr>
        <w:pStyle w:val="31"/>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361C668">
      <w:pPr>
        <w:pStyle w:val="31"/>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A93ADD8">
      <w:pPr>
        <w:pStyle w:val="31"/>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3FFA580B">
      <w:pPr>
        <w:pStyle w:val="31"/>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8BC0D45">
      <w:pPr>
        <w:pStyle w:val="31"/>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F81FD69">
      <w:pPr>
        <w:pStyle w:val="31"/>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109C830">
      <w:pPr>
        <w:pStyle w:val="31"/>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BD70766">
      <w:pPr>
        <w:pStyle w:val="31"/>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66685FE">
      <w:pPr>
        <w:pStyle w:val="31"/>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43B3B6FC">
      <w:pPr>
        <w:pStyle w:val="31"/>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4ECA2010">
      <w:pPr>
        <w:pStyle w:val="31"/>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C12834E">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6102572">
      <w:pPr>
        <w:pStyle w:val="31"/>
        <w:spacing w:line="360" w:lineRule="auto"/>
        <w:ind w:left="25" w:leftChars="12" w:firstLine="352" w:firstLineChars="147"/>
        <w:rPr>
          <w:rFonts w:hint="eastAsia" w:hAnsi="宋体"/>
          <w:color w:val="auto"/>
          <w:sz w:val="24"/>
          <w:szCs w:val="24"/>
          <w:highlight w:val="none"/>
        </w:rPr>
      </w:pPr>
    </w:p>
    <w:p w14:paraId="286C200A">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9789432">
      <w:pPr>
        <w:pStyle w:val="31"/>
        <w:spacing w:line="360" w:lineRule="auto"/>
        <w:ind w:left="25" w:leftChars="12" w:firstLine="352" w:firstLineChars="147"/>
        <w:rPr>
          <w:rFonts w:hint="eastAsia" w:hAnsi="宋体"/>
          <w:color w:val="auto"/>
          <w:sz w:val="24"/>
          <w:szCs w:val="24"/>
          <w:highlight w:val="none"/>
        </w:rPr>
      </w:pPr>
    </w:p>
    <w:p w14:paraId="1169C7CF">
      <w:pPr>
        <w:pStyle w:val="31"/>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14F3D288">
      <w:pPr>
        <w:pStyle w:val="31"/>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14:paraId="494BEFDC">
      <w:pPr>
        <w:pStyle w:val="31"/>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D2E58C5">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ED238E1">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D2DE7BC">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EDC878F">
      <w:pPr>
        <w:pStyle w:val="31"/>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E6526EC">
      <w:pPr>
        <w:pStyle w:val="31"/>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3B6336B">
      <w:pPr>
        <w:pStyle w:val="31"/>
        <w:spacing w:line="360" w:lineRule="auto"/>
        <w:ind w:left="25" w:leftChars="12" w:firstLine="295" w:firstLineChars="147"/>
        <w:rPr>
          <w:rFonts w:hAnsi="宋体"/>
          <w:b/>
          <w:color w:val="auto"/>
          <w:highlight w:val="none"/>
          <w:shd w:val="clear" w:color="auto" w:fill="FFFFFF" w:themeFill="background1"/>
        </w:rPr>
      </w:pPr>
    </w:p>
    <w:sectPr>
      <w:footerReference r:id="rId10" w:type="first"/>
      <w:headerReference r:id="rId7" w:type="default"/>
      <w:footerReference r:id="rId8" w:type="default"/>
      <w:footerReference r:id="rId9"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E63BE5-C2F1-4AA6-BEA5-3EFA776019F3}"/>
  </w:font>
  <w:font w:name="黑体">
    <w:panose1 w:val="02010609060101010101"/>
    <w:charset w:val="86"/>
    <w:family w:val="auto"/>
    <w:pitch w:val="default"/>
    <w:sig w:usb0="800002BF" w:usb1="38CF7CFA" w:usb2="00000016" w:usb3="00000000" w:csb0="00040001" w:csb1="00000000"/>
    <w:embedRegular r:id="rId2" w:fontKey="{0F65AFDB-E923-40D9-8A93-9F1E4597B1F3}"/>
  </w:font>
  <w:font w:name="Courier New">
    <w:panose1 w:val="02070309020205020404"/>
    <w:charset w:val="01"/>
    <w:family w:val="modern"/>
    <w:pitch w:val="default"/>
    <w:sig w:usb0="E0002EFF" w:usb1="C0007843" w:usb2="00000009" w:usb3="00000000" w:csb0="400001FF" w:csb1="FFFF0000"/>
    <w:embedRegular r:id="rId3" w:fontKey="{14BABA6F-A5D3-4A83-9B95-4387DD876DE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201B1B1-C3F6-4E93-B5EF-8FC6CACFEFEA}"/>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5" w:fontKey="{8B60CD4B-CEFC-472B-82CD-B717E8C29D20}"/>
  </w:font>
  <w:font w:name="仿宋">
    <w:panose1 w:val="02010609060101010101"/>
    <w:charset w:val="86"/>
    <w:family w:val="modern"/>
    <w:pitch w:val="default"/>
    <w:sig w:usb0="800002BF" w:usb1="38CF7CFA" w:usb2="00000016" w:usb3="00000000" w:csb0="00040001" w:csb1="00000000"/>
    <w:embedRegular r:id="rId6" w:fontKey="{5091A48E-B0B3-49AD-AC1F-1DFC6CE9BB6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1E7361F1-79F4-4BB7-B5B3-643FD25EAF59}"/>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8" w:fontKey="{D73E11ED-CE43-47A8-97F3-9E97983B1D81}"/>
  </w:font>
  <w:font w:name="Arial Unicode MS">
    <w:altName w:val="宋体"/>
    <w:panose1 w:val="020B0604020202020204"/>
    <w:charset w:val="86"/>
    <w:family w:val="swiss"/>
    <w:pitch w:val="default"/>
    <w:sig w:usb0="00000000" w:usb1="00000000" w:usb2="0000003F" w:usb3="00000000" w:csb0="603F01FF" w:csb1="FFFF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_x000B__x000C_">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9" w:fontKey="{FC2F944A-9B46-4067-A14C-535A4D962992}"/>
  </w:font>
  <w:font w:name="华文新魏">
    <w:altName w:val="宋体"/>
    <w:panose1 w:val="02010800040101010101"/>
    <w:charset w:val="86"/>
    <w:family w:val="auto"/>
    <w:pitch w:val="default"/>
    <w:sig w:usb0="00000000" w:usb1="00000000" w:usb2="00000000" w:usb3="00000000" w:csb0="00040000" w:csb1="00000000"/>
    <w:embedRegular r:id="rId10" w:fontKey="{8399D3BB-31D9-4DCF-B337-021048FAD151}"/>
  </w:font>
  <w:font w:name="Wingdings 2">
    <w:altName w:val="Wingdings"/>
    <w:panose1 w:val="05020102010507070707"/>
    <w:charset w:val="02"/>
    <w:family w:val="roman"/>
    <w:pitch w:val="default"/>
    <w:sig w:usb0="00000000" w:usb1="00000000" w:usb2="00000000" w:usb3="00000000" w:csb0="80000000" w:csb1="00000000"/>
    <w:embedRegular r:id="rId11" w:fontKey="{94649D64-5E07-4F49-82BC-C60006B30454}"/>
  </w:font>
  <w:font w:name="Verdana">
    <w:panose1 w:val="020B0604030504040204"/>
    <w:charset w:val="00"/>
    <w:family w:val="swiss"/>
    <w:pitch w:val="default"/>
    <w:sig w:usb0="A00006FF" w:usb1="4000205B" w:usb2="00000010" w:usb3="00000000" w:csb0="2000019F" w:csb1="00000000"/>
    <w:embedRegular r:id="rId12" w:fontKey="{865A067D-F8A1-439C-81D4-E975E4BB7F5E}"/>
  </w:font>
  <w:font w:name="隶书">
    <w:altName w:val="微软雅黑"/>
    <w:panose1 w:val="02010509060101010101"/>
    <w:charset w:val="86"/>
    <w:family w:val="modern"/>
    <w:pitch w:val="default"/>
    <w:sig w:usb0="00000000" w:usb1="00000000" w:usb2="00000000" w:usb3="00000000" w:csb0="00040000" w:csb1="00000000"/>
    <w:embedRegular r:id="rId13" w:fontKey="{1EC57163-129C-4C74-BFD7-56E4F364D137}"/>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B6A5">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1028"/>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79B4BB46">
                          <w:pPr>
                            <w:pStyle w:val="38"/>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rect id="文本框 1028"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Fj9W0QAAAAIBAAAPAAAAAAAAAAEAIAAAACIAAABkcnMvZG93bnJl&#10;di54bWxQSwECFAAUAAAACACHTuJA0/BbJssBAACUAwAADgAAAAAAAAABACAAAAAgAQAAZHJzL2Uy&#10;b0RvYy54bWxQSwUGAAAAAAYABgBZAQAAXQUAAAAA&#10;">
              <v:fill on="f" focussize="0,0"/>
              <v:stroke on="f"/>
              <v:imagedata o:title=""/>
              <o:lock v:ext="edit" aspectratio="f"/>
              <v:textbox inset="0mm,0mm,0mm,0mm" style="mso-fit-shape-to-text:t;">
                <w:txbxContent>
                  <w:p w14:paraId="79B4BB46">
                    <w:pPr>
                      <w:pStyle w:val="38"/>
                    </w:pPr>
                    <w:r>
                      <w:fldChar w:fldCharType="begin"/>
                    </w:r>
                    <w:r>
                      <w:instrText xml:space="preserve"> PAGE  \* MERGEFORMAT </w:instrText>
                    </w:r>
                    <w:r>
                      <w:fldChar w:fldCharType="separate"/>
                    </w:r>
                    <w:r>
                      <w:t>41</w:t>
                    </w:r>
                    <w:r>
                      <w:fldChar w:fldCharType="end"/>
                    </w:r>
                  </w:p>
                </w:txbxContent>
              </v:textbox>
            </v:rect>
          </w:pict>
        </mc:Fallback>
      </mc:AlternateContent>
    </w:r>
  </w:p>
  <w:p w14:paraId="3CC492C8">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22C1">
    <w:pPr>
      <w:pStyle w:val="38"/>
      <w:framePr w:wrap="around" w:vAnchor="text" w:hAnchor="margin" w:xAlign="center" w:y="1"/>
      <w:rPr>
        <w:rStyle w:val="67"/>
      </w:rPr>
    </w:pPr>
    <w:r>
      <w:fldChar w:fldCharType="begin"/>
    </w:r>
    <w:r>
      <w:rPr>
        <w:rStyle w:val="67"/>
      </w:rPr>
      <w:instrText xml:space="preserve">PAGE  </w:instrText>
    </w:r>
    <w:r>
      <w:fldChar w:fldCharType="end"/>
    </w:r>
  </w:p>
  <w:p w14:paraId="139596C7">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459E">
    <w:pPr>
      <w:pStyle w:val="38"/>
      <w:framePr w:wrap="around" w:vAnchor="text" w:hAnchor="margin" w:xAlign="right" w:y="1"/>
      <w:rPr>
        <w:rStyle w:val="67"/>
      </w:rPr>
    </w:pPr>
    <w:r>
      <w:fldChar w:fldCharType="begin"/>
    </w:r>
    <w:r>
      <w:rPr>
        <w:rStyle w:val="67"/>
      </w:rPr>
      <w:instrText xml:space="preserve">PAGE  </w:instrText>
    </w:r>
    <w:r>
      <w:fldChar w:fldCharType="separate"/>
    </w:r>
    <w:r>
      <w:rPr>
        <w:rStyle w:val="67"/>
      </w:rPr>
      <w:t>122</w:t>
    </w:r>
    <w:r>
      <w:fldChar w:fldCharType="end"/>
    </w:r>
  </w:p>
  <w:p w14:paraId="74C61856">
    <w:pPr>
      <w:pStyle w:val="38"/>
      <w:ind w:right="360"/>
      <w:jc w:val="both"/>
    </w:pPr>
    <w:r>
      <w:rPr>
        <w:rFonts w:hint="eastAsia"/>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36B0">
    <w:pPr>
      <w:pStyle w:val="38"/>
      <w:ind w:firstLine="36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099" name="文本框 1029"/>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3F9F41B7">
                          <w:pPr>
                            <w:pStyle w:val="38"/>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rect id="文本框 1029"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RY/VtEAAAACAQAADwAAAAAAAAABACAAAAAiAAAAZHJzL2Rvd25y&#10;ZXYueG1sUEsBAhQAFAAAAAgAh07iQPMUHenMAQAAlAMAAA4AAAAAAAAAAQAgAAAAIAEAAGRycy9l&#10;Mm9Eb2MueG1sUEsFBgAAAAAGAAYAWQEAAF4FAAAAAA==&#10;">
              <v:fill on="f" focussize="0,0"/>
              <v:stroke on="f"/>
              <v:imagedata o:title=""/>
              <o:lock v:ext="edit" aspectratio="f"/>
              <v:textbox inset="0mm,0mm,0mm,0mm" style="mso-fit-shape-to-text:t;">
                <w:txbxContent>
                  <w:p w14:paraId="3F9F41B7">
                    <w:pPr>
                      <w:pStyle w:val="38"/>
                    </w:pPr>
                    <w:r>
                      <w:fldChar w:fldCharType="begin"/>
                    </w:r>
                    <w:r>
                      <w:instrText xml:space="preserve"> PAGE  \* MERGEFORMAT </w:instrText>
                    </w:r>
                    <w:r>
                      <w:fldChar w:fldCharType="separate"/>
                    </w:r>
                    <w:r>
                      <w:t>99</w:t>
                    </w:r>
                    <w:r>
                      <w:fldChar w:fldCharType="end"/>
                    </w:r>
                  </w:p>
                </w:txbxContent>
              </v:textbox>
            </v:rect>
          </w:pict>
        </mc:Fallback>
      </mc:AlternateContent>
    </w:r>
  </w:p>
  <w:p w14:paraId="26553C19">
    <w:pPr>
      <w:pStyle w:val="38"/>
      <w:ind w:firstLine="36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07BA">
    <w:pPr>
      <w:pStyle w:val="38"/>
      <w:framePr w:wrap="around" w:vAnchor="text" w:hAnchor="margin" w:xAlign="center" w:y="1"/>
      <w:ind w:firstLine="361"/>
      <w:rPr>
        <w:rStyle w:val="67"/>
      </w:rPr>
    </w:pPr>
    <w:r>
      <w:fldChar w:fldCharType="begin"/>
    </w:r>
    <w:r>
      <w:rPr>
        <w:rStyle w:val="67"/>
      </w:rPr>
      <w:instrText xml:space="preserve">PAGE  </w:instrText>
    </w:r>
    <w:r>
      <w:fldChar w:fldCharType="end"/>
    </w:r>
  </w:p>
  <w:p w14:paraId="33DCB28A">
    <w:pPr>
      <w:pStyle w:val="38"/>
      <w:ind w:firstLine="361"/>
    </w:pPr>
  </w:p>
  <w:p w14:paraId="2BAA83C9"/>
  <w:p w14:paraId="47FFAC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947A">
    <w:pPr>
      <w:pStyle w:val="38"/>
      <w:ind w:right="360" w:firstLine="361"/>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100" name="文本框 103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67B74A84">
                          <w:pPr>
                            <w:pStyle w:val="38"/>
                          </w:pPr>
                          <w:r>
                            <w:fldChar w:fldCharType="begin"/>
                          </w:r>
                          <w:r>
                            <w:instrText xml:space="preserve"> PAGE  \* MERGEFORMAT </w:instrText>
                          </w:r>
                          <w:r>
                            <w:fldChar w:fldCharType="separate"/>
                          </w:r>
                          <w:r>
                            <w:t>97</w:t>
                          </w:r>
                          <w:r>
                            <w:fldChar w:fldCharType="end"/>
                          </w:r>
                        </w:p>
                      </w:txbxContent>
                    </wps:txbx>
                    <wps:bodyPr wrap="none" lIns="0" tIns="0" rIns="0" bIns="0">
                      <a:spAutoFit/>
                    </wps:bodyPr>
                  </wps:wsp>
                </a:graphicData>
              </a:graphic>
            </wp:anchor>
          </w:drawing>
        </mc:Choice>
        <mc:Fallback>
          <w:pict>
            <v:rect id="文本框 1030"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A67z/fJAQAAlAMAAA4AAAAAAAAAAQAgAAAAIAEAAGRycy9lMm9E&#10;b2MueG1sUEsFBgAAAAAGAAYAWQEAAFsFAAAAAA==&#10;">
              <v:fill on="f" focussize="0,0"/>
              <v:stroke on="f"/>
              <v:imagedata o:title=""/>
              <o:lock v:ext="edit" aspectratio="f"/>
              <v:textbox inset="0mm,0mm,0mm,0mm" style="mso-fit-shape-to-text:t;">
                <w:txbxContent>
                  <w:p w14:paraId="67B74A84">
                    <w:pPr>
                      <w:pStyle w:val="38"/>
                    </w:pPr>
                    <w:r>
                      <w:fldChar w:fldCharType="begin"/>
                    </w:r>
                    <w:r>
                      <w:instrText xml:space="preserve"> PAGE  \* MERGEFORMAT </w:instrText>
                    </w:r>
                    <w:r>
                      <w:fldChar w:fldCharType="separate"/>
                    </w:r>
                    <w:r>
                      <w:t>97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4720">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0591">
    <w:pPr>
      <w:pStyle w:val="40"/>
      <w:pBdr>
        <w:bottom w:val="none" w:color="auto" w:sz="0" w:space="0"/>
      </w:pBdr>
      <w:ind w:firstLine="361"/>
    </w:pPr>
  </w:p>
  <w:p w14:paraId="29B1A807"/>
  <w:p w14:paraId="69792E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85"/>
      <w:lvlText w:val="%1、"/>
      <w:lvlJc w:val="left"/>
      <w:pPr>
        <w:tabs>
          <w:tab w:val="left" w:pos="675"/>
        </w:tabs>
        <w:ind w:left="675" w:hanging="67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pStyle w:val="167"/>
      <w:lvlText w:val="%1."/>
      <w:lvlJc w:val="left"/>
      <w:pPr>
        <w:tabs>
          <w:tab w:val="left" w:pos="425"/>
        </w:tabs>
        <w:ind w:left="425" w:hanging="425"/>
      </w:pPr>
    </w:lvl>
    <w:lvl w:ilvl="1" w:tentative="0">
      <w:start w:val="1"/>
      <w:numFmt w:val="decimal"/>
      <w:pStyle w:val="100"/>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03"/>
    <w:multiLevelType w:val="multilevel"/>
    <w:tmpl w:val="00000003"/>
    <w:lvl w:ilvl="0" w:tentative="0">
      <w:start w:val="1"/>
      <w:numFmt w:val="lowerLetter"/>
      <w:pStyle w:val="201"/>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00000004"/>
    <w:multiLevelType w:val="multilevel"/>
    <w:tmpl w:val="00000004"/>
    <w:lvl w:ilvl="0" w:tentative="0">
      <w:start w:val="1"/>
      <w:numFmt w:val="decimal"/>
      <w:pStyle w:val="217"/>
      <w:lvlText w:val="%1."/>
      <w:lvlJc w:val="left"/>
      <w:pPr>
        <w:tabs>
          <w:tab w:val="left" w:pos="840"/>
        </w:tabs>
        <w:ind w:left="840" w:hanging="420"/>
      </w:pPr>
    </w:lvl>
    <w:lvl w:ilvl="1" w:tentative="0">
      <w:start w:val="1"/>
      <w:numFmt w:val="lowerLetter"/>
      <w:pStyle w:val="110"/>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5"/>
    <w:multiLevelType w:val="multilevel"/>
    <w:tmpl w:val="00000005"/>
    <w:lvl w:ilvl="0" w:tentative="0">
      <w:start w:val="1"/>
      <w:numFmt w:val="decimal"/>
      <w:pStyle w:val="16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00000006"/>
    <w:multiLevelType w:val="multilevel"/>
    <w:tmpl w:val="00000006"/>
    <w:lvl w:ilvl="0" w:tentative="0">
      <w:start w:val="1"/>
      <w:numFmt w:val="decimal"/>
      <w:pStyle w:val="14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127"/>
      <w:lvlText w:val="%3."/>
      <w:lvlJc w:val="right"/>
      <w:pPr>
        <w:tabs>
          <w:tab w:val="left" w:pos="1680"/>
        </w:tabs>
        <w:ind w:left="1680" w:hanging="420"/>
      </w:pPr>
    </w:lvl>
    <w:lvl w:ilvl="3" w:tentative="0">
      <w:start w:val="1"/>
      <w:numFmt w:val="decimal"/>
      <w:pStyle w:val="159"/>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7"/>
    <w:multiLevelType w:val="multilevel"/>
    <w:tmpl w:val="00000007"/>
    <w:lvl w:ilvl="0" w:tentative="0">
      <w:start w:val="1"/>
      <w:numFmt w:val="decimal"/>
      <w:pStyle w:val="115"/>
      <w:suff w:val="nothing"/>
      <w:lvlText w:val="注%1："/>
      <w:lvlJc w:val="left"/>
      <w:pPr>
        <w:ind w:left="811" w:hanging="448"/>
      </w:pPr>
      <w:rPr>
        <w:rFonts w:hint="eastAsia" w:ascii="黑体" w:hAnsi="Times New Roman" w:eastAsia="黑体"/>
        <w:b w:val="0"/>
        <w:i w:val="0"/>
        <w:sz w:val="18"/>
        <w:szCs w:val="18"/>
        <w:vertAlign w:val="baseline"/>
      </w:rPr>
    </w:lvl>
    <w:lvl w:ilvl="1" w:tentative="0">
      <w:start w:val="1"/>
      <w:numFmt w:val="lowerLetter"/>
      <w:lvlText w:val="%2)"/>
      <w:lvlJc w:val="left"/>
      <w:pPr>
        <w:tabs>
          <w:tab w:val="left" w:pos="180"/>
        </w:tabs>
        <w:ind w:left="1172" w:hanging="629"/>
      </w:pPr>
      <w:rPr>
        <w:vertAlign w:val="baseline"/>
      </w:rPr>
    </w:lvl>
    <w:lvl w:ilvl="2" w:tentative="0">
      <w:start w:val="1"/>
      <w:numFmt w:val="lowerRoman"/>
      <w:lvlText w:val="%3."/>
      <w:lvlJc w:val="right"/>
      <w:pPr>
        <w:tabs>
          <w:tab w:val="left" w:pos="180"/>
        </w:tabs>
        <w:ind w:left="1172" w:hanging="629"/>
      </w:pPr>
      <w:rPr>
        <w:vertAlign w:val="baseline"/>
      </w:rPr>
    </w:lvl>
    <w:lvl w:ilvl="3" w:tentative="0">
      <w:start w:val="1"/>
      <w:numFmt w:val="decimal"/>
      <w:lvlText w:val="%4."/>
      <w:lvlJc w:val="left"/>
      <w:pPr>
        <w:tabs>
          <w:tab w:val="left" w:pos="180"/>
        </w:tabs>
        <w:ind w:left="1172" w:hanging="629"/>
      </w:pPr>
      <w:rPr>
        <w:vertAlign w:val="baseline"/>
      </w:rPr>
    </w:lvl>
    <w:lvl w:ilvl="4" w:tentative="0">
      <w:start w:val="1"/>
      <w:numFmt w:val="lowerLetter"/>
      <w:lvlText w:val="%5)"/>
      <w:lvlJc w:val="left"/>
      <w:pPr>
        <w:tabs>
          <w:tab w:val="left" w:pos="180"/>
        </w:tabs>
        <w:ind w:left="1172" w:hanging="629"/>
      </w:pPr>
      <w:rPr>
        <w:vertAlign w:val="baseline"/>
      </w:rPr>
    </w:lvl>
    <w:lvl w:ilvl="5" w:tentative="0">
      <w:start w:val="1"/>
      <w:numFmt w:val="lowerRoman"/>
      <w:lvlText w:val="%6."/>
      <w:lvlJc w:val="right"/>
      <w:pPr>
        <w:tabs>
          <w:tab w:val="left" w:pos="180"/>
        </w:tabs>
        <w:ind w:left="1172" w:hanging="629"/>
      </w:pPr>
      <w:rPr>
        <w:vertAlign w:val="baseline"/>
      </w:rPr>
    </w:lvl>
    <w:lvl w:ilvl="6" w:tentative="0">
      <w:start w:val="1"/>
      <w:numFmt w:val="decimal"/>
      <w:lvlText w:val="%7."/>
      <w:lvlJc w:val="left"/>
      <w:pPr>
        <w:tabs>
          <w:tab w:val="left" w:pos="180"/>
        </w:tabs>
        <w:ind w:left="1172" w:hanging="629"/>
      </w:pPr>
      <w:rPr>
        <w:vertAlign w:val="baseline"/>
      </w:rPr>
    </w:lvl>
    <w:lvl w:ilvl="7" w:tentative="0">
      <w:start w:val="1"/>
      <w:numFmt w:val="lowerLetter"/>
      <w:lvlText w:val="%8)"/>
      <w:lvlJc w:val="left"/>
      <w:pPr>
        <w:tabs>
          <w:tab w:val="left" w:pos="180"/>
        </w:tabs>
        <w:ind w:left="1172" w:hanging="629"/>
      </w:pPr>
      <w:rPr>
        <w:vertAlign w:val="baseline"/>
      </w:rPr>
    </w:lvl>
    <w:lvl w:ilvl="8" w:tentative="0">
      <w:start w:val="1"/>
      <w:numFmt w:val="lowerRoman"/>
      <w:lvlText w:val="%9."/>
      <w:lvlJc w:val="right"/>
      <w:pPr>
        <w:tabs>
          <w:tab w:val="left" w:pos="180"/>
        </w:tabs>
        <w:ind w:left="1172" w:hanging="629"/>
      </w:pPr>
      <w:rPr>
        <w:vertAlign w:val="baseline"/>
      </w:rPr>
    </w:lvl>
  </w:abstractNum>
  <w:abstractNum w:abstractNumId="7">
    <w:nsid w:val="00000008"/>
    <w:multiLevelType w:val="multilevel"/>
    <w:tmpl w:val="00000008"/>
    <w:lvl w:ilvl="0" w:tentative="0">
      <w:start w:val="1"/>
      <w:numFmt w:val="decimal"/>
      <w:pStyle w:val="8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88"/>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8">
    <w:nsid w:val="00000009"/>
    <w:multiLevelType w:val="multilevel"/>
    <w:tmpl w:val="00000009"/>
    <w:lvl w:ilvl="0" w:tentative="0">
      <w:start w:val="1"/>
      <w:numFmt w:val="decimal"/>
      <w:pStyle w:val="10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0A"/>
    <w:multiLevelType w:val="multilevel"/>
    <w:tmpl w:val="0000000A"/>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decimal"/>
      <w:pStyle w:val="93"/>
      <w:suff w:val="nothing"/>
      <w:lvlText w:val="注%1："/>
      <w:lvlJc w:val="left"/>
      <w:pPr>
        <w:ind w:left="579" w:hanging="448"/>
      </w:pPr>
      <w:rPr>
        <w:rFonts w:hint="eastAsia" w:ascii="黑体" w:hAnsi="Times New Roman" w:eastAsia="黑体"/>
        <w:b w:val="0"/>
        <w:i w:val="0"/>
        <w:sz w:val="18"/>
        <w:lang w:val="en-US"/>
      </w:rPr>
    </w:lvl>
    <w:lvl w:ilvl="1" w:tentative="0">
      <w:start w:val="1"/>
      <w:numFmt w:val="lowerLetter"/>
      <w:lvlText w:val="%2)"/>
      <w:lvlJc w:val="left"/>
      <w:pPr>
        <w:tabs>
          <w:tab w:val="left" w:pos="-79"/>
        </w:tabs>
        <w:ind w:left="913" w:hanging="629"/>
      </w:pPr>
    </w:lvl>
    <w:lvl w:ilvl="2" w:tentative="0">
      <w:start w:val="1"/>
      <w:numFmt w:val="lowerRoman"/>
      <w:lvlText w:val="%3."/>
      <w:lvlJc w:val="right"/>
      <w:pPr>
        <w:tabs>
          <w:tab w:val="left" w:pos="-79"/>
        </w:tabs>
        <w:ind w:left="913" w:hanging="629"/>
      </w:pPr>
    </w:lvl>
    <w:lvl w:ilvl="3" w:tentative="0">
      <w:start w:val="1"/>
      <w:numFmt w:val="decimal"/>
      <w:lvlText w:val="%4."/>
      <w:lvlJc w:val="left"/>
      <w:pPr>
        <w:tabs>
          <w:tab w:val="left" w:pos="-79"/>
        </w:tabs>
        <w:ind w:left="913" w:hanging="629"/>
      </w:pPr>
    </w:lvl>
    <w:lvl w:ilvl="4" w:tentative="0">
      <w:start w:val="1"/>
      <w:numFmt w:val="lowerLetter"/>
      <w:lvlText w:val="%5)"/>
      <w:lvlJc w:val="left"/>
      <w:pPr>
        <w:tabs>
          <w:tab w:val="left" w:pos="-79"/>
        </w:tabs>
        <w:ind w:left="913" w:hanging="629"/>
      </w:pPr>
    </w:lvl>
    <w:lvl w:ilvl="5" w:tentative="0">
      <w:start w:val="1"/>
      <w:numFmt w:val="lowerRoman"/>
      <w:lvlText w:val="%6."/>
      <w:lvlJc w:val="right"/>
      <w:pPr>
        <w:tabs>
          <w:tab w:val="left" w:pos="-79"/>
        </w:tabs>
        <w:ind w:left="913" w:hanging="629"/>
      </w:pPr>
    </w:lvl>
    <w:lvl w:ilvl="6" w:tentative="0">
      <w:start w:val="1"/>
      <w:numFmt w:val="decimal"/>
      <w:lvlText w:val="%7."/>
      <w:lvlJc w:val="left"/>
      <w:pPr>
        <w:tabs>
          <w:tab w:val="left" w:pos="-79"/>
        </w:tabs>
        <w:ind w:left="913" w:hanging="629"/>
      </w:pPr>
    </w:lvl>
    <w:lvl w:ilvl="7" w:tentative="0">
      <w:start w:val="1"/>
      <w:numFmt w:val="lowerLetter"/>
      <w:lvlText w:val="%8)"/>
      <w:lvlJc w:val="left"/>
      <w:pPr>
        <w:tabs>
          <w:tab w:val="left" w:pos="-79"/>
        </w:tabs>
        <w:ind w:left="913" w:hanging="629"/>
      </w:pPr>
    </w:lvl>
    <w:lvl w:ilvl="8" w:tentative="0">
      <w:start w:val="1"/>
      <w:numFmt w:val="lowerRoman"/>
      <w:lvlText w:val="%9."/>
      <w:lvlJc w:val="right"/>
      <w:pPr>
        <w:tabs>
          <w:tab w:val="left" w:pos="-79"/>
        </w:tabs>
        <w:ind w:left="913" w:hanging="629"/>
      </w:pPr>
    </w:lvl>
  </w:abstractNum>
  <w:abstractNum w:abstractNumId="11">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2">
    <w:nsid w:val="0000000D"/>
    <w:multiLevelType w:val="multilevel"/>
    <w:tmpl w:val="0000000D"/>
    <w:lvl w:ilvl="0" w:tentative="0">
      <w:start w:val="1"/>
      <w:numFmt w:val="decimal"/>
      <w:pStyle w:val="20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singleLevel"/>
    <w:tmpl w:val="0000000E"/>
    <w:lvl w:ilvl="0" w:tentative="0">
      <w:start w:val="1"/>
      <w:numFmt w:val="decimal"/>
      <w:suff w:val="nothing"/>
      <w:lvlText w:val="（%1）"/>
      <w:lvlJc w:val="left"/>
    </w:lvl>
  </w:abstractNum>
  <w:abstractNum w:abstractNumId="14">
    <w:nsid w:val="0000000F"/>
    <w:multiLevelType w:val="multilevel"/>
    <w:tmpl w:val="0000000F"/>
    <w:lvl w:ilvl="0" w:tentative="0">
      <w:start w:val="1"/>
      <w:numFmt w:val="decimal"/>
      <w:pStyle w:val="191"/>
      <w:lvlText w:val="%1、"/>
      <w:lvlJc w:val="left"/>
      <w:pPr>
        <w:tabs>
          <w:tab w:val="left" w:pos="675"/>
        </w:tabs>
        <w:ind w:left="675" w:hanging="675"/>
      </w:pPr>
    </w:lvl>
    <w:lvl w:ilvl="1" w:tentative="0">
      <w:start w:val="1"/>
      <w:numFmt w:val="lowerLetter"/>
      <w:pStyle w:val="189"/>
      <w:lvlText w:val="%2)"/>
      <w:lvlJc w:val="left"/>
      <w:pPr>
        <w:tabs>
          <w:tab w:val="left" w:pos="840"/>
        </w:tabs>
        <w:ind w:left="840" w:hanging="420"/>
      </w:pPr>
    </w:lvl>
    <w:lvl w:ilvl="2" w:tentative="0">
      <w:start w:val="1"/>
      <w:numFmt w:val="lowerRoman"/>
      <w:pStyle w:val="20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0"/>
    <w:multiLevelType w:val="multilevel"/>
    <w:tmpl w:val="00000010"/>
    <w:lvl w:ilvl="0" w:tentative="0">
      <w:start w:val="1"/>
      <w:numFmt w:val="decimal"/>
      <w:pStyle w:val="19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00000011"/>
    <w:multiLevelType w:val="multilevel"/>
    <w:tmpl w:val="00000011"/>
    <w:lvl w:ilvl="0" w:tentative="0">
      <w:start w:val="1"/>
      <w:numFmt w:val="decimal"/>
      <w:pStyle w:val="22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00000012"/>
    <w:multiLevelType w:val="multilevel"/>
    <w:tmpl w:val="00000012"/>
    <w:lvl w:ilvl="0" w:tentative="0">
      <w:start w:val="3"/>
      <w:numFmt w:val="decimal"/>
      <w:pStyle w:val="80"/>
      <w:lvlText w:val="%1、"/>
      <w:lvlJc w:val="left"/>
      <w:pPr>
        <w:tabs>
          <w:tab w:val="left" w:pos="720"/>
        </w:tabs>
        <w:ind w:left="720" w:hanging="720"/>
      </w:pPr>
    </w:lvl>
    <w:lvl w:ilvl="1" w:tentative="0">
      <w:start w:val="1"/>
      <w:numFmt w:val="lowerLetter"/>
      <w:pStyle w:val="8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4"/>
    <w:multiLevelType w:val="multilevel"/>
    <w:tmpl w:val="00000014"/>
    <w:lvl w:ilvl="0" w:tentative="0">
      <w:start w:val="1"/>
      <w:numFmt w:val="decimal"/>
      <w:pStyle w:val="222"/>
      <w:lvlText w:val="%1."/>
      <w:lvlJc w:val="left"/>
      <w:pPr>
        <w:tabs>
          <w:tab w:val="left" w:pos="425"/>
        </w:tabs>
        <w:ind w:left="425" w:hanging="425"/>
      </w:pPr>
    </w:lvl>
    <w:lvl w:ilvl="1" w:tentative="0">
      <w:start w:val="1"/>
      <w:numFmt w:val="decimal"/>
      <w:pStyle w:val="20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00000015"/>
    <w:multiLevelType w:val="multilevel"/>
    <w:tmpl w:val="00000015"/>
    <w:lvl w:ilvl="0" w:tentative="0">
      <w:start w:val="1"/>
      <w:numFmt w:val="none"/>
      <w:pStyle w:val="9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20">
    <w:nsid w:val="00000016"/>
    <w:multiLevelType w:val="multilevel"/>
    <w:tmpl w:val="0000001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1">
    <w:nsid w:val="00000017"/>
    <w:multiLevelType w:val="multilevel"/>
    <w:tmpl w:val="00000017"/>
    <w:lvl w:ilvl="0" w:tentative="0">
      <w:start w:val="1"/>
      <w:numFmt w:val="decimal"/>
      <w:pStyle w:val="150"/>
      <w:lvlText w:val="%1、"/>
      <w:lvlJc w:val="left"/>
      <w:pPr>
        <w:tabs>
          <w:tab w:val="left" w:pos="675"/>
        </w:tabs>
        <w:ind w:left="675" w:hanging="675"/>
      </w:pPr>
    </w:lvl>
    <w:lvl w:ilvl="1" w:tentative="0">
      <w:start w:val="1"/>
      <w:numFmt w:val="decimal"/>
      <w:pStyle w:val="9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4540A9E"/>
    <w:multiLevelType w:val="multilevel"/>
    <w:tmpl w:val="14540A9E"/>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5FABD14B"/>
    <w:multiLevelType w:val="singleLevel"/>
    <w:tmpl w:val="5FABD14B"/>
    <w:lvl w:ilvl="0" w:tentative="0">
      <w:start w:val="1"/>
      <w:numFmt w:val="decimal"/>
      <w:suff w:val="nothing"/>
      <w:lvlText w:val="（%1）"/>
      <w:lvlJc w:val="left"/>
      <w:pPr>
        <w:ind w:left="0" w:firstLine="0"/>
      </w:pPr>
    </w:lvl>
  </w:abstractNum>
  <w:abstractNum w:abstractNumId="25">
    <w:nsid w:val="65FD57BA"/>
    <w:multiLevelType w:val="singleLevel"/>
    <w:tmpl w:val="65FD57BA"/>
    <w:lvl w:ilvl="0" w:tentative="0">
      <w:start w:val="1"/>
      <w:numFmt w:val="decimal"/>
      <w:pStyle w:val="25"/>
      <w:lvlText w:val="%1."/>
      <w:lvlJc w:val="left"/>
      <w:pPr>
        <w:tabs>
          <w:tab w:val="left" w:pos="1200"/>
        </w:tabs>
        <w:ind w:left="1200" w:hanging="360"/>
      </w:pPr>
    </w:lvl>
  </w:abstractNum>
  <w:abstractNum w:abstractNumId="26">
    <w:nsid w:val="6A34C856"/>
    <w:multiLevelType w:val="singleLevel"/>
    <w:tmpl w:val="6A34C856"/>
    <w:lvl w:ilvl="0" w:tentative="0">
      <w:start w:val="1"/>
      <w:numFmt w:val="decimal"/>
      <w:suff w:val="nothing"/>
      <w:lvlText w:val="（%1）"/>
      <w:lvlJc w:val="left"/>
    </w:lvl>
  </w:abstractNum>
  <w:num w:numId="1">
    <w:abstractNumId w:val="11"/>
  </w:num>
  <w:num w:numId="2">
    <w:abstractNumId w:val="25"/>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num>
  <w:num w:numId="27">
    <w:abstractNumId w:val="2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BmYmQ3NjhhNjU3Y2UyZGY4NTI2ZGNlN2JmZWUifQ=="/>
  </w:docVars>
  <w:rsids>
    <w:rsidRoot w:val="008E5728"/>
    <w:rsid w:val="00005402"/>
    <w:rsid w:val="00007325"/>
    <w:rsid w:val="0001794D"/>
    <w:rsid w:val="00021747"/>
    <w:rsid w:val="00022374"/>
    <w:rsid w:val="00024AF3"/>
    <w:rsid w:val="0004355A"/>
    <w:rsid w:val="000501A7"/>
    <w:rsid w:val="00050EF4"/>
    <w:rsid w:val="00051919"/>
    <w:rsid w:val="00056F81"/>
    <w:rsid w:val="0006643C"/>
    <w:rsid w:val="0008237F"/>
    <w:rsid w:val="0008264E"/>
    <w:rsid w:val="00084CDF"/>
    <w:rsid w:val="000878A2"/>
    <w:rsid w:val="000954CD"/>
    <w:rsid w:val="00096662"/>
    <w:rsid w:val="000A291A"/>
    <w:rsid w:val="000A2A47"/>
    <w:rsid w:val="000A2B03"/>
    <w:rsid w:val="000B06AB"/>
    <w:rsid w:val="000D2D15"/>
    <w:rsid w:val="000E60E7"/>
    <w:rsid w:val="000F0512"/>
    <w:rsid w:val="000F18E5"/>
    <w:rsid w:val="000F60C3"/>
    <w:rsid w:val="000F6D8C"/>
    <w:rsid w:val="000F6F49"/>
    <w:rsid w:val="00103B43"/>
    <w:rsid w:val="00115EF9"/>
    <w:rsid w:val="00120B0C"/>
    <w:rsid w:val="00137816"/>
    <w:rsid w:val="00155701"/>
    <w:rsid w:val="0018061B"/>
    <w:rsid w:val="001904C5"/>
    <w:rsid w:val="0019288F"/>
    <w:rsid w:val="001B2C5E"/>
    <w:rsid w:val="001B569A"/>
    <w:rsid w:val="001B7DB8"/>
    <w:rsid w:val="001D54E6"/>
    <w:rsid w:val="001F085A"/>
    <w:rsid w:val="001F6779"/>
    <w:rsid w:val="00206EC6"/>
    <w:rsid w:val="0021081B"/>
    <w:rsid w:val="0021449E"/>
    <w:rsid w:val="0021560A"/>
    <w:rsid w:val="00216E3E"/>
    <w:rsid w:val="002210D5"/>
    <w:rsid w:val="0022508E"/>
    <w:rsid w:val="00235974"/>
    <w:rsid w:val="0024071C"/>
    <w:rsid w:val="002477BD"/>
    <w:rsid w:val="00262CD0"/>
    <w:rsid w:val="00276558"/>
    <w:rsid w:val="00276A95"/>
    <w:rsid w:val="00283ADC"/>
    <w:rsid w:val="002A1E1F"/>
    <w:rsid w:val="002A484B"/>
    <w:rsid w:val="002A529C"/>
    <w:rsid w:val="002C0EB2"/>
    <w:rsid w:val="002D112F"/>
    <w:rsid w:val="002D27DA"/>
    <w:rsid w:val="002F28BF"/>
    <w:rsid w:val="00304EE3"/>
    <w:rsid w:val="00314832"/>
    <w:rsid w:val="003212B0"/>
    <w:rsid w:val="00330103"/>
    <w:rsid w:val="00336912"/>
    <w:rsid w:val="00345312"/>
    <w:rsid w:val="00347F20"/>
    <w:rsid w:val="003839A6"/>
    <w:rsid w:val="00390B3E"/>
    <w:rsid w:val="00397838"/>
    <w:rsid w:val="003C5D36"/>
    <w:rsid w:val="003F737A"/>
    <w:rsid w:val="00423C22"/>
    <w:rsid w:val="00425E5E"/>
    <w:rsid w:val="0045312E"/>
    <w:rsid w:val="00455993"/>
    <w:rsid w:val="00462352"/>
    <w:rsid w:val="00476BB2"/>
    <w:rsid w:val="00482A9F"/>
    <w:rsid w:val="004875F4"/>
    <w:rsid w:val="00495440"/>
    <w:rsid w:val="004A6773"/>
    <w:rsid w:val="004C3266"/>
    <w:rsid w:val="00501557"/>
    <w:rsid w:val="00502370"/>
    <w:rsid w:val="00534854"/>
    <w:rsid w:val="00546BBF"/>
    <w:rsid w:val="00547A74"/>
    <w:rsid w:val="00560A40"/>
    <w:rsid w:val="0056564C"/>
    <w:rsid w:val="00582A22"/>
    <w:rsid w:val="00595BF2"/>
    <w:rsid w:val="005A7403"/>
    <w:rsid w:val="005C17B9"/>
    <w:rsid w:val="005D6689"/>
    <w:rsid w:val="00602C24"/>
    <w:rsid w:val="006243B6"/>
    <w:rsid w:val="00624F18"/>
    <w:rsid w:val="00631D06"/>
    <w:rsid w:val="0064287E"/>
    <w:rsid w:val="00643463"/>
    <w:rsid w:val="00644B5D"/>
    <w:rsid w:val="00681A7A"/>
    <w:rsid w:val="0069526A"/>
    <w:rsid w:val="006A0AE2"/>
    <w:rsid w:val="006A4196"/>
    <w:rsid w:val="006A6BAB"/>
    <w:rsid w:val="006A78C5"/>
    <w:rsid w:val="006B0685"/>
    <w:rsid w:val="006C0151"/>
    <w:rsid w:val="006C1539"/>
    <w:rsid w:val="006E3A32"/>
    <w:rsid w:val="006E4AF9"/>
    <w:rsid w:val="006F07F6"/>
    <w:rsid w:val="006F5118"/>
    <w:rsid w:val="00711E69"/>
    <w:rsid w:val="00716D3C"/>
    <w:rsid w:val="00720C1B"/>
    <w:rsid w:val="0072399D"/>
    <w:rsid w:val="007443B7"/>
    <w:rsid w:val="00761C6B"/>
    <w:rsid w:val="007629BA"/>
    <w:rsid w:val="00773724"/>
    <w:rsid w:val="00774D07"/>
    <w:rsid w:val="00782843"/>
    <w:rsid w:val="0078439E"/>
    <w:rsid w:val="0078746E"/>
    <w:rsid w:val="007877EE"/>
    <w:rsid w:val="00794069"/>
    <w:rsid w:val="00795A54"/>
    <w:rsid w:val="007B57B5"/>
    <w:rsid w:val="007C224D"/>
    <w:rsid w:val="007C635A"/>
    <w:rsid w:val="007D2217"/>
    <w:rsid w:val="007D4A21"/>
    <w:rsid w:val="007E397A"/>
    <w:rsid w:val="007F6708"/>
    <w:rsid w:val="0080002E"/>
    <w:rsid w:val="008202F1"/>
    <w:rsid w:val="00845247"/>
    <w:rsid w:val="00852652"/>
    <w:rsid w:val="00852FE1"/>
    <w:rsid w:val="0085662E"/>
    <w:rsid w:val="008726BE"/>
    <w:rsid w:val="00890525"/>
    <w:rsid w:val="00895336"/>
    <w:rsid w:val="008A380A"/>
    <w:rsid w:val="008B6A13"/>
    <w:rsid w:val="008C2CAF"/>
    <w:rsid w:val="008D7F57"/>
    <w:rsid w:val="008E5728"/>
    <w:rsid w:val="008F477E"/>
    <w:rsid w:val="009034D9"/>
    <w:rsid w:val="00904FA4"/>
    <w:rsid w:val="0090540D"/>
    <w:rsid w:val="009134C3"/>
    <w:rsid w:val="0092632D"/>
    <w:rsid w:val="00926593"/>
    <w:rsid w:val="00942FB6"/>
    <w:rsid w:val="00953BD8"/>
    <w:rsid w:val="00961486"/>
    <w:rsid w:val="00964D00"/>
    <w:rsid w:val="00971BBE"/>
    <w:rsid w:val="009729A2"/>
    <w:rsid w:val="00984579"/>
    <w:rsid w:val="00985F40"/>
    <w:rsid w:val="00986B4C"/>
    <w:rsid w:val="00991B3F"/>
    <w:rsid w:val="009963CF"/>
    <w:rsid w:val="009A0E26"/>
    <w:rsid w:val="009A6377"/>
    <w:rsid w:val="009B3113"/>
    <w:rsid w:val="009C0C8C"/>
    <w:rsid w:val="009E2159"/>
    <w:rsid w:val="009E5058"/>
    <w:rsid w:val="009F0CE3"/>
    <w:rsid w:val="00A043CC"/>
    <w:rsid w:val="00A1342A"/>
    <w:rsid w:val="00A15B13"/>
    <w:rsid w:val="00A4300F"/>
    <w:rsid w:val="00A43C1B"/>
    <w:rsid w:val="00A51694"/>
    <w:rsid w:val="00A6275C"/>
    <w:rsid w:val="00A70DB3"/>
    <w:rsid w:val="00A73BE4"/>
    <w:rsid w:val="00A80F7D"/>
    <w:rsid w:val="00AA0A3D"/>
    <w:rsid w:val="00AB4799"/>
    <w:rsid w:val="00AB6A6C"/>
    <w:rsid w:val="00AC0C87"/>
    <w:rsid w:val="00AE08DD"/>
    <w:rsid w:val="00AF107F"/>
    <w:rsid w:val="00B27E22"/>
    <w:rsid w:val="00B3353F"/>
    <w:rsid w:val="00B35FA3"/>
    <w:rsid w:val="00B4498A"/>
    <w:rsid w:val="00B606AD"/>
    <w:rsid w:val="00B80EFF"/>
    <w:rsid w:val="00B81ACE"/>
    <w:rsid w:val="00B93394"/>
    <w:rsid w:val="00B955EC"/>
    <w:rsid w:val="00BD7994"/>
    <w:rsid w:val="00BD7C7C"/>
    <w:rsid w:val="00BE1272"/>
    <w:rsid w:val="00BF4D9D"/>
    <w:rsid w:val="00BF7CF2"/>
    <w:rsid w:val="00C10181"/>
    <w:rsid w:val="00C21469"/>
    <w:rsid w:val="00C21811"/>
    <w:rsid w:val="00C23934"/>
    <w:rsid w:val="00C23A37"/>
    <w:rsid w:val="00C37055"/>
    <w:rsid w:val="00C41108"/>
    <w:rsid w:val="00C5201A"/>
    <w:rsid w:val="00C62FEE"/>
    <w:rsid w:val="00C64DC7"/>
    <w:rsid w:val="00C668A1"/>
    <w:rsid w:val="00C700C5"/>
    <w:rsid w:val="00C7761A"/>
    <w:rsid w:val="00CA25C6"/>
    <w:rsid w:val="00CB2476"/>
    <w:rsid w:val="00CC15A3"/>
    <w:rsid w:val="00CC76C5"/>
    <w:rsid w:val="00CD54FB"/>
    <w:rsid w:val="00CE4B51"/>
    <w:rsid w:val="00CF56FF"/>
    <w:rsid w:val="00CF5790"/>
    <w:rsid w:val="00CF6539"/>
    <w:rsid w:val="00D019BC"/>
    <w:rsid w:val="00D02B2D"/>
    <w:rsid w:val="00D12088"/>
    <w:rsid w:val="00D162A9"/>
    <w:rsid w:val="00D21A32"/>
    <w:rsid w:val="00D562C3"/>
    <w:rsid w:val="00D604F4"/>
    <w:rsid w:val="00D612B1"/>
    <w:rsid w:val="00D81E8A"/>
    <w:rsid w:val="00D90885"/>
    <w:rsid w:val="00D97311"/>
    <w:rsid w:val="00DA49C0"/>
    <w:rsid w:val="00DB2B17"/>
    <w:rsid w:val="00DC0ECE"/>
    <w:rsid w:val="00DD411C"/>
    <w:rsid w:val="00DE5163"/>
    <w:rsid w:val="00DE6ECF"/>
    <w:rsid w:val="00DF637D"/>
    <w:rsid w:val="00DF6F14"/>
    <w:rsid w:val="00E075D6"/>
    <w:rsid w:val="00E10420"/>
    <w:rsid w:val="00E14869"/>
    <w:rsid w:val="00E2459D"/>
    <w:rsid w:val="00E26925"/>
    <w:rsid w:val="00E3179D"/>
    <w:rsid w:val="00E353EC"/>
    <w:rsid w:val="00E65C21"/>
    <w:rsid w:val="00E74044"/>
    <w:rsid w:val="00E96F80"/>
    <w:rsid w:val="00EB59EE"/>
    <w:rsid w:val="00EC3842"/>
    <w:rsid w:val="00EE13D2"/>
    <w:rsid w:val="00EE5437"/>
    <w:rsid w:val="00EF508C"/>
    <w:rsid w:val="00F0145D"/>
    <w:rsid w:val="00F07958"/>
    <w:rsid w:val="00F1025B"/>
    <w:rsid w:val="00F14F45"/>
    <w:rsid w:val="00F259FE"/>
    <w:rsid w:val="00F31256"/>
    <w:rsid w:val="00F35545"/>
    <w:rsid w:val="00F404E9"/>
    <w:rsid w:val="00F41BB0"/>
    <w:rsid w:val="00F4386B"/>
    <w:rsid w:val="00F45612"/>
    <w:rsid w:val="00F61A75"/>
    <w:rsid w:val="00F90D8C"/>
    <w:rsid w:val="00FA4D0F"/>
    <w:rsid w:val="00FB2E18"/>
    <w:rsid w:val="00FB691E"/>
    <w:rsid w:val="00FD0F31"/>
    <w:rsid w:val="00FD7418"/>
    <w:rsid w:val="00FE3E3B"/>
    <w:rsid w:val="00FE4776"/>
    <w:rsid w:val="01095B3D"/>
    <w:rsid w:val="01172A03"/>
    <w:rsid w:val="014632E9"/>
    <w:rsid w:val="01973B44"/>
    <w:rsid w:val="01F64D0F"/>
    <w:rsid w:val="032B6341"/>
    <w:rsid w:val="038B7265"/>
    <w:rsid w:val="03EE0393"/>
    <w:rsid w:val="0434608D"/>
    <w:rsid w:val="04B50C64"/>
    <w:rsid w:val="04CA4511"/>
    <w:rsid w:val="04D76FC5"/>
    <w:rsid w:val="04EB042F"/>
    <w:rsid w:val="04F657D7"/>
    <w:rsid w:val="05377B18"/>
    <w:rsid w:val="053C0564"/>
    <w:rsid w:val="0563090D"/>
    <w:rsid w:val="05984C44"/>
    <w:rsid w:val="05D328B4"/>
    <w:rsid w:val="06161D2A"/>
    <w:rsid w:val="067508F8"/>
    <w:rsid w:val="06E01622"/>
    <w:rsid w:val="06E17D3B"/>
    <w:rsid w:val="070F27A4"/>
    <w:rsid w:val="07467442"/>
    <w:rsid w:val="07695741"/>
    <w:rsid w:val="07B453F6"/>
    <w:rsid w:val="08065580"/>
    <w:rsid w:val="08BF4690"/>
    <w:rsid w:val="091A7535"/>
    <w:rsid w:val="09C61355"/>
    <w:rsid w:val="0A051F93"/>
    <w:rsid w:val="0A7669ED"/>
    <w:rsid w:val="0AA5353C"/>
    <w:rsid w:val="0AD61857"/>
    <w:rsid w:val="0B19630D"/>
    <w:rsid w:val="0B4E7969"/>
    <w:rsid w:val="0B6D4294"/>
    <w:rsid w:val="0BA63367"/>
    <w:rsid w:val="0BE36304"/>
    <w:rsid w:val="0C026034"/>
    <w:rsid w:val="0C2150AB"/>
    <w:rsid w:val="0C7B685D"/>
    <w:rsid w:val="0CA45EC2"/>
    <w:rsid w:val="0CFD2EDC"/>
    <w:rsid w:val="0D620272"/>
    <w:rsid w:val="0D63718F"/>
    <w:rsid w:val="0DB461AA"/>
    <w:rsid w:val="0DCB159F"/>
    <w:rsid w:val="0E3F222E"/>
    <w:rsid w:val="0ED4010F"/>
    <w:rsid w:val="0EE54141"/>
    <w:rsid w:val="0EF07BA1"/>
    <w:rsid w:val="0EF3685E"/>
    <w:rsid w:val="0F02501C"/>
    <w:rsid w:val="0F2700A3"/>
    <w:rsid w:val="0F474DFC"/>
    <w:rsid w:val="0F9777A3"/>
    <w:rsid w:val="101A0CAD"/>
    <w:rsid w:val="1020072B"/>
    <w:rsid w:val="10817E99"/>
    <w:rsid w:val="10A6347B"/>
    <w:rsid w:val="10B23E66"/>
    <w:rsid w:val="111F6F75"/>
    <w:rsid w:val="11894147"/>
    <w:rsid w:val="11A014DC"/>
    <w:rsid w:val="11E659BD"/>
    <w:rsid w:val="121C2B6E"/>
    <w:rsid w:val="126E269F"/>
    <w:rsid w:val="12925A66"/>
    <w:rsid w:val="12BD0513"/>
    <w:rsid w:val="12C47E40"/>
    <w:rsid w:val="134D0507"/>
    <w:rsid w:val="135303B2"/>
    <w:rsid w:val="139F52BA"/>
    <w:rsid w:val="13DF6D57"/>
    <w:rsid w:val="13F6656E"/>
    <w:rsid w:val="14217AD4"/>
    <w:rsid w:val="14483D9C"/>
    <w:rsid w:val="14537D9F"/>
    <w:rsid w:val="146B333A"/>
    <w:rsid w:val="1481188B"/>
    <w:rsid w:val="148937C0"/>
    <w:rsid w:val="1492384F"/>
    <w:rsid w:val="14970342"/>
    <w:rsid w:val="14B309D0"/>
    <w:rsid w:val="150350AB"/>
    <w:rsid w:val="151B08BC"/>
    <w:rsid w:val="15612D4A"/>
    <w:rsid w:val="157B75AD"/>
    <w:rsid w:val="15A37B93"/>
    <w:rsid w:val="16007AB2"/>
    <w:rsid w:val="16021A7C"/>
    <w:rsid w:val="16B161A7"/>
    <w:rsid w:val="16C434A9"/>
    <w:rsid w:val="16D512C3"/>
    <w:rsid w:val="17215507"/>
    <w:rsid w:val="17435EA8"/>
    <w:rsid w:val="17B43051"/>
    <w:rsid w:val="17E10902"/>
    <w:rsid w:val="17FF3846"/>
    <w:rsid w:val="18415868"/>
    <w:rsid w:val="185365BF"/>
    <w:rsid w:val="18B76B4E"/>
    <w:rsid w:val="18DA283C"/>
    <w:rsid w:val="18F853FC"/>
    <w:rsid w:val="19650358"/>
    <w:rsid w:val="19947E51"/>
    <w:rsid w:val="19AC242B"/>
    <w:rsid w:val="19B46737"/>
    <w:rsid w:val="19F45B80"/>
    <w:rsid w:val="1A1B310D"/>
    <w:rsid w:val="1ABC48F0"/>
    <w:rsid w:val="1B0A4FC1"/>
    <w:rsid w:val="1B5F02C6"/>
    <w:rsid w:val="1B743824"/>
    <w:rsid w:val="1B7A57CD"/>
    <w:rsid w:val="1BC1568A"/>
    <w:rsid w:val="1BD9502D"/>
    <w:rsid w:val="1BE51C24"/>
    <w:rsid w:val="1C2C7853"/>
    <w:rsid w:val="1C5C02B9"/>
    <w:rsid w:val="1CCC60BD"/>
    <w:rsid w:val="1CDB6B83"/>
    <w:rsid w:val="1D44178B"/>
    <w:rsid w:val="1D5F5C29"/>
    <w:rsid w:val="1D7B25F9"/>
    <w:rsid w:val="1D943902"/>
    <w:rsid w:val="1DD23634"/>
    <w:rsid w:val="1DD435CF"/>
    <w:rsid w:val="1E040120"/>
    <w:rsid w:val="1E2F5459"/>
    <w:rsid w:val="1E31557C"/>
    <w:rsid w:val="1EC27C2B"/>
    <w:rsid w:val="1F3C306D"/>
    <w:rsid w:val="1FAD0CAB"/>
    <w:rsid w:val="2000702C"/>
    <w:rsid w:val="20855784"/>
    <w:rsid w:val="20A025BE"/>
    <w:rsid w:val="20BC7932"/>
    <w:rsid w:val="20D10C1A"/>
    <w:rsid w:val="213D7B18"/>
    <w:rsid w:val="214271D1"/>
    <w:rsid w:val="215A5A91"/>
    <w:rsid w:val="21BA76AF"/>
    <w:rsid w:val="21F8263A"/>
    <w:rsid w:val="22173356"/>
    <w:rsid w:val="22603DB2"/>
    <w:rsid w:val="22F34C27"/>
    <w:rsid w:val="23735D67"/>
    <w:rsid w:val="238D463C"/>
    <w:rsid w:val="241F1421"/>
    <w:rsid w:val="24AE4667"/>
    <w:rsid w:val="24B84374"/>
    <w:rsid w:val="24CD1374"/>
    <w:rsid w:val="2518296A"/>
    <w:rsid w:val="251946ED"/>
    <w:rsid w:val="252A1795"/>
    <w:rsid w:val="252F3079"/>
    <w:rsid w:val="261D23F6"/>
    <w:rsid w:val="264B69CB"/>
    <w:rsid w:val="266876DA"/>
    <w:rsid w:val="26B70F8C"/>
    <w:rsid w:val="27035654"/>
    <w:rsid w:val="273F24EB"/>
    <w:rsid w:val="279B3C39"/>
    <w:rsid w:val="27A1336A"/>
    <w:rsid w:val="27B748D0"/>
    <w:rsid w:val="284E0B51"/>
    <w:rsid w:val="288D569E"/>
    <w:rsid w:val="289C5F03"/>
    <w:rsid w:val="28A27C17"/>
    <w:rsid w:val="29086F52"/>
    <w:rsid w:val="29323FCF"/>
    <w:rsid w:val="2A3F4BF5"/>
    <w:rsid w:val="2A497822"/>
    <w:rsid w:val="2A5074BE"/>
    <w:rsid w:val="2AAF1D7B"/>
    <w:rsid w:val="2AD638F7"/>
    <w:rsid w:val="2AE67FD4"/>
    <w:rsid w:val="2BC76478"/>
    <w:rsid w:val="2C504E98"/>
    <w:rsid w:val="2CEB40BD"/>
    <w:rsid w:val="2D76092E"/>
    <w:rsid w:val="2DB713F7"/>
    <w:rsid w:val="2EAE23EB"/>
    <w:rsid w:val="2ECA4402"/>
    <w:rsid w:val="2EDC2A13"/>
    <w:rsid w:val="2FA66791"/>
    <w:rsid w:val="2FD66FEA"/>
    <w:rsid w:val="2FFC5CE0"/>
    <w:rsid w:val="300C37CC"/>
    <w:rsid w:val="30146116"/>
    <w:rsid w:val="303845C1"/>
    <w:rsid w:val="30967946"/>
    <w:rsid w:val="30BC0D4E"/>
    <w:rsid w:val="30DA11D4"/>
    <w:rsid w:val="30FE2F02"/>
    <w:rsid w:val="316C02D7"/>
    <w:rsid w:val="31865853"/>
    <w:rsid w:val="31A23F91"/>
    <w:rsid w:val="31AD4B3A"/>
    <w:rsid w:val="32226207"/>
    <w:rsid w:val="32566F80"/>
    <w:rsid w:val="32605374"/>
    <w:rsid w:val="32A71186"/>
    <w:rsid w:val="334D5756"/>
    <w:rsid w:val="339A2E9C"/>
    <w:rsid w:val="33B10912"/>
    <w:rsid w:val="33D53ED4"/>
    <w:rsid w:val="34876319"/>
    <w:rsid w:val="355A490A"/>
    <w:rsid w:val="35E036D5"/>
    <w:rsid w:val="366D14C7"/>
    <w:rsid w:val="367B32EA"/>
    <w:rsid w:val="36826596"/>
    <w:rsid w:val="370927D7"/>
    <w:rsid w:val="37665DA9"/>
    <w:rsid w:val="37B00EE0"/>
    <w:rsid w:val="37BC6E0D"/>
    <w:rsid w:val="38082ACA"/>
    <w:rsid w:val="383C09C6"/>
    <w:rsid w:val="38637D01"/>
    <w:rsid w:val="38B81807"/>
    <w:rsid w:val="38BB39B0"/>
    <w:rsid w:val="38FE7A29"/>
    <w:rsid w:val="391E459E"/>
    <w:rsid w:val="393D67A4"/>
    <w:rsid w:val="395B55C0"/>
    <w:rsid w:val="397A13EA"/>
    <w:rsid w:val="39B545D0"/>
    <w:rsid w:val="3A0C0CA1"/>
    <w:rsid w:val="3A233C76"/>
    <w:rsid w:val="3A7750E3"/>
    <w:rsid w:val="3A920D71"/>
    <w:rsid w:val="3A9C1B33"/>
    <w:rsid w:val="3A9C574C"/>
    <w:rsid w:val="3ABF4880"/>
    <w:rsid w:val="3AD62A0C"/>
    <w:rsid w:val="3B407196"/>
    <w:rsid w:val="3B49174A"/>
    <w:rsid w:val="3B893F22"/>
    <w:rsid w:val="3C4B742A"/>
    <w:rsid w:val="3C9F32D2"/>
    <w:rsid w:val="3D125E30"/>
    <w:rsid w:val="3D1605C3"/>
    <w:rsid w:val="3D5B544A"/>
    <w:rsid w:val="3D6041C5"/>
    <w:rsid w:val="3D62771D"/>
    <w:rsid w:val="3D8F3F83"/>
    <w:rsid w:val="3DC1203B"/>
    <w:rsid w:val="3DDF3DD1"/>
    <w:rsid w:val="3E481854"/>
    <w:rsid w:val="3F3E3276"/>
    <w:rsid w:val="3F484A5E"/>
    <w:rsid w:val="3F5C54AA"/>
    <w:rsid w:val="3F9B3780"/>
    <w:rsid w:val="40110EF1"/>
    <w:rsid w:val="406B7ABA"/>
    <w:rsid w:val="407F661D"/>
    <w:rsid w:val="40DF7BF3"/>
    <w:rsid w:val="40F01C62"/>
    <w:rsid w:val="41206E52"/>
    <w:rsid w:val="41A13D3C"/>
    <w:rsid w:val="421325E2"/>
    <w:rsid w:val="4230334A"/>
    <w:rsid w:val="423A301B"/>
    <w:rsid w:val="423D00AA"/>
    <w:rsid w:val="42A653BA"/>
    <w:rsid w:val="438F40A0"/>
    <w:rsid w:val="43DA7BB1"/>
    <w:rsid w:val="444B446B"/>
    <w:rsid w:val="4497038E"/>
    <w:rsid w:val="45174543"/>
    <w:rsid w:val="45FA13BF"/>
    <w:rsid w:val="461B19B5"/>
    <w:rsid w:val="46752090"/>
    <w:rsid w:val="468E063F"/>
    <w:rsid w:val="46F335C6"/>
    <w:rsid w:val="470A1011"/>
    <w:rsid w:val="470D3C59"/>
    <w:rsid w:val="4783216D"/>
    <w:rsid w:val="47923CE9"/>
    <w:rsid w:val="47AB59CE"/>
    <w:rsid w:val="481B05F8"/>
    <w:rsid w:val="48324730"/>
    <w:rsid w:val="488206B9"/>
    <w:rsid w:val="48EF57F7"/>
    <w:rsid w:val="490E1F0B"/>
    <w:rsid w:val="491104C5"/>
    <w:rsid w:val="49191068"/>
    <w:rsid w:val="49256404"/>
    <w:rsid w:val="496D09DF"/>
    <w:rsid w:val="4A01737A"/>
    <w:rsid w:val="4A61599D"/>
    <w:rsid w:val="4ADA20A4"/>
    <w:rsid w:val="4B257D58"/>
    <w:rsid w:val="4B86058C"/>
    <w:rsid w:val="4B8E40CD"/>
    <w:rsid w:val="4BB5666E"/>
    <w:rsid w:val="4BDB2578"/>
    <w:rsid w:val="4BDC6FA0"/>
    <w:rsid w:val="4BEB6533"/>
    <w:rsid w:val="4BF77019"/>
    <w:rsid w:val="4C1920E5"/>
    <w:rsid w:val="4C7A1FEA"/>
    <w:rsid w:val="4CC364FF"/>
    <w:rsid w:val="4CF7339A"/>
    <w:rsid w:val="4D0B1D33"/>
    <w:rsid w:val="4D650D63"/>
    <w:rsid w:val="4D9C6460"/>
    <w:rsid w:val="4E28581D"/>
    <w:rsid w:val="4E854E2E"/>
    <w:rsid w:val="4EC41512"/>
    <w:rsid w:val="4F0040A4"/>
    <w:rsid w:val="4F2E6F88"/>
    <w:rsid w:val="4F661D80"/>
    <w:rsid w:val="4F7C169E"/>
    <w:rsid w:val="4FD645B6"/>
    <w:rsid w:val="4FE87012"/>
    <w:rsid w:val="50205979"/>
    <w:rsid w:val="502D2C76"/>
    <w:rsid w:val="50660883"/>
    <w:rsid w:val="50C10D15"/>
    <w:rsid w:val="50C4378A"/>
    <w:rsid w:val="50D017B5"/>
    <w:rsid w:val="519D5BDA"/>
    <w:rsid w:val="520F0216"/>
    <w:rsid w:val="522307D5"/>
    <w:rsid w:val="522E2CD6"/>
    <w:rsid w:val="52326C6A"/>
    <w:rsid w:val="52C04276"/>
    <w:rsid w:val="532B4FCF"/>
    <w:rsid w:val="538A6632"/>
    <w:rsid w:val="53DE501C"/>
    <w:rsid w:val="53F3675D"/>
    <w:rsid w:val="546926EB"/>
    <w:rsid w:val="54D47B64"/>
    <w:rsid w:val="55020B76"/>
    <w:rsid w:val="554A1B79"/>
    <w:rsid w:val="557B0928"/>
    <w:rsid w:val="55CC1183"/>
    <w:rsid w:val="573E4B9B"/>
    <w:rsid w:val="574A090D"/>
    <w:rsid w:val="577E64AD"/>
    <w:rsid w:val="57BE4AFC"/>
    <w:rsid w:val="57C9597B"/>
    <w:rsid w:val="57D86ABF"/>
    <w:rsid w:val="57D870B7"/>
    <w:rsid w:val="582207E2"/>
    <w:rsid w:val="584A6390"/>
    <w:rsid w:val="58817B7F"/>
    <w:rsid w:val="58A27F7A"/>
    <w:rsid w:val="592060A2"/>
    <w:rsid w:val="5947124D"/>
    <w:rsid w:val="59AF294E"/>
    <w:rsid w:val="59D33E19"/>
    <w:rsid w:val="5A753DA0"/>
    <w:rsid w:val="5B0942E0"/>
    <w:rsid w:val="5B4850E1"/>
    <w:rsid w:val="5B4D6C51"/>
    <w:rsid w:val="5C463B85"/>
    <w:rsid w:val="5CB2227E"/>
    <w:rsid w:val="5D1256CE"/>
    <w:rsid w:val="5D5645FC"/>
    <w:rsid w:val="5D9407D9"/>
    <w:rsid w:val="5DB67216"/>
    <w:rsid w:val="5DD31646"/>
    <w:rsid w:val="5DEA34F6"/>
    <w:rsid w:val="5E9071F2"/>
    <w:rsid w:val="5F2733F4"/>
    <w:rsid w:val="5F445BE9"/>
    <w:rsid w:val="613F280A"/>
    <w:rsid w:val="614B7400"/>
    <w:rsid w:val="61616C24"/>
    <w:rsid w:val="61671904"/>
    <w:rsid w:val="617B39D0"/>
    <w:rsid w:val="618648DC"/>
    <w:rsid w:val="61F93380"/>
    <w:rsid w:val="620C3034"/>
    <w:rsid w:val="620E7D07"/>
    <w:rsid w:val="62917095"/>
    <w:rsid w:val="62BB70C8"/>
    <w:rsid w:val="630C0A5E"/>
    <w:rsid w:val="634C56B2"/>
    <w:rsid w:val="63764576"/>
    <w:rsid w:val="638766EA"/>
    <w:rsid w:val="64281C7B"/>
    <w:rsid w:val="643979E4"/>
    <w:rsid w:val="647D32AF"/>
    <w:rsid w:val="647D59F7"/>
    <w:rsid w:val="648F33BC"/>
    <w:rsid w:val="64DF440C"/>
    <w:rsid w:val="64EC6D0D"/>
    <w:rsid w:val="658B0713"/>
    <w:rsid w:val="65B75972"/>
    <w:rsid w:val="65F22540"/>
    <w:rsid w:val="6612673F"/>
    <w:rsid w:val="661834F1"/>
    <w:rsid w:val="66305B6C"/>
    <w:rsid w:val="66862C89"/>
    <w:rsid w:val="66B55EF1"/>
    <w:rsid w:val="66CF2882"/>
    <w:rsid w:val="685F7C35"/>
    <w:rsid w:val="689B7933"/>
    <w:rsid w:val="68E819D9"/>
    <w:rsid w:val="693C3AD3"/>
    <w:rsid w:val="6A0171F6"/>
    <w:rsid w:val="6A021646"/>
    <w:rsid w:val="6A102F95"/>
    <w:rsid w:val="6AB87893"/>
    <w:rsid w:val="6B9F6CA0"/>
    <w:rsid w:val="6BB512CB"/>
    <w:rsid w:val="6BFA3EFD"/>
    <w:rsid w:val="6C270A6A"/>
    <w:rsid w:val="6C723BC9"/>
    <w:rsid w:val="6C783974"/>
    <w:rsid w:val="6CC3749B"/>
    <w:rsid w:val="6DCC3138"/>
    <w:rsid w:val="6DDB1326"/>
    <w:rsid w:val="6DFD7CD4"/>
    <w:rsid w:val="6E073DE9"/>
    <w:rsid w:val="6E364482"/>
    <w:rsid w:val="6E57007A"/>
    <w:rsid w:val="6EBF6DA5"/>
    <w:rsid w:val="6F5953DE"/>
    <w:rsid w:val="6F9D769B"/>
    <w:rsid w:val="6FCD7C56"/>
    <w:rsid w:val="701D465E"/>
    <w:rsid w:val="703A7C5E"/>
    <w:rsid w:val="70530681"/>
    <w:rsid w:val="70654CCB"/>
    <w:rsid w:val="706C2EEF"/>
    <w:rsid w:val="70BB79D3"/>
    <w:rsid w:val="70C411FC"/>
    <w:rsid w:val="70E1438C"/>
    <w:rsid w:val="716418D2"/>
    <w:rsid w:val="718D75C1"/>
    <w:rsid w:val="71D3381F"/>
    <w:rsid w:val="72267847"/>
    <w:rsid w:val="72292BC2"/>
    <w:rsid w:val="7258197D"/>
    <w:rsid w:val="726D5AD9"/>
    <w:rsid w:val="72780A82"/>
    <w:rsid w:val="731A7BDB"/>
    <w:rsid w:val="73620EE4"/>
    <w:rsid w:val="74237D69"/>
    <w:rsid w:val="74387230"/>
    <w:rsid w:val="752C2CC2"/>
    <w:rsid w:val="757F4E35"/>
    <w:rsid w:val="75B72E5F"/>
    <w:rsid w:val="75CE4DC0"/>
    <w:rsid w:val="75D46395"/>
    <w:rsid w:val="75E30078"/>
    <w:rsid w:val="76197675"/>
    <w:rsid w:val="76692013"/>
    <w:rsid w:val="768F5938"/>
    <w:rsid w:val="77642B72"/>
    <w:rsid w:val="777340BC"/>
    <w:rsid w:val="779A47E6"/>
    <w:rsid w:val="779A6594"/>
    <w:rsid w:val="77C5141D"/>
    <w:rsid w:val="77E36E82"/>
    <w:rsid w:val="77F959B0"/>
    <w:rsid w:val="780D4FB8"/>
    <w:rsid w:val="781E0F73"/>
    <w:rsid w:val="78502742"/>
    <w:rsid w:val="78654C1B"/>
    <w:rsid w:val="787B0173"/>
    <w:rsid w:val="78DB58AB"/>
    <w:rsid w:val="78E730C6"/>
    <w:rsid w:val="7928358B"/>
    <w:rsid w:val="7939729E"/>
    <w:rsid w:val="79BC4EE7"/>
    <w:rsid w:val="79BD47BC"/>
    <w:rsid w:val="79BE5097"/>
    <w:rsid w:val="79D20267"/>
    <w:rsid w:val="7A2648F1"/>
    <w:rsid w:val="7A481F43"/>
    <w:rsid w:val="7AA1561D"/>
    <w:rsid w:val="7ABA4F58"/>
    <w:rsid w:val="7B136D89"/>
    <w:rsid w:val="7BA3183D"/>
    <w:rsid w:val="7BBD458C"/>
    <w:rsid w:val="7BC77B74"/>
    <w:rsid w:val="7BCE42F4"/>
    <w:rsid w:val="7BCF19F9"/>
    <w:rsid w:val="7BEC7610"/>
    <w:rsid w:val="7BEEF20D"/>
    <w:rsid w:val="7C2C027F"/>
    <w:rsid w:val="7C3D3FF9"/>
    <w:rsid w:val="7CF243B2"/>
    <w:rsid w:val="7D1B0784"/>
    <w:rsid w:val="7D535DB8"/>
    <w:rsid w:val="7D9C22A7"/>
    <w:rsid w:val="7DA168CE"/>
    <w:rsid w:val="7DF764EE"/>
    <w:rsid w:val="7E53749D"/>
    <w:rsid w:val="7EE20E32"/>
    <w:rsid w:val="7F007624"/>
    <w:rsid w:val="7F4734A5"/>
    <w:rsid w:val="7F7F6FE8"/>
    <w:rsid w:val="7F867122"/>
    <w:rsid w:val="7F89761A"/>
    <w:rsid w:val="7FA73F44"/>
    <w:rsid w:val="CFEF02AF"/>
    <w:rsid w:val="DA5F6331"/>
    <w:rsid w:val="FFD83D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3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239"/>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8"/>
    <w:link w:val="24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241"/>
    <w:qFormat/>
    <w:uiPriority w:val="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242"/>
    <w:qFormat/>
    <w:uiPriority w:val="9"/>
    <w:pPr>
      <w:keepNext/>
      <w:keepLines/>
      <w:numPr>
        <w:ilvl w:val="6"/>
        <w:numId w:val="1"/>
      </w:numPr>
      <w:spacing w:before="240" w:after="64" w:line="320" w:lineRule="auto"/>
      <w:outlineLvl w:val="6"/>
    </w:pPr>
    <w:rPr>
      <w:b/>
      <w:sz w:val="24"/>
    </w:rPr>
  </w:style>
  <w:style w:type="paragraph" w:styleId="11">
    <w:name w:val="heading 8"/>
    <w:basedOn w:val="1"/>
    <w:next w:val="8"/>
    <w:link w:val="243"/>
    <w:qFormat/>
    <w:uiPriority w:val="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244"/>
    <w:qFormat/>
    <w:uiPriority w:val="9"/>
    <w:pPr>
      <w:keepNext/>
      <w:keepLines/>
      <w:numPr>
        <w:ilvl w:val="8"/>
        <w:numId w:val="1"/>
      </w:numPr>
      <w:spacing w:before="240" w:after="64" w:line="320" w:lineRule="auto"/>
      <w:outlineLvl w:val="8"/>
    </w:pPr>
    <w:rPr>
      <w:rFonts w:ascii="Arial" w:hAnsi="Arial" w:eastAsia="黑体"/>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8">
    <w:name w:val="Normal Indent"/>
    <w:basedOn w:val="1"/>
    <w:qFormat/>
    <w:uiPriority w:val="0"/>
    <w:pPr>
      <w:ind w:firstLine="420"/>
    </w:pPr>
    <w:rPr>
      <w:szCs w:val="20"/>
    </w:rPr>
  </w:style>
  <w:style w:type="paragraph" w:styleId="13">
    <w:name w:val="toc 7"/>
    <w:basedOn w:val="1"/>
    <w:next w:val="1"/>
    <w:qFormat/>
    <w:uiPriority w:val="39"/>
    <w:pPr>
      <w:ind w:left="2520" w:leftChars="1200"/>
    </w:pPr>
    <w:rPr>
      <w:rFonts w:ascii="Calibri" w:hAnsi="Calibri"/>
      <w:szCs w:val="22"/>
    </w:rPr>
  </w:style>
  <w:style w:type="paragraph" w:styleId="14">
    <w:name w:val="table of authorities"/>
    <w:basedOn w:val="1"/>
    <w:next w:val="1"/>
    <w:qFormat/>
    <w:uiPriority w:val="99"/>
    <w:pPr>
      <w:ind w:left="420" w:leftChars="200"/>
    </w:pPr>
  </w:style>
  <w:style w:type="paragraph" w:styleId="15">
    <w:name w:val="index 8"/>
    <w:basedOn w:val="1"/>
    <w:next w:val="1"/>
    <w:qFormat/>
    <w:uiPriority w:val="99"/>
    <w:pPr>
      <w:widowControl/>
      <w:spacing w:before="100" w:after="200" w:line="276" w:lineRule="auto"/>
      <w:ind w:left="1680" w:hanging="210"/>
      <w:jc w:val="left"/>
    </w:pPr>
    <w:rPr>
      <w:rFonts w:ascii="Calibri" w:hAnsi="Calibri" w:eastAsia="楷体_GB2312"/>
      <w:kern w:val="0"/>
      <w:sz w:val="24"/>
      <w:szCs w:val="20"/>
    </w:rPr>
  </w:style>
  <w:style w:type="paragraph" w:styleId="1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35"/>
    <w:pPr>
      <w:spacing w:before="152" w:after="160"/>
    </w:pPr>
    <w:rPr>
      <w:rFonts w:ascii="Arial" w:hAnsi="Arial" w:eastAsia="黑体" w:cs="Arial"/>
      <w:sz w:val="20"/>
      <w:szCs w:val="20"/>
    </w:rPr>
  </w:style>
  <w:style w:type="paragraph" w:styleId="18">
    <w:name w:val="index 5"/>
    <w:basedOn w:val="1"/>
    <w:next w:val="1"/>
    <w:qFormat/>
    <w:uiPriority w:val="99"/>
    <w:pPr>
      <w:widowControl/>
      <w:spacing w:before="100" w:after="200" w:line="276" w:lineRule="auto"/>
      <w:ind w:left="1050" w:hanging="210"/>
      <w:jc w:val="left"/>
    </w:pPr>
    <w:rPr>
      <w:rFonts w:ascii="Calibri" w:hAnsi="Calibri" w:eastAsia="楷体_GB2312"/>
      <w:kern w:val="0"/>
      <w:sz w:val="24"/>
      <w:szCs w:val="20"/>
    </w:rPr>
  </w:style>
  <w:style w:type="paragraph" w:styleId="19">
    <w:name w:val="Document Map"/>
    <w:basedOn w:val="1"/>
    <w:link w:val="245"/>
    <w:qFormat/>
    <w:uiPriority w:val="99"/>
    <w:pPr>
      <w:shd w:val="clear" w:color="auto" w:fill="000080"/>
    </w:pPr>
    <w:rPr>
      <w:rFonts w:ascii="宋体" w:hAnsi="宋体"/>
      <w:kern w:val="0"/>
      <w:sz w:val="20"/>
      <w:szCs w:val="20"/>
    </w:rPr>
  </w:style>
  <w:style w:type="paragraph" w:styleId="20">
    <w:name w:val="annotation text"/>
    <w:basedOn w:val="1"/>
    <w:link w:val="246"/>
    <w:qFormat/>
    <w:uiPriority w:val="99"/>
    <w:pPr>
      <w:jc w:val="left"/>
    </w:pPr>
  </w:style>
  <w:style w:type="paragraph" w:styleId="21">
    <w:name w:val="index 6"/>
    <w:basedOn w:val="1"/>
    <w:next w:val="1"/>
    <w:qFormat/>
    <w:uiPriority w:val="99"/>
    <w:pPr>
      <w:widowControl/>
      <w:spacing w:before="100" w:after="200" w:line="276" w:lineRule="auto"/>
      <w:ind w:left="1260" w:hanging="210"/>
      <w:jc w:val="left"/>
    </w:pPr>
    <w:rPr>
      <w:rFonts w:ascii="Calibri" w:hAnsi="Calibri" w:eastAsia="楷体_GB2312"/>
      <w:kern w:val="0"/>
      <w:sz w:val="24"/>
      <w:szCs w:val="20"/>
    </w:rPr>
  </w:style>
  <w:style w:type="paragraph" w:styleId="22">
    <w:name w:val="Body Text 3"/>
    <w:basedOn w:val="1"/>
    <w:link w:val="247"/>
    <w:qFormat/>
    <w:uiPriority w:val="0"/>
    <w:pPr>
      <w:spacing w:line="500" w:lineRule="exact"/>
    </w:pPr>
    <w:rPr>
      <w:b/>
      <w:bCs/>
      <w:kern w:val="0"/>
      <w:sz w:val="24"/>
    </w:rPr>
  </w:style>
  <w:style w:type="paragraph" w:styleId="23">
    <w:name w:val="Body Text"/>
    <w:basedOn w:val="1"/>
    <w:next w:val="1"/>
    <w:link w:val="248"/>
    <w:qFormat/>
    <w:uiPriority w:val="99"/>
    <w:pPr>
      <w:spacing w:line="380" w:lineRule="exact"/>
    </w:pPr>
    <w:rPr>
      <w:kern w:val="0"/>
      <w:sz w:val="24"/>
    </w:rPr>
  </w:style>
  <w:style w:type="paragraph" w:styleId="24">
    <w:name w:val="Body Text Indent"/>
    <w:basedOn w:val="1"/>
    <w:next w:val="1"/>
    <w:link w:val="250"/>
    <w:qFormat/>
    <w:uiPriority w:val="0"/>
    <w:pPr>
      <w:ind w:firstLine="830" w:firstLineChars="352"/>
    </w:pPr>
    <w:rPr>
      <w:rFonts w:ascii="仿宋_GB2312" w:eastAsia="仿宋_GB2312"/>
      <w:kern w:val="0"/>
      <w:sz w:val="32"/>
      <w:szCs w:val="20"/>
    </w:rPr>
  </w:style>
  <w:style w:type="paragraph" w:styleId="25">
    <w:name w:val="List Number 3"/>
    <w:basedOn w:val="1"/>
    <w:qFormat/>
    <w:uiPriority w:val="99"/>
    <w:pPr>
      <w:numPr>
        <w:ilvl w:val="0"/>
        <w:numId w:val="2"/>
      </w:numPr>
    </w:pPr>
  </w:style>
  <w:style w:type="paragraph" w:styleId="26">
    <w:name w:val="List 2"/>
    <w:basedOn w:val="1"/>
    <w:qFormat/>
    <w:uiPriority w:val="99"/>
    <w:pPr>
      <w:ind w:left="100" w:leftChars="200" w:hanging="200" w:hangingChars="200"/>
    </w:pPr>
    <w:rPr>
      <w:sz w:val="28"/>
    </w:rPr>
  </w:style>
  <w:style w:type="paragraph" w:styleId="27">
    <w:name w:val="HTML Address"/>
    <w:basedOn w:val="1"/>
    <w:link w:val="251"/>
    <w:qFormat/>
    <w:uiPriority w:val="0"/>
    <w:pPr>
      <w:widowControl/>
      <w:spacing w:before="100" w:after="200" w:line="276" w:lineRule="auto"/>
      <w:jc w:val="left"/>
    </w:pPr>
    <w:rPr>
      <w:rFonts w:ascii="Calibri" w:hAnsi="Calibri" w:eastAsia="楷体_GB2312"/>
      <w:i/>
      <w:iCs/>
      <w:kern w:val="0"/>
      <w:sz w:val="24"/>
      <w:szCs w:val="20"/>
    </w:rPr>
  </w:style>
  <w:style w:type="paragraph" w:styleId="28">
    <w:name w:val="index 4"/>
    <w:basedOn w:val="1"/>
    <w:next w:val="1"/>
    <w:qFormat/>
    <w:uiPriority w:val="99"/>
    <w:pPr>
      <w:widowControl/>
      <w:spacing w:before="100" w:after="200" w:line="276" w:lineRule="auto"/>
      <w:ind w:left="840" w:hanging="210"/>
      <w:jc w:val="left"/>
    </w:pPr>
    <w:rPr>
      <w:rFonts w:ascii="Calibri" w:hAnsi="Calibri" w:eastAsia="楷体_GB2312"/>
      <w:kern w:val="0"/>
      <w:sz w:val="24"/>
      <w:szCs w:val="20"/>
    </w:rPr>
  </w:style>
  <w:style w:type="paragraph" w:styleId="29">
    <w:name w:val="toc 5"/>
    <w:basedOn w:val="1"/>
    <w:next w:val="1"/>
    <w:qFormat/>
    <w:uiPriority w:val="39"/>
    <w:pPr>
      <w:ind w:left="1680" w:leftChars="800"/>
    </w:pPr>
    <w:rPr>
      <w:rFonts w:ascii="Calibri" w:hAnsi="Calibri"/>
      <w:szCs w:val="22"/>
    </w:rPr>
  </w:style>
  <w:style w:type="paragraph" w:styleId="30">
    <w:name w:val="toc 3"/>
    <w:basedOn w:val="1"/>
    <w:next w:val="1"/>
    <w:qFormat/>
    <w:uiPriority w:val="39"/>
    <w:pPr>
      <w:ind w:left="840" w:leftChars="400"/>
    </w:pPr>
    <w:rPr>
      <w:rFonts w:ascii="Calibri" w:hAnsi="Calibri"/>
      <w:szCs w:val="22"/>
    </w:rPr>
  </w:style>
  <w:style w:type="paragraph" w:styleId="31">
    <w:name w:val="Plain Text"/>
    <w:basedOn w:val="1"/>
    <w:next w:val="6"/>
    <w:link w:val="252"/>
    <w:qFormat/>
    <w:uiPriority w:val="0"/>
    <w:rPr>
      <w:rFonts w:ascii="宋体" w:hAnsi="Courier New"/>
      <w:kern w:val="0"/>
      <w:sz w:val="20"/>
      <w:szCs w:val="21"/>
    </w:rPr>
  </w:style>
  <w:style w:type="paragraph" w:styleId="32">
    <w:name w:val="toc 8"/>
    <w:basedOn w:val="1"/>
    <w:next w:val="1"/>
    <w:qFormat/>
    <w:uiPriority w:val="39"/>
    <w:pPr>
      <w:ind w:left="2940" w:leftChars="1400"/>
    </w:pPr>
    <w:rPr>
      <w:rFonts w:ascii="Calibri" w:hAnsi="Calibri"/>
      <w:szCs w:val="22"/>
    </w:rPr>
  </w:style>
  <w:style w:type="paragraph" w:styleId="33">
    <w:name w:val="index 3"/>
    <w:basedOn w:val="1"/>
    <w:next w:val="1"/>
    <w:qFormat/>
    <w:uiPriority w:val="99"/>
    <w:pPr>
      <w:widowControl/>
      <w:spacing w:before="100" w:after="200" w:line="276" w:lineRule="auto"/>
      <w:ind w:left="630" w:hanging="210"/>
      <w:jc w:val="left"/>
    </w:pPr>
    <w:rPr>
      <w:rFonts w:ascii="Calibri" w:hAnsi="Calibri" w:eastAsia="楷体_GB2312"/>
      <w:kern w:val="0"/>
      <w:sz w:val="24"/>
      <w:szCs w:val="20"/>
    </w:rPr>
  </w:style>
  <w:style w:type="paragraph" w:styleId="34">
    <w:name w:val="Date"/>
    <w:basedOn w:val="1"/>
    <w:next w:val="1"/>
    <w:link w:val="253"/>
    <w:qFormat/>
    <w:uiPriority w:val="99"/>
    <w:pPr>
      <w:ind w:left="100" w:leftChars="2500"/>
    </w:pPr>
    <w:rPr>
      <w:rFonts w:ascii="宋体" w:hAnsi="Courier New"/>
      <w:kern w:val="0"/>
      <w:sz w:val="20"/>
      <w:szCs w:val="21"/>
    </w:rPr>
  </w:style>
  <w:style w:type="paragraph" w:styleId="35">
    <w:name w:val="Body Text Indent 2"/>
    <w:basedOn w:val="1"/>
    <w:link w:val="254"/>
    <w:qFormat/>
    <w:uiPriority w:val="99"/>
    <w:pPr>
      <w:ind w:firstLine="630"/>
    </w:pPr>
    <w:rPr>
      <w:kern w:val="0"/>
      <w:sz w:val="32"/>
      <w:szCs w:val="20"/>
    </w:rPr>
  </w:style>
  <w:style w:type="paragraph" w:styleId="36">
    <w:name w:val="endnote text"/>
    <w:basedOn w:val="1"/>
    <w:link w:val="255"/>
    <w:qFormat/>
    <w:uiPriority w:val="99"/>
    <w:pPr>
      <w:snapToGrid w:val="0"/>
      <w:jc w:val="left"/>
    </w:pPr>
  </w:style>
  <w:style w:type="paragraph" w:styleId="37">
    <w:name w:val="Balloon Text"/>
    <w:basedOn w:val="1"/>
    <w:link w:val="256"/>
    <w:qFormat/>
    <w:uiPriority w:val="99"/>
    <w:rPr>
      <w:kern w:val="0"/>
      <w:sz w:val="18"/>
      <w:szCs w:val="18"/>
    </w:rPr>
  </w:style>
  <w:style w:type="paragraph" w:styleId="38">
    <w:name w:val="footer"/>
    <w:basedOn w:val="1"/>
    <w:next w:val="39"/>
    <w:link w:val="257"/>
    <w:qFormat/>
    <w:uiPriority w:val="99"/>
    <w:pPr>
      <w:tabs>
        <w:tab w:val="center" w:pos="4153"/>
        <w:tab w:val="right" w:pos="8306"/>
      </w:tabs>
      <w:snapToGrid w:val="0"/>
      <w:jc w:val="left"/>
    </w:pPr>
    <w:rPr>
      <w:kern w:val="0"/>
      <w:sz w:val="18"/>
      <w:szCs w:val="18"/>
    </w:rPr>
  </w:style>
  <w:style w:type="paragraph" w:styleId="39">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40">
    <w:name w:val="header"/>
    <w:basedOn w:val="1"/>
    <w:link w:val="249"/>
    <w:qFormat/>
    <w:uiPriority w:val="99"/>
    <w:pPr>
      <w:pBdr>
        <w:bottom w:val="single" w:color="auto" w:sz="6" w:space="1"/>
      </w:pBdr>
      <w:tabs>
        <w:tab w:val="center" w:pos="0"/>
        <w:tab w:val="left" w:pos="8306"/>
      </w:tabs>
      <w:snapToGrid w:val="0"/>
      <w:jc w:val="center"/>
    </w:pPr>
    <w:rPr>
      <w:sz w:val="18"/>
      <w:szCs w:val="18"/>
    </w:rPr>
  </w:style>
  <w:style w:type="paragraph" w:styleId="4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2">
    <w:name w:val="toc 4"/>
    <w:basedOn w:val="1"/>
    <w:next w:val="1"/>
    <w:qFormat/>
    <w:uiPriority w:val="99"/>
    <w:pPr>
      <w:ind w:left="1260" w:leftChars="600"/>
    </w:pPr>
    <w:rPr>
      <w:rFonts w:ascii="Calibri" w:hAnsi="Calibri"/>
      <w:szCs w:val="22"/>
    </w:rPr>
  </w:style>
  <w:style w:type="paragraph" w:styleId="43">
    <w:name w:val="index heading"/>
    <w:basedOn w:val="1"/>
    <w:next w:val="44"/>
    <w:qFormat/>
    <w:uiPriority w:val="99"/>
    <w:pPr>
      <w:widowControl/>
      <w:spacing w:before="120" w:after="120" w:line="276" w:lineRule="auto"/>
      <w:jc w:val="center"/>
    </w:pPr>
    <w:rPr>
      <w:rFonts w:ascii="Calibri" w:hAnsi="Calibri" w:eastAsia="楷体_GB2312"/>
      <w:b/>
      <w:bCs/>
      <w:iCs/>
      <w:kern w:val="0"/>
      <w:sz w:val="24"/>
      <w:szCs w:val="20"/>
    </w:rPr>
  </w:style>
  <w:style w:type="paragraph" w:styleId="44">
    <w:name w:val="index 1"/>
    <w:basedOn w:val="1"/>
    <w:next w:val="1"/>
    <w:qFormat/>
    <w:uiPriority w:val="99"/>
    <w:pPr>
      <w:spacing w:line="400" w:lineRule="exact"/>
      <w:ind w:firstLine="420" w:firstLineChars="200"/>
    </w:pPr>
    <w:rPr>
      <w:rFonts w:ascii="宋体" w:hAnsi="Courier New"/>
      <w:b/>
      <w:szCs w:val="20"/>
    </w:rPr>
  </w:style>
  <w:style w:type="paragraph" w:styleId="45">
    <w:name w:val="Subtitle"/>
    <w:basedOn w:val="1"/>
    <w:next w:val="1"/>
    <w:link w:val="258"/>
    <w:qFormat/>
    <w:uiPriority w:val="11"/>
    <w:pPr>
      <w:widowControl/>
      <w:spacing w:after="500"/>
      <w:jc w:val="left"/>
    </w:pPr>
    <w:rPr>
      <w:rFonts w:ascii="Calibri" w:hAnsi="Calibri" w:eastAsia="楷体_GB2312"/>
      <w:caps/>
      <w:color w:val="595959"/>
      <w:spacing w:val="10"/>
      <w:kern w:val="0"/>
      <w:szCs w:val="21"/>
    </w:rPr>
  </w:style>
  <w:style w:type="paragraph" w:styleId="46">
    <w:name w:val="List"/>
    <w:basedOn w:val="1"/>
    <w:qFormat/>
    <w:uiPriority w:val="99"/>
    <w:pPr>
      <w:ind w:left="200" w:hanging="200" w:hangingChars="200"/>
    </w:pPr>
    <w:rPr>
      <w:sz w:val="28"/>
    </w:rPr>
  </w:style>
  <w:style w:type="paragraph" w:styleId="47">
    <w:name w:val="footnote text"/>
    <w:basedOn w:val="1"/>
    <w:link w:val="259"/>
    <w:qFormat/>
    <w:uiPriority w:val="99"/>
    <w:pPr>
      <w:snapToGrid w:val="0"/>
      <w:jc w:val="left"/>
    </w:pPr>
    <w:rPr>
      <w:sz w:val="18"/>
      <w:szCs w:val="18"/>
    </w:rPr>
  </w:style>
  <w:style w:type="paragraph" w:styleId="48">
    <w:name w:val="toc 6"/>
    <w:basedOn w:val="1"/>
    <w:next w:val="1"/>
    <w:qFormat/>
    <w:uiPriority w:val="39"/>
    <w:pPr>
      <w:ind w:left="2100" w:leftChars="1000"/>
    </w:pPr>
    <w:rPr>
      <w:rFonts w:ascii="Calibri" w:hAnsi="Calibri"/>
      <w:szCs w:val="22"/>
    </w:rPr>
  </w:style>
  <w:style w:type="paragraph" w:styleId="49">
    <w:name w:val="Body Text Indent 3"/>
    <w:basedOn w:val="1"/>
    <w:link w:val="260"/>
    <w:qFormat/>
    <w:uiPriority w:val="99"/>
    <w:pPr>
      <w:spacing w:after="120"/>
      <w:ind w:left="420" w:leftChars="200"/>
    </w:pPr>
    <w:rPr>
      <w:kern w:val="0"/>
      <w:sz w:val="16"/>
      <w:szCs w:val="16"/>
    </w:rPr>
  </w:style>
  <w:style w:type="paragraph" w:styleId="50">
    <w:name w:val="index 7"/>
    <w:basedOn w:val="1"/>
    <w:next w:val="1"/>
    <w:qFormat/>
    <w:uiPriority w:val="99"/>
    <w:pPr>
      <w:widowControl/>
      <w:spacing w:before="100" w:after="200" w:line="276" w:lineRule="auto"/>
      <w:ind w:left="1470" w:hanging="210"/>
      <w:jc w:val="left"/>
    </w:pPr>
    <w:rPr>
      <w:rFonts w:ascii="Calibri" w:hAnsi="Calibri" w:eastAsia="楷体_GB2312"/>
      <w:kern w:val="0"/>
      <w:sz w:val="24"/>
      <w:szCs w:val="20"/>
    </w:rPr>
  </w:style>
  <w:style w:type="paragraph" w:styleId="51">
    <w:name w:val="index 9"/>
    <w:basedOn w:val="1"/>
    <w:next w:val="1"/>
    <w:qFormat/>
    <w:uiPriority w:val="99"/>
    <w:pPr>
      <w:widowControl/>
      <w:spacing w:before="100" w:after="200" w:line="276" w:lineRule="auto"/>
      <w:ind w:left="1890" w:hanging="210"/>
      <w:jc w:val="left"/>
    </w:pPr>
    <w:rPr>
      <w:rFonts w:ascii="Calibri" w:hAnsi="Calibri" w:eastAsia="楷体_GB2312"/>
      <w:kern w:val="0"/>
      <w:sz w:val="24"/>
      <w:szCs w:val="20"/>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rPr>
      <w:rFonts w:ascii="Calibri" w:hAnsi="Calibri"/>
      <w:szCs w:val="22"/>
    </w:rPr>
  </w:style>
  <w:style w:type="paragraph" w:styleId="54">
    <w:name w:val="Body Text 2"/>
    <w:basedOn w:val="1"/>
    <w:link w:val="261"/>
    <w:qFormat/>
    <w:uiPriority w:val="99"/>
    <w:pPr>
      <w:spacing w:after="120" w:line="480" w:lineRule="auto"/>
    </w:pPr>
    <w:rPr>
      <w:kern w:val="0"/>
      <w:sz w:val="20"/>
    </w:rPr>
  </w:style>
  <w:style w:type="paragraph" w:styleId="55">
    <w:name w:val="HTML Preformatted"/>
    <w:basedOn w:val="1"/>
    <w:link w:val="2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hAnsi="Courier New" w:eastAsia="楷体_GB2312"/>
      <w:kern w:val="0"/>
      <w:sz w:val="24"/>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index 2"/>
    <w:basedOn w:val="1"/>
    <w:next w:val="1"/>
    <w:qFormat/>
    <w:uiPriority w:val="99"/>
    <w:pPr>
      <w:widowControl/>
      <w:spacing w:before="100" w:after="200" w:line="276" w:lineRule="auto"/>
      <w:ind w:left="420" w:hanging="210"/>
      <w:jc w:val="left"/>
    </w:pPr>
    <w:rPr>
      <w:rFonts w:ascii="Calibri" w:hAnsi="Calibri" w:eastAsia="楷体_GB2312"/>
      <w:kern w:val="0"/>
      <w:sz w:val="24"/>
      <w:szCs w:val="20"/>
    </w:rPr>
  </w:style>
  <w:style w:type="paragraph" w:styleId="58">
    <w:name w:val="Title"/>
    <w:basedOn w:val="1"/>
    <w:next w:val="1"/>
    <w:link w:val="263"/>
    <w:qFormat/>
    <w:uiPriority w:val="99"/>
    <w:pPr>
      <w:spacing w:before="240" w:after="60"/>
      <w:jc w:val="center"/>
      <w:outlineLvl w:val="0"/>
    </w:pPr>
    <w:rPr>
      <w:rFonts w:ascii="Cambria" w:hAnsi="Cambria"/>
      <w:b/>
      <w:bCs/>
      <w:sz w:val="32"/>
      <w:szCs w:val="32"/>
    </w:rPr>
  </w:style>
  <w:style w:type="paragraph" w:styleId="59">
    <w:name w:val="annotation subject"/>
    <w:basedOn w:val="20"/>
    <w:next w:val="20"/>
    <w:link w:val="264"/>
    <w:qFormat/>
    <w:uiPriority w:val="99"/>
    <w:rPr>
      <w:b/>
      <w:bCs/>
    </w:rPr>
  </w:style>
  <w:style w:type="paragraph" w:styleId="60">
    <w:name w:val="Body Text First Indent"/>
    <w:basedOn w:val="23"/>
    <w:next w:val="1"/>
    <w:link w:val="265"/>
    <w:qFormat/>
    <w:uiPriority w:val="99"/>
    <w:pPr>
      <w:ind w:firstLine="420" w:firstLineChars="100"/>
    </w:pPr>
    <w:rPr>
      <w:rFonts w:ascii="微软雅黑" w:hAnsi="微软雅黑" w:eastAsia="微软雅黑"/>
      <w:szCs w:val="21"/>
    </w:rPr>
  </w:style>
  <w:style w:type="paragraph" w:styleId="61">
    <w:name w:val="Body Text First Indent 2"/>
    <w:basedOn w:val="24"/>
    <w:next w:val="60"/>
    <w:link w:val="266"/>
    <w:qFormat/>
    <w:uiPriority w:val="99"/>
    <w:pPr>
      <w:shd w:val="clear" w:color="auto" w:fill="FFFFFF"/>
      <w:spacing w:after="120"/>
      <w:ind w:left="420" w:firstLine="420" w:firstLineChars="0"/>
    </w:pPr>
    <w:rPr>
      <w:sz w:val="21"/>
      <w:szCs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endnote reference"/>
    <w:qFormat/>
    <w:uiPriority w:val="99"/>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20"/>
    <w:rPr>
      <w:caps/>
      <w:color w:val="1F4D78"/>
      <w:spacing w:val="5"/>
    </w:rPr>
  </w:style>
  <w:style w:type="character" w:styleId="70">
    <w:name w:val="HTML Typewriter"/>
    <w:qFormat/>
    <w:uiPriority w:val="0"/>
    <w:rPr>
      <w:rFonts w:hint="default" w:ascii="Courier New" w:hAnsi="Courier New" w:eastAsia="Times New Roman" w:cs="Times New Roman"/>
      <w:sz w:val="24"/>
      <w:szCs w:val="24"/>
    </w:rPr>
  </w:style>
  <w:style w:type="character" w:styleId="71">
    <w:name w:val="Hyperlink"/>
    <w:qFormat/>
    <w:uiPriority w:val="99"/>
    <w:rPr>
      <w:color w:val="0000FF"/>
      <w:u w:val="single"/>
    </w:rPr>
  </w:style>
  <w:style w:type="character" w:styleId="72">
    <w:name w:val="HTML Code"/>
    <w:qFormat/>
    <w:uiPriority w:val="0"/>
    <w:rPr>
      <w:rFonts w:hint="default" w:ascii="Courier New" w:hAnsi="Courier New" w:eastAsia="Times New Roman" w:cs="Times New Roman"/>
      <w:sz w:val="24"/>
      <w:szCs w:val="24"/>
    </w:rPr>
  </w:style>
  <w:style w:type="character" w:styleId="73">
    <w:name w:val="annotation reference"/>
    <w:qFormat/>
    <w:uiPriority w:val="99"/>
    <w:rPr>
      <w:sz w:val="21"/>
      <w:szCs w:val="21"/>
    </w:rPr>
  </w:style>
  <w:style w:type="character" w:styleId="74">
    <w:name w:val="footnote reference"/>
    <w:qFormat/>
    <w:uiPriority w:val="99"/>
    <w:rPr>
      <w:vertAlign w:val="superscript"/>
    </w:rPr>
  </w:style>
  <w:style w:type="character" w:styleId="75">
    <w:name w:val="HTML Keyboard"/>
    <w:qFormat/>
    <w:uiPriority w:val="0"/>
    <w:rPr>
      <w:rFonts w:hint="default" w:ascii="Courier New" w:hAnsi="Courier New" w:eastAsia="Times New Roman" w:cs="Times New Roman"/>
      <w:sz w:val="24"/>
      <w:szCs w:val="24"/>
    </w:rPr>
  </w:style>
  <w:style w:type="character" w:styleId="76">
    <w:name w:val="HTML Sample"/>
    <w:qFormat/>
    <w:uiPriority w:val="0"/>
    <w:rPr>
      <w:rFonts w:hint="default" w:ascii="Courier New" w:hAnsi="Courier New" w:eastAsia="Times New Roman" w:cs="Times New Roman"/>
    </w:rPr>
  </w:style>
  <w:style w:type="character" w:customStyle="1" w:styleId="77">
    <w:name w:val="标题 2 Char"/>
    <w:link w:val="4"/>
    <w:qFormat/>
    <w:uiPriority w:val="9"/>
    <w:rPr>
      <w:rFonts w:ascii="Arial" w:hAnsi="Arial" w:eastAsia="黑体" w:cs="Times New Roman"/>
      <w:b/>
      <w:bCs/>
      <w:sz w:val="32"/>
      <w:szCs w:val="32"/>
    </w:rPr>
  </w:style>
  <w:style w:type="paragraph" w:customStyle="1" w:styleId="78">
    <w:name w:val="前言、引言标题"/>
    <w:next w:val="79"/>
    <w:link w:val="270"/>
    <w:qFormat/>
    <w:uiPriority w:val="0"/>
    <w:pPr>
      <w:keepNext/>
      <w:pageBreakBefore/>
      <w:shd w:val="clear" w:color="auto" w:fill="FFFFFF"/>
      <w:spacing w:before="640" w:after="560" w:line="276" w:lineRule="auto"/>
      <w:jc w:val="center"/>
      <w:outlineLvl w:val="0"/>
    </w:pPr>
    <w:rPr>
      <w:rFonts w:ascii="黑体" w:hAnsi="黑体" w:eastAsia="黑体" w:cs="Times New Roman"/>
      <w:sz w:val="32"/>
      <w:lang w:val="en-US" w:eastAsia="zh-CN" w:bidi="ar-SA"/>
    </w:rPr>
  </w:style>
  <w:style w:type="paragraph" w:customStyle="1" w:styleId="79">
    <w:name w:val="段"/>
    <w:link w:val="27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80">
    <w:name w:val="附录标识"/>
    <w:basedOn w:val="1"/>
    <w:next w:val="79"/>
    <w:link w:val="287"/>
    <w:qFormat/>
    <w:uiPriority w:val="99"/>
    <w:pPr>
      <w:keepNext/>
      <w:widowControl/>
      <w:numPr>
        <w:ilvl w:val="0"/>
        <w:numId w:val="3"/>
      </w:numPr>
      <w:shd w:val="clear" w:color="auto" w:fill="FFFFFF"/>
      <w:tabs>
        <w:tab w:val="left" w:pos="360"/>
        <w:tab w:val="left" w:pos="6405"/>
      </w:tabs>
      <w:spacing w:before="640" w:after="280" w:line="276" w:lineRule="auto"/>
      <w:jc w:val="center"/>
      <w:outlineLvl w:val="0"/>
    </w:pPr>
    <w:rPr>
      <w:rFonts w:ascii="黑体" w:eastAsia="黑体"/>
      <w:kern w:val="0"/>
      <w:szCs w:val="20"/>
    </w:rPr>
  </w:style>
  <w:style w:type="paragraph" w:customStyle="1" w:styleId="81">
    <w:name w:val="正文2"/>
    <w:basedOn w:val="1"/>
    <w:link w:val="294"/>
    <w:qFormat/>
    <w:uiPriority w:val="0"/>
    <w:pPr>
      <w:adjustRightInd w:val="0"/>
      <w:spacing w:before="156" w:line="360" w:lineRule="auto"/>
      <w:ind w:firstLine="510" w:firstLineChars="200"/>
    </w:pPr>
    <w:rPr>
      <w:sz w:val="24"/>
      <w:szCs w:val="20"/>
    </w:rPr>
  </w:style>
  <w:style w:type="paragraph" w:customStyle="1" w:styleId="82">
    <w:name w:val="明显引用1"/>
    <w:basedOn w:val="1"/>
    <w:next w:val="1"/>
    <w:link w:val="296"/>
    <w:qFormat/>
    <w:uiPriority w:val="30"/>
    <w:pPr>
      <w:widowControl/>
      <w:spacing w:before="240" w:after="240"/>
      <w:ind w:left="1080" w:right="1080"/>
      <w:jc w:val="center"/>
    </w:pPr>
    <w:rPr>
      <w:rFonts w:ascii="Calibri" w:hAnsi="Calibri" w:eastAsia="楷体_GB2312"/>
      <w:color w:val="5B9BD5"/>
      <w:kern w:val="0"/>
      <w:sz w:val="24"/>
    </w:rPr>
  </w:style>
  <w:style w:type="paragraph" w:customStyle="1" w:styleId="83">
    <w:name w:val="附录公式"/>
    <w:basedOn w:val="79"/>
    <w:next w:val="79"/>
    <w:link w:val="297"/>
    <w:qFormat/>
    <w:uiPriority w:val="0"/>
    <w:pPr>
      <w:tabs>
        <w:tab w:val="center" w:pos="4201"/>
        <w:tab w:val="right" w:leader="dot" w:pos="9298"/>
      </w:tabs>
      <w:spacing w:before="100" w:after="200" w:line="276" w:lineRule="auto"/>
      <w:ind w:firstLine="420"/>
    </w:pPr>
    <w:rPr>
      <w:rFonts w:ascii="Times New Roman" w:hAnsi="Times New Roman"/>
      <w:sz w:val="20"/>
    </w:rPr>
  </w:style>
  <w:style w:type="paragraph" w:customStyle="1" w:styleId="84">
    <w:name w:val="附录章标题"/>
    <w:next w:val="79"/>
    <w:link w:val="300"/>
    <w:qFormat/>
    <w:uiPriority w:val="99"/>
    <w:pPr>
      <w:numPr>
        <w:ilvl w:val="1"/>
        <w:numId w:val="3"/>
      </w:numPr>
      <w:tabs>
        <w:tab w:val="left" w:pos="360"/>
      </w:tabs>
      <w:wordWrap w:val="0"/>
      <w:overflowPunct w:val="0"/>
      <w:autoSpaceDE w:val="0"/>
      <w:spacing w:beforeLines="100" w:line="276" w:lineRule="auto"/>
      <w:jc w:val="both"/>
      <w:outlineLvl w:val="1"/>
    </w:pPr>
    <w:rPr>
      <w:rFonts w:ascii="黑体" w:hAnsi="Times New Roman" w:eastAsia="黑体" w:cs="Times New Roman"/>
      <w:kern w:val="21"/>
      <w:sz w:val="21"/>
      <w:lang w:val="en-US" w:eastAsia="zh-CN" w:bidi="ar-SA"/>
    </w:rPr>
  </w:style>
  <w:style w:type="paragraph" w:customStyle="1" w:styleId="85">
    <w:name w:val="首示例"/>
    <w:next w:val="79"/>
    <w:link w:val="307"/>
    <w:qFormat/>
    <w:uiPriority w:val="99"/>
    <w:pPr>
      <w:numPr>
        <w:ilvl w:val="0"/>
        <w:numId w:val="4"/>
      </w:numPr>
      <w:tabs>
        <w:tab w:val="left" w:pos="360"/>
      </w:tabs>
      <w:spacing w:before="100" w:after="200" w:line="276" w:lineRule="auto"/>
      <w:ind w:firstLine="0"/>
    </w:pPr>
    <w:rPr>
      <w:rFonts w:ascii="宋体" w:hAnsi="宋体" w:eastAsia="宋体" w:cs="Times New Roman"/>
      <w:kern w:val="2"/>
      <w:sz w:val="18"/>
      <w:szCs w:val="18"/>
      <w:lang w:val="en-US" w:eastAsia="zh-CN" w:bidi="ar-SA"/>
    </w:rPr>
  </w:style>
  <w:style w:type="paragraph" w:customStyle="1" w:styleId="86">
    <w:name w:val="章标题"/>
    <w:next w:val="79"/>
    <w:link w:val="314"/>
    <w:qFormat/>
    <w:uiPriority w:val="99"/>
    <w:pPr>
      <w:numPr>
        <w:ilvl w:val="0"/>
        <w:numId w:val="5"/>
      </w:numPr>
      <w:spacing w:beforeLines="100"/>
      <w:jc w:val="both"/>
      <w:outlineLvl w:val="1"/>
    </w:pPr>
    <w:rPr>
      <w:rFonts w:ascii="黑体" w:hAnsi="Times New Roman" w:eastAsia="黑体" w:cs="Times New Roman"/>
      <w:sz w:val="21"/>
      <w:lang w:val="en-US" w:eastAsia="zh-CN" w:bidi="ar-SA"/>
    </w:rPr>
  </w:style>
  <w:style w:type="paragraph" w:customStyle="1" w:styleId="87">
    <w:name w:val="二级条标题"/>
    <w:basedOn w:val="88"/>
    <w:next w:val="79"/>
    <w:link w:val="323"/>
    <w:qFormat/>
    <w:uiPriority w:val="0"/>
    <w:pPr>
      <w:numPr>
        <w:ilvl w:val="0"/>
        <w:numId w:val="0"/>
      </w:numPr>
      <w:tabs>
        <w:tab w:val="left" w:pos="1260"/>
      </w:tabs>
      <w:spacing w:line="276" w:lineRule="auto"/>
      <w:ind w:left="1260" w:hanging="420"/>
      <w:outlineLvl w:val="3"/>
    </w:pPr>
    <w:rPr>
      <w:rFonts w:hAnsi="Calibri"/>
    </w:rPr>
  </w:style>
  <w:style w:type="paragraph" w:customStyle="1" w:styleId="88">
    <w:name w:val="一级条标题"/>
    <w:next w:val="79"/>
    <w:link w:val="324"/>
    <w:qFormat/>
    <w:uiPriority w:val="99"/>
    <w:pPr>
      <w:numPr>
        <w:ilvl w:val="1"/>
        <w:numId w:val="5"/>
      </w:numPr>
      <w:spacing w:beforeLines="50"/>
      <w:outlineLvl w:val="2"/>
    </w:pPr>
    <w:rPr>
      <w:rFonts w:ascii="黑体" w:hAnsi="Times New Roman" w:eastAsia="黑体" w:cs="Times New Roman"/>
      <w:sz w:val="21"/>
      <w:szCs w:val="21"/>
      <w:lang w:val="en-US" w:eastAsia="zh-CN" w:bidi="ar-SA"/>
    </w:rPr>
  </w:style>
  <w:style w:type="paragraph" w:customStyle="1" w:styleId="89">
    <w:name w:val="引用1"/>
    <w:basedOn w:val="1"/>
    <w:next w:val="1"/>
    <w:link w:val="333"/>
    <w:qFormat/>
    <w:uiPriority w:val="29"/>
    <w:pPr>
      <w:widowControl/>
      <w:spacing w:before="100" w:after="200" w:line="276" w:lineRule="auto"/>
      <w:jc w:val="left"/>
    </w:pPr>
    <w:rPr>
      <w:rFonts w:ascii="Calibri" w:hAnsi="Calibri" w:eastAsia="楷体_GB2312"/>
      <w:i/>
      <w:iCs/>
      <w:kern w:val="0"/>
      <w:sz w:val="24"/>
    </w:rPr>
  </w:style>
  <w:style w:type="paragraph" w:customStyle="1" w:styleId="90">
    <w:name w:val="附录数字编号列项（二级）"/>
    <w:qFormat/>
    <w:uiPriority w:val="99"/>
    <w:pPr>
      <w:numPr>
        <w:ilvl w:val="1"/>
        <w:numId w:val="6"/>
      </w:numPr>
      <w:spacing w:before="100" w:after="200" w:line="276" w:lineRule="auto"/>
    </w:pPr>
    <w:rPr>
      <w:rFonts w:ascii="宋体" w:hAnsi="Calibri" w:eastAsia="宋体" w:cs="Times New Roman"/>
      <w:sz w:val="21"/>
      <w:lang w:val="en-US" w:eastAsia="zh-CN" w:bidi="ar-SA"/>
    </w:rPr>
  </w:style>
  <w:style w:type="paragraph" w:customStyle="1" w:styleId="91">
    <w:name w:val="一级无"/>
    <w:basedOn w:val="88"/>
    <w:qFormat/>
    <w:uiPriority w:val="99"/>
    <w:pPr>
      <w:numPr>
        <w:ilvl w:val="0"/>
        <w:numId w:val="0"/>
      </w:numPr>
      <w:tabs>
        <w:tab w:val="left" w:pos="1140"/>
      </w:tabs>
      <w:spacing w:line="276" w:lineRule="auto"/>
      <w:ind w:hanging="420"/>
    </w:pPr>
    <w:rPr>
      <w:rFonts w:ascii="宋体" w:hAnsi="Calibri" w:eastAsia="宋体"/>
    </w:rPr>
  </w:style>
  <w:style w:type="paragraph" w:customStyle="1" w:styleId="92">
    <w:name w:val="et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93">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94">
    <w:name w:val="标准书脚_偶数页"/>
    <w:qFormat/>
    <w:uiPriority w:val="99"/>
    <w:pPr>
      <w:spacing w:before="120" w:after="200" w:line="276" w:lineRule="auto"/>
      <w:ind w:left="221"/>
    </w:pPr>
    <w:rPr>
      <w:rFonts w:ascii="宋体" w:hAnsi="Calibri" w:eastAsia="宋体" w:cs="Times New Roman"/>
      <w:sz w:val="18"/>
      <w:szCs w:val="18"/>
      <w:lang w:val="en-US" w:eastAsia="zh-CN" w:bidi="ar-SA"/>
    </w:rPr>
  </w:style>
  <w:style w:type="paragraph" w:customStyle="1" w:styleId="95">
    <w:name w:val="注：（正文）"/>
    <w:basedOn w:val="96"/>
    <w:next w:val="79"/>
    <w:qFormat/>
    <w:uiPriority w:val="99"/>
    <w:pPr>
      <w:numPr>
        <w:ilvl w:val="0"/>
        <w:numId w:val="8"/>
      </w:numPr>
      <w:tabs>
        <w:tab w:val="clear" w:pos="420"/>
      </w:tabs>
      <w:spacing w:before="100" w:after="200" w:line="276" w:lineRule="auto"/>
      <w:ind w:left="360" w:hanging="360"/>
    </w:pPr>
    <w:rPr>
      <w:rFonts w:hAnsi="Calibri"/>
    </w:rPr>
  </w:style>
  <w:style w:type="paragraph" w:customStyle="1" w:styleId="96">
    <w:name w:val="注："/>
    <w:next w:val="79"/>
    <w:qFormat/>
    <w:uiPriority w:val="99"/>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7">
    <w:name w:val="xl71"/>
    <w:basedOn w:val="1"/>
    <w:qFormat/>
    <w:uiPriority w:val="99"/>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Cs w:val="21"/>
    </w:rPr>
  </w:style>
  <w:style w:type="paragraph" w:customStyle="1" w:styleId="98">
    <w:name w:val="条文脚注"/>
    <w:basedOn w:val="47"/>
    <w:qFormat/>
    <w:uiPriority w:val="99"/>
    <w:pPr>
      <w:widowControl/>
      <w:tabs>
        <w:tab w:val="left" w:pos="0"/>
        <w:tab w:val="left" w:pos="840"/>
      </w:tabs>
      <w:spacing w:before="100" w:after="200" w:line="276" w:lineRule="auto"/>
      <w:jc w:val="both"/>
    </w:pPr>
    <w:rPr>
      <w:rFonts w:ascii="宋体" w:hAnsi="Calibri" w:eastAsia="楷体_GB2312"/>
      <w:kern w:val="0"/>
    </w:rPr>
  </w:style>
  <w:style w:type="paragraph" w:customStyle="1" w:styleId="99">
    <w:name w:val="列表段落1"/>
    <w:basedOn w:val="1"/>
    <w:qFormat/>
    <w:uiPriority w:val="34"/>
    <w:pPr>
      <w:ind w:firstLine="420" w:firstLineChars="200"/>
    </w:pPr>
    <w:rPr>
      <w:rFonts w:ascii="Calibri" w:hAnsi="Calibri"/>
    </w:rPr>
  </w:style>
  <w:style w:type="paragraph" w:customStyle="1" w:styleId="100">
    <w:name w:val="附录图标题"/>
    <w:basedOn w:val="1"/>
    <w:next w:val="79"/>
    <w:qFormat/>
    <w:uiPriority w:val="99"/>
    <w:pPr>
      <w:widowControl/>
      <w:numPr>
        <w:ilvl w:val="1"/>
        <w:numId w:val="10"/>
      </w:numPr>
      <w:tabs>
        <w:tab w:val="left" w:pos="363"/>
      </w:tabs>
      <w:spacing w:beforeLines="50" w:line="276" w:lineRule="auto"/>
      <w:ind w:left="0" w:firstLine="0"/>
      <w:jc w:val="center"/>
    </w:pPr>
    <w:rPr>
      <w:rFonts w:ascii="黑体" w:hAnsi="Calibri" w:eastAsia="黑体"/>
      <w:kern w:val="0"/>
      <w:sz w:val="24"/>
      <w:szCs w:val="21"/>
    </w:rPr>
  </w:style>
  <w:style w:type="paragraph" w:customStyle="1" w:styleId="101">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2">
    <w:name w:val="石墨文档标题 2"/>
    <w:next w:val="103"/>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03">
    <w:name w:val="石墨文档正文"/>
    <w:qFormat/>
    <w:uiPriority w:val="99"/>
    <w:rPr>
      <w:rFonts w:ascii="微软雅黑" w:hAnsi="微软雅黑" w:eastAsia="微软雅黑" w:cs="微软雅黑"/>
      <w:sz w:val="22"/>
      <w:szCs w:val="22"/>
      <w:lang w:val="en-US" w:eastAsia="zh-CN" w:bidi="ar-SA"/>
    </w:rPr>
  </w:style>
  <w:style w:type="paragraph" w:customStyle="1" w:styleId="104">
    <w:name w:val="标准标志"/>
    <w:next w:val="1"/>
    <w:qFormat/>
    <w:uiPriority w:val="99"/>
    <w:pPr>
      <w:framePr w:w="2546" w:h="1389" w:hSpace="181" w:vSpace="181" w:wrap="around" w:vAnchor="margin" w:hAnchor="margin" w:x="6522" w:y="398" w:anchorLock="1"/>
      <w:shd w:val="solid" w:color="FFFFFF" w:fill="FFFFFF"/>
      <w:spacing w:before="100" w:after="200" w:line="0" w:lineRule="atLeast"/>
      <w:jc w:val="right"/>
    </w:pPr>
    <w:rPr>
      <w:rFonts w:ascii="Calibri" w:hAnsi="Calibri" w:eastAsia="宋体" w:cs="Times New Roman"/>
      <w:b/>
      <w:w w:val="170"/>
      <w:sz w:val="96"/>
      <w:szCs w:val="96"/>
      <w:lang w:val="en-US" w:eastAsia="zh-CN" w:bidi="ar-SA"/>
    </w:rPr>
  </w:style>
  <w:style w:type="paragraph" w:customStyle="1" w:styleId="105">
    <w:name w:val="列项·"/>
    <w:qFormat/>
    <w:uiPriority w:val="99"/>
    <w:pPr>
      <w:numPr>
        <w:ilvl w:val="0"/>
        <w:numId w:val="11"/>
      </w:numPr>
      <w:tabs>
        <w:tab w:val="clear" w:pos="425"/>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06">
    <w:name w:val="标准书眉一"/>
    <w:qFormat/>
    <w:uiPriority w:val="99"/>
    <w:pPr>
      <w:spacing w:before="100" w:after="200" w:line="276" w:lineRule="auto"/>
      <w:jc w:val="both"/>
    </w:pPr>
    <w:rPr>
      <w:rFonts w:ascii="Calibri" w:hAnsi="Calibri" w:eastAsia="宋体" w:cs="Times New Roman"/>
      <w:lang w:val="en-US" w:eastAsia="zh-CN" w:bidi="ar-SA"/>
    </w:rPr>
  </w:style>
  <w:style w:type="paragraph" w:customStyle="1" w:styleId="107">
    <w:name w:val="附录标题"/>
    <w:basedOn w:val="79"/>
    <w:next w:val="79"/>
    <w:qFormat/>
    <w:uiPriority w:val="99"/>
    <w:pPr>
      <w:tabs>
        <w:tab w:val="center" w:pos="4201"/>
        <w:tab w:val="right" w:leader="dot" w:pos="9298"/>
      </w:tabs>
      <w:spacing w:before="100" w:after="200" w:line="276" w:lineRule="auto"/>
      <w:ind w:firstLine="0" w:firstLineChars="0"/>
      <w:jc w:val="center"/>
    </w:pPr>
    <w:rPr>
      <w:rFonts w:ascii="黑体" w:eastAsia="黑体"/>
    </w:rPr>
  </w:style>
  <w:style w:type="paragraph" w:customStyle="1" w:styleId="108">
    <w:name w:val="附录一级无"/>
    <w:basedOn w:val="109"/>
    <w:qFormat/>
    <w:uiPriority w:val="99"/>
    <w:pPr>
      <w:tabs>
        <w:tab w:val="left" w:pos="-79"/>
        <w:tab w:val="left" w:pos="360"/>
        <w:tab w:val="left" w:pos="840"/>
        <w:tab w:val="left" w:pos="1260"/>
      </w:tabs>
    </w:pPr>
    <w:rPr>
      <w:rFonts w:ascii="宋体" w:eastAsia="宋体"/>
      <w:szCs w:val="21"/>
    </w:rPr>
  </w:style>
  <w:style w:type="paragraph" w:customStyle="1" w:styleId="109">
    <w:name w:val="附录一级条标题"/>
    <w:basedOn w:val="84"/>
    <w:next w:val="79"/>
    <w:qFormat/>
    <w:uiPriority w:val="99"/>
    <w:pPr>
      <w:numPr>
        <w:ilvl w:val="0"/>
        <w:numId w:val="0"/>
      </w:numPr>
      <w:tabs>
        <w:tab w:val="left" w:pos="-79"/>
        <w:tab w:val="left" w:pos="1260"/>
      </w:tabs>
      <w:autoSpaceDN w:val="0"/>
      <w:spacing w:beforeLines="50"/>
      <w:ind w:left="913" w:hanging="629"/>
      <w:outlineLvl w:val="2"/>
    </w:pPr>
  </w:style>
  <w:style w:type="paragraph" w:customStyle="1" w:styleId="110">
    <w:name w:val="附录表标题"/>
    <w:basedOn w:val="1"/>
    <w:next w:val="79"/>
    <w:qFormat/>
    <w:uiPriority w:val="99"/>
    <w:pPr>
      <w:widowControl/>
      <w:numPr>
        <w:ilvl w:val="1"/>
        <w:numId w:val="12"/>
      </w:numPr>
      <w:tabs>
        <w:tab w:val="left" w:pos="180"/>
      </w:tabs>
      <w:spacing w:beforeLines="50" w:line="276" w:lineRule="auto"/>
      <w:ind w:left="0" w:firstLine="0"/>
      <w:jc w:val="center"/>
    </w:pPr>
    <w:rPr>
      <w:rFonts w:ascii="黑体" w:hAnsi="Calibri" w:eastAsia="黑体"/>
      <w:kern w:val="0"/>
      <w:sz w:val="24"/>
      <w:szCs w:val="21"/>
    </w:rPr>
  </w:style>
  <w:style w:type="paragraph" w:customStyle="1" w:styleId="111">
    <w:name w:val="封面标准名称2"/>
    <w:basedOn w:val="112"/>
    <w:qFormat/>
    <w:uiPriority w:val="99"/>
    <w:pPr>
      <w:framePr w:wrap="around" w:y="4469"/>
      <w:spacing w:beforeLines="630"/>
    </w:pPr>
  </w:style>
  <w:style w:type="paragraph" w:customStyle="1" w:styleId="112">
    <w:name w:val="封面标准名称"/>
    <w:qFormat/>
    <w:uiPriority w:val="99"/>
    <w:pPr>
      <w:framePr w:w="9639" w:h="6917" w:wrap="around" w:vAnchor="page" w:hAnchor="page" w:xAlign="center" w:y="6408" w:anchorLock="1"/>
      <w:widowControl w:val="0"/>
      <w:spacing w:before="100" w:after="200" w:line="680" w:lineRule="exact"/>
      <w:jc w:val="center"/>
    </w:pPr>
    <w:rPr>
      <w:rFonts w:ascii="黑体" w:hAnsi="Calibri" w:eastAsia="黑体" w:cs="Times New Roman"/>
      <w:sz w:val="52"/>
      <w:lang w:val="en-US" w:eastAsia="zh-CN" w:bidi="ar-SA"/>
    </w:rPr>
  </w:style>
  <w:style w:type="paragraph" w:customStyle="1" w:styleId="113">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14">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5">
    <w:name w:val="注×：（正文）"/>
    <w:qFormat/>
    <w:uiPriority w:val="99"/>
    <w:pPr>
      <w:numPr>
        <w:ilvl w:val="0"/>
        <w:numId w:val="13"/>
      </w:numPr>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79"/>
    <w:qFormat/>
    <w:uiPriority w:val="99"/>
    <w:pPr>
      <w:widowControl/>
      <w:tabs>
        <w:tab w:val="center" w:pos="4201"/>
        <w:tab w:val="right" w:leader="dot" w:pos="9298"/>
      </w:tabs>
      <w:autoSpaceDE w:val="0"/>
      <w:autoSpaceDN w:val="0"/>
      <w:spacing w:before="100" w:after="200" w:line="276" w:lineRule="auto"/>
      <w:jc w:val="left"/>
    </w:pPr>
    <w:rPr>
      <w:rFonts w:ascii="宋体" w:hAnsi="Calibri" w:eastAsia="楷体_GB2312"/>
      <w:kern w:val="0"/>
      <w:sz w:val="24"/>
      <w:szCs w:val="20"/>
    </w:rPr>
  </w:style>
  <w:style w:type="paragraph" w:customStyle="1" w:styleId="117">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18">
    <w:name w:val="五级无"/>
    <w:basedOn w:val="119"/>
    <w:qFormat/>
    <w:uiPriority w:val="99"/>
    <w:pPr>
      <w:tabs>
        <w:tab w:val="left" w:pos="2100"/>
        <w:tab w:val="left" w:pos="2520"/>
      </w:tabs>
      <w:spacing w:before="50" w:after="50"/>
    </w:pPr>
    <w:rPr>
      <w:rFonts w:ascii="宋体" w:eastAsia="宋体"/>
    </w:rPr>
  </w:style>
  <w:style w:type="paragraph" w:customStyle="1" w:styleId="119">
    <w:name w:val="五级条标题"/>
    <w:basedOn w:val="120"/>
    <w:next w:val="79"/>
    <w:qFormat/>
    <w:uiPriority w:val="99"/>
    <w:pPr>
      <w:tabs>
        <w:tab w:val="left" w:pos="2100"/>
        <w:tab w:val="left" w:pos="2520"/>
      </w:tabs>
      <w:ind w:left="2520"/>
      <w:outlineLvl w:val="6"/>
    </w:pPr>
  </w:style>
  <w:style w:type="paragraph" w:customStyle="1" w:styleId="120">
    <w:name w:val="四级条标题"/>
    <w:basedOn w:val="121"/>
    <w:next w:val="79"/>
    <w:qFormat/>
    <w:uiPriority w:val="99"/>
    <w:pPr>
      <w:tabs>
        <w:tab w:val="left" w:pos="2100"/>
      </w:tabs>
      <w:ind w:left="2100" w:hanging="420"/>
      <w:outlineLvl w:val="5"/>
    </w:pPr>
  </w:style>
  <w:style w:type="paragraph" w:customStyle="1" w:styleId="121">
    <w:name w:val="三级条标题"/>
    <w:basedOn w:val="87"/>
    <w:next w:val="79"/>
    <w:qFormat/>
    <w:uiPriority w:val="99"/>
    <w:pPr>
      <w:tabs>
        <w:tab w:val="clear" w:pos="1260"/>
      </w:tabs>
      <w:ind w:left="0" w:firstLine="0"/>
      <w:outlineLvl w:val="4"/>
    </w:pPr>
  </w:style>
  <w:style w:type="paragraph" w:customStyle="1" w:styleId="122">
    <w:name w:val="封面标准英文名称2"/>
    <w:basedOn w:val="123"/>
    <w:qFormat/>
    <w:uiPriority w:val="99"/>
    <w:pPr>
      <w:framePr w:wrap="around" w:y="4469"/>
    </w:pPr>
  </w:style>
  <w:style w:type="paragraph" w:customStyle="1" w:styleId="123">
    <w:name w:val="封面标准英文名称"/>
    <w:basedOn w:val="112"/>
    <w:qFormat/>
    <w:uiPriority w:val="99"/>
    <w:pPr>
      <w:framePr w:wrap="around"/>
      <w:spacing w:before="370" w:line="400" w:lineRule="exact"/>
    </w:pPr>
    <w:rPr>
      <w:rFonts w:ascii="Times New Roman"/>
      <w:sz w:val="28"/>
      <w:szCs w:val="28"/>
    </w:rPr>
  </w:style>
  <w:style w:type="paragraph" w:customStyle="1" w:styleId="124">
    <w:name w:val="font2"/>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25">
    <w:name w:val="图标脚注说明"/>
    <w:basedOn w:val="79"/>
    <w:qFormat/>
    <w:uiPriority w:val="99"/>
    <w:pPr>
      <w:tabs>
        <w:tab w:val="center" w:pos="4201"/>
        <w:tab w:val="right" w:leader="dot" w:pos="9298"/>
      </w:tabs>
      <w:spacing w:before="100" w:after="200" w:line="276" w:lineRule="auto"/>
      <w:ind w:left="840" w:hanging="420" w:firstLineChars="0"/>
    </w:pPr>
    <w:rPr>
      <w:rFonts w:eastAsia="Times New Roman"/>
      <w:sz w:val="18"/>
      <w:szCs w:val="18"/>
    </w:rPr>
  </w:style>
  <w:style w:type="paragraph" w:customStyle="1" w:styleId="126">
    <w:name w:val="修订3"/>
    <w:qFormat/>
    <w:uiPriority w:val="99"/>
    <w:rPr>
      <w:rFonts w:ascii="Times New Roman" w:hAnsi="Times New Roman" w:eastAsia="微软雅黑" w:cs="Times New Roman"/>
      <w:kern w:val="44"/>
      <w:sz w:val="24"/>
      <w:lang w:val="en-US" w:eastAsia="en-US" w:bidi="ar-SA"/>
    </w:rPr>
  </w:style>
  <w:style w:type="paragraph" w:customStyle="1" w:styleId="127">
    <w:name w:val="一级无标题条"/>
    <w:basedOn w:val="1"/>
    <w:qFormat/>
    <w:uiPriority w:val="99"/>
    <w:pPr>
      <w:widowControl/>
      <w:numPr>
        <w:ilvl w:val="2"/>
        <w:numId w:val="14"/>
      </w:numPr>
      <w:tabs>
        <w:tab w:val="left" w:pos="1260"/>
      </w:tabs>
      <w:spacing w:before="100" w:after="200" w:line="276" w:lineRule="auto"/>
      <w:ind w:left="1260"/>
      <w:jc w:val="left"/>
    </w:pPr>
    <w:rPr>
      <w:rFonts w:ascii="Calibri" w:hAnsi="Calibri" w:eastAsia="楷体_GB2312"/>
      <w:kern w:val="0"/>
      <w:sz w:val="24"/>
      <w:szCs w:val="20"/>
    </w:rPr>
  </w:style>
  <w:style w:type="paragraph" w:customStyle="1" w:styleId="12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9">
    <w:name w:val="正文段"/>
    <w:basedOn w:val="1"/>
    <w:qFormat/>
    <w:uiPriority w:val="99"/>
    <w:pPr>
      <w:widowControl/>
      <w:snapToGrid w:val="0"/>
      <w:spacing w:afterLines="50"/>
      <w:ind w:firstLine="200" w:firstLineChars="200"/>
    </w:pPr>
    <w:rPr>
      <w:kern w:val="0"/>
      <w:sz w:val="24"/>
      <w:szCs w:val="20"/>
    </w:rPr>
  </w:style>
  <w:style w:type="paragraph" w:customStyle="1" w:styleId="130">
    <w:name w:val="封面标准文稿编辑信息"/>
    <w:basedOn w:val="131"/>
    <w:qFormat/>
    <w:uiPriority w:val="99"/>
    <w:pPr>
      <w:framePr w:wrap="around"/>
      <w:spacing w:before="180" w:line="180" w:lineRule="exact"/>
    </w:pPr>
    <w:rPr>
      <w:sz w:val="21"/>
    </w:rPr>
  </w:style>
  <w:style w:type="paragraph" w:customStyle="1" w:styleId="131">
    <w:name w:val="封面标准文稿类别"/>
    <w:basedOn w:val="132"/>
    <w:qFormat/>
    <w:uiPriority w:val="99"/>
    <w:pPr>
      <w:framePr w:wrap="around"/>
      <w:spacing w:after="160" w:line="240" w:lineRule="auto"/>
    </w:pPr>
    <w:rPr>
      <w:sz w:val="24"/>
    </w:rPr>
  </w:style>
  <w:style w:type="paragraph" w:customStyle="1" w:styleId="132">
    <w:name w:val="封面一致性程度标识"/>
    <w:basedOn w:val="123"/>
    <w:qFormat/>
    <w:uiPriority w:val="99"/>
    <w:pPr>
      <w:framePr w:wrap="around"/>
      <w:spacing w:before="440"/>
    </w:pPr>
    <w:rPr>
      <w:rFonts w:ascii="宋体" w:eastAsia="宋体"/>
    </w:rPr>
  </w:style>
  <w:style w:type="paragraph" w:customStyle="1" w:styleId="133">
    <w:name w:val="Table Paragraph"/>
    <w:basedOn w:val="1"/>
    <w:qFormat/>
    <w:uiPriority w:val="1"/>
    <w:pPr>
      <w:jc w:val="left"/>
    </w:pPr>
    <w:rPr>
      <w:rFonts w:ascii="Calibri" w:hAnsi="Calibri"/>
      <w:kern w:val="0"/>
      <w:sz w:val="22"/>
      <w:szCs w:val="22"/>
      <w:lang w:eastAsia="en-US"/>
    </w:rPr>
  </w:style>
  <w:style w:type="paragraph" w:customStyle="1" w:styleId="134">
    <w:name w:val="其他发布日期"/>
    <w:basedOn w:val="135"/>
    <w:qFormat/>
    <w:uiPriority w:val="99"/>
    <w:pPr>
      <w:framePr w:wrap="around" w:vAnchor="page" w:hAnchor="text" w:x="1419"/>
    </w:pPr>
  </w:style>
  <w:style w:type="paragraph" w:customStyle="1" w:styleId="135">
    <w:name w:val="发布日期"/>
    <w:qFormat/>
    <w:uiPriority w:val="99"/>
    <w:pPr>
      <w:framePr w:w="3997" w:h="471" w:vSpace="181" w:wrap="around" w:vAnchor="margin" w:hAnchor="page" w:x="7089" w:y="14097" w:anchorLock="1"/>
      <w:spacing w:before="100" w:after="200" w:line="276" w:lineRule="auto"/>
    </w:pPr>
    <w:rPr>
      <w:rFonts w:ascii="Calibri" w:hAnsi="Calibri" w:eastAsia="黑体" w:cs="Times New Roman"/>
      <w:sz w:val="28"/>
      <w:lang w:val="en-US" w:eastAsia="zh-CN" w:bidi="ar-SA"/>
    </w:rPr>
  </w:style>
  <w:style w:type="paragraph" w:customStyle="1" w:styleId="136">
    <w:name w:val="终结线"/>
    <w:basedOn w:val="1"/>
    <w:qFormat/>
    <w:uiPriority w:val="99"/>
    <w:pPr>
      <w:framePr w:hSpace="181" w:vSpace="181" w:wrap="around" w:vAnchor="text" w:hAnchor="margin" w:xAlign="center" w:y="285"/>
      <w:widowControl/>
      <w:spacing w:before="100" w:after="200" w:line="276" w:lineRule="auto"/>
      <w:jc w:val="left"/>
    </w:pPr>
    <w:rPr>
      <w:rFonts w:ascii="Calibri" w:hAnsi="Calibri" w:eastAsia="楷体_GB2312"/>
      <w:kern w:val="0"/>
      <w:sz w:val="24"/>
      <w:szCs w:val="20"/>
    </w:rPr>
  </w:style>
  <w:style w:type="paragraph" w:customStyle="1" w:styleId="137">
    <w:name w:val="xl70"/>
    <w:basedOn w:val="1"/>
    <w:qFormat/>
    <w:uiPriority w:val="99"/>
    <w:pPr>
      <w:widowControl/>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138">
    <w:name w:val="标准称谓"/>
    <w:next w:val="1"/>
    <w:qFormat/>
    <w:uiPriority w:val="99"/>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hAnsi="Calibri" w:eastAsia="宋体" w:cs="Times New Roman"/>
      <w:b/>
      <w:bCs/>
      <w:spacing w:val="20"/>
      <w:w w:val="148"/>
      <w:sz w:val="48"/>
      <w:lang w:val="en-US" w:eastAsia="zh-CN" w:bidi="ar-SA"/>
    </w:rPr>
  </w:style>
  <w:style w:type="paragraph" w:customStyle="1" w:styleId="139">
    <w:name w:val="修订1"/>
    <w:qFormat/>
    <w:uiPriority w:val="99"/>
    <w:rPr>
      <w:rFonts w:ascii="Times New Roman" w:hAnsi="Times New Roman" w:eastAsia="宋体" w:cs="Times New Roman"/>
      <w:kern w:val="2"/>
      <w:sz w:val="21"/>
      <w:szCs w:val="24"/>
      <w:lang w:val="en-US" w:eastAsia="zh-CN" w:bidi="ar-SA"/>
    </w:rPr>
  </w:style>
  <w:style w:type="paragraph" w:customStyle="1" w:styleId="140">
    <w:name w:val="xl65"/>
    <w:basedOn w:val="1"/>
    <w:qFormat/>
    <w:uiPriority w:val="99"/>
    <w:pPr>
      <w:widowControl/>
      <w:shd w:val="clear" w:color="auto" w:fill="FFFFFF"/>
      <w:spacing w:before="100" w:beforeAutospacing="1" w:after="100" w:afterAutospacing="1"/>
      <w:jc w:val="left"/>
    </w:pPr>
    <w:rPr>
      <w:rFonts w:ascii="宋体" w:hAnsi="宋体" w:cs="宋体"/>
      <w:kern w:val="0"/>
      <w:sz w:val="24"/>
    </w:rPr>
  </w:style>
  <w:style w:type="paragraph" w:customStyle="1" w:styleId="141">
    <w:name w:val="列项——"/>
    <w:qFormat/>
    <w:uiPriority w:val="99"/>
    <w:pPr>
      <w:widowControl w:val="0"/>
      <w:numPr>
        <w:ilvl w:val="0"/>
        <w:numId w:val="14"/>
      </w:numPr>
      <w:tabs>
        <w:tab w:val="left" w:pos="360"/>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42">
    <w:name w:val="附录四级无"/>
    <w:basedOn w:val="143"/>
    <w:qFormat/>
    <w:uiPriority w:val="99"/>
    <w:pPr>
      <w:tabs>
        <w:tab w:val="left" w:pos="360"/>
        <w:tab w:val="left" w:pos="1680"/>
        <w:tab w:val="left" w:pos="2520"/>
      </w:tabs>
    </w:pPr>
    <w:rPr>
      <w:rFonts w:ascii="宋体" w:eastAsia="宋体"/>
      <w:szCs w:val="21"/>
    </w:rPr>
  </w:style>
  <w:style w:type="paragraph" w:customStyle="1" w:styleId="143">
    <w:name w:val="附录四级条标题"/>
    <w:basedOn w:val="144"/>
    <w:next w:val="79"/>
    <w:qFormat/>
    <w:uiPriority w:val="99"/>
    <w:pPr>
      <w:numPr>
        <w:ilvl w:val="0"/>
      </w:numPr>
      <w:tabs>
        <w:tab w:val="left" w:pos="360"/>
        <w:tab w:val="left" w:pos="1680"/>
        <w:tab w:val="left" w:pos="2520"/>
      </w:tabs>
      <w:ind w:left="2520" w:hanging="420"/>
      <w:outlineLvl w:val="5"/>
    </w:pPr>
  </w:style>
  <w:style w:type="paragraph" w:customStyle="1" w:styleId="144">
    <w:name w:val="附录三级条标题"/>
    <w:basedOn w:val="145"/>
    <w:next w:val="79"/>
    <w:qFormat/>
    <w:uiPriority w:val="99"/>
    <w:pPr>
      <w:numPr>
        <w:ilvl w:val="4"/>
        <w:numId w:val="0"/>
      </w:numPr>
      <w:tabs>
        <w:tab w:val="left" w:pos="360"/>
        <w:tab w:val="left" w:pos="1680"/>
      </w:tabs>
      <w:outlineLvl w:val="4"/>
    </w:pPr>
  </w:style>
  <w:style w:type="paragraph" w:customStyle="1" w:styleId="145">
    <w:name w:val="附录二级条标题"/>
    <w:basedOn w:val="1"/>
    <w:next w:val="79"/>
    <w:qFormat/>
    <w:uiPriority w:val="99"/>
    <w:pPr>
      <w:widowControl/>
      <w:numPr>
        <w:ilvl w:val="3"/>
        <w:numId w:val="3"/>
      </w:numPr>
      <w:tabs>
        <w:tab w:val="left" w:pos="360"/>
      </w:tabs>
      <w:wordWrap w:val="0"/>
      <w:overflowPunct w:val="0"/>
      <w:autoSpaceDE w:val="0"/>
      <w:autoSpaceDN w:val="0"/>
      <w:spacing w:beforeLines="50" w:line="276" w:lineRule="auto"/>
      <w:jc w:val="left"/>
      <w:outlineLvl w:val="3"/>
    </w:pPr>
    <w:rPr>
      <w:rFonts w:ascii="黑体" w:hAnsi="Calibri" w:eastAsia="黑体"/>
      <w:kern w:val="21"/>
      <w:sz w:val="24"/>
      <w:szCs w:val="20"/>
    </w:rPr>
  </w:style>
  <w:style w:type="paragraph" w:customStyle="1" w:styleId="146">
    <w:name w:val="四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47">
    <w:name w:val="示例后文字"/>
    <w:basedOn w:val="79"/>
    <w:next w:val="79"/>
    <w:qFormat/>
    <w:uiPriority w:val="99"/>
    <w:pPr>
      <w:tabs>
        <w:tab w:val="center" w:pos="4201"/>
        <w:tab w:val="right" w:leader="dot" w:pos="9298"/>
      </w:tabs>
      <w:spacing w:before="100" w:after="200" w:line="276" w:lineRule="auto"/>
      <w:ind w:firstLine="360"/>
    </w:pPr>
    <w:rPr>
      <w:rFonts w:eastAsia="Times New Roman"/>
      <w:sz w:val="18"/>
    </w:rPr>
  </w:style>
  <w:style w:type="paragraph" w:customStyle="1" w:styleId="148">
    <w:name w:val="示例内容"/>
    <w:qFormat/>
    <w:uiPriority w:val="99"/>
    <w:pPr>
      <w:spacing w:before="100" w:after="200" w:line="276" w:lineRule="auto"/>
      <w:ind w:firstLine="200" w:firstLineChars="200"/>
    </w:pPr>
    <w:rPr>
      <w:rFonts w:ascii="宋体" w:hAnsi="Calibri" w:eastAsia="宋体" w:cs="Times New Roman"/>
      <w:sz w:val="18"/>
      <w:szCs w:val="18"/>
      <w:lang w:val="en-US" w:eastAsia="zh-CN" w:bidi="ar-SA"/>
    </w:rPr>
  </w:style>
  <w:style w:type="paragraph" w:customStyle="1" w:styleId="149">
    <w:name w:val="封面正文"/>
    <w:qFormat/>
    <w:uiPriority w:val="99"/>
    <w:pPr>
      <w:spacing w:before="100" w:after="200" w:line="276" w:lineRule="auto"/>
      <w:jc w:val="both"/>
    </w:pPr>
    <w:rPr>
      <w:rFonts w:ascii="Calibri" w:hAnsi="Calibri" w:eastAsia="宋体" w:cs="Times New Roman"/>
      <w:lang w:val="en-US" w:eastAsia="zh-CN" w:bidi="ar-SA"/>
    </w:rPr>
  </w:style>
  <w:style w:type="paragraph" w:customStyle="1" w:styleId="150">
    <w:name w:val="附录字母编号列项（一级）"/>
    <w:qFormat/>
    <w:uiPriority w:val="99"/>
    <w:pPr>
      <w:numPr>
        <w:ilvl w:val="0"/>
        <w:numId w:val="6"/>
      </w:numPr>
      <w:tabs>
        <w:tab w:val="clear" w:pos="675"/>
      </w:tabs>
      <w:spacing w:before="100" w:after="200" w:line="276" w:lineRule="auto"/>
      <w:ind w:left="360" w:hanging="360"/>
    </w:pPr>
    <w:rPr>
      <w:rFonts w:ascii="宋体" w:hAnsi="Calibri" w:eastAsia="宋体" w:cs="Times New Roman"/>
      <w:sz w:val="21"/>
      <w:lang w:val="en-US" w:eastAsia="zh-CN" w:bidi="ar-SA"/>
    </w:rPr>
  </w:style>
  <w:style w:type="paragraph" w:customStyle="1" w:styleId="151">
    <w:name w:val="其他标准称谓"/>
    <w:next w:val="1"/>
    <w:qFormat/>
    <w:uiPriority w:val="99"/>
    <w:pPr>
      <w:framePr w:hSpace="181" w:vSpace="181" w:wrap="around" w:vAnchor="page" w:hAnchor="page" w:x="1419" w:y="2286" w:anchorLock="1"/>
      <w:spacing w:before="100" w:after="200" w:line="0" w:lineRule="atLeast"/>
      <w:jc w:val="distribute"/>
    </w:pPr>
    <w:rPr>
      <w:rFonts w:ascii="黑体" w:hAnsi="宋体" w:eastAsia="黑体" w:cs="Times New Roman"/>
      <w:spacing w:val="-40"/>
      <w:sz w:val="48"/>
      <w:szCs w:val="52"/>
      <w:lang w:val="en-US" w:eastAsia="zh-CN" w:bidi="ar-SA"/>
    </w:rPr>
  </w:style>
  <w:style w:type="paragraph" w:customStyle="1" w:styleId="152">
    <w:name w:val="发布部门"/>
    <w:next w:val="79"/>
    <w:qFormat/>
    <w:uiPriority w:val="99"/>
    <w:pPr>
      <w:framePr w:w="7938" w:h="1134" w:hSpace="125" w:vSpace="181" w:wrap="around" w:vAnchor="page" w:hAnchor="page" w:x="2150" w:y="14630" w:anchorLock="1"/>
      <w:spacing w:before="100" w:after="200" w:line="276" w:lineRule="auto"/>
      <w:jc w:val="center"/>
    </w:pPr>
    <w:rPr>
      <w:rFonts w:ascii="宋体" w:hAnsi="Calibri" w:eastAsia="宋体" w:cs="Times New Roman"/>
      <w:b/>
      <w:spacing w:val="20"/>
      <w:w w:val="135"/>
      <w:sz w:val="28"/>
      <w:lang w:val="en-US" w:eastAsia="zh-CN" w:bidi="ar-SA"/>
    </w:rPr>
  </w:style>
  <w:style w:type="paragraph" w:customStyle="1" w:styleId="153">
    <w:name w:val="附录五级无"/>
    <w:basedOn w:val="154"/>
    <w:qFormat/>
    <w:uiPriority w:val="99"/>
    <w:pPr>
      <w:tabs>
        <w:tab w:val="left" w:pos="360"/>
        <w:tab w:val="left" w:pos="1680"/>
        <w:tab w:val="left" w:pos="2520"/>
        <w:tab w:val="left" w:pos="2940"/>
      </w:tabs>
    </w:pPr>
    <w:rPr>
      <w:rFonts w:ascii="宋体" w:eastAsia="宋体"/>
      <w:szCs w:val="21"/>
    </w:rPr>
  </w:style>
  <w:style w:type="paragraph" w:customStyle="1" w:styleId="154">
    <w:name w:val="附录五级条标题"/>
    <w:basedOn w:val="143"/>
    <w:next w:val="79"/>
    <w:qFormat/>
    <w:uiPriority w:val="99"/>
    <w:pPr>
      <w:tabs>
        <w:tab w:val="left" w:pos="2940"/>
      </w:tabs>
      <w:ind w:left="2940"/>
      <w:outlineLvl w:val="6"/>
    </w:pPr>
  </w:style>
  <w:style w:type="paragraph" w:customStyle="1" w:styleId="155">
    <w:name w:val="实施日期"/>
    <w:basedOn w:val="135"/>
    <w:qFormat/>
    <w:uiPriority w:val="99"/>
    <w:pPr>
      <w:framePr w:wrap="around" w:vAnchor="page" w:hAnchor="text"/>
      <w:jc w:val="right"/>
    </w:pPr>
  </w:style>
  <w:style w:type="paragraph" w:customStyle="1" w:styleId="156">
    <w:name w:val="五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57">
    <w:name w:val="参考文献"/>
    <w:basedOn w:val="1"/>
    <w:next w:val="79"/>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158">
    <w:name w:val="参考文献、索引标题"/>
    <w:basedOn w:val="1"/>
    <w:next w:val="79"/>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159">
    <w:name w:val="二级无标题条"/>
    <w:basedOn w:val="1"/>
    <w:qFormat/>
    <w:uiPriority w:val="99"/>
    <w:pPr>
      <w:widowControl/>
      <w:numPr>
        <w:ilvl w:val="3"/>
        <w:numId w:val="14"/>
      </w:numPr>
      <w:tabs>
        <w:tab w:val="left" w:pos="1680"/>
      </w:tabs>
      <w:spacing w:before="100" w:after="200" w:line="276" w:lineRule="auto"/>
      <w:ind w:left="1680"/>
      <w:jc w:val="left"/>
    </w:pPr>
    <w:rPr>
      <w:rFonts w:ascii="Calibri" w:hAnsi="Calibri" w:eastAsia="楷体_GB2312"/>
      <w:kern w:val="0"/>
      <w:sz w:val="24"/>
      <w:szCs w:val="20"/>
    </w:rPr>
  </w:style>
  <w:style w:type="paragraph" w:customStyle="1" w:styleId="160">
    <w:name w:val="封面标准文稿编辑信息2"/>
    <w:basedOn w:val="130"/>
    <w:qFormat/>
    <w:uiPriority w:val="99"/>
    <w:pPr>
      <w:framePr w:wrap="around" w:y="4469"/>
    </w:pPr>
  </w:style>
  <w:style w:type="paragraph" w:customStyle="1" w:styleId="161">
    <w:name w:val="表格文字"/>
    <w:basedOn w:val="1"/>
    <w:qFormat/>
    <w:uiPriority w:val="0"/>
    <w:pPr>
      <w:spacing w:before="25" w:after="25"/>
      <w:jc w:val="left"/>
    </w:pPr>
    <w:rPr>
      <w:bCs/>
      <w:spacing w:val="10"/>
      <w:kern w:val="0"/>
      <w:sz w:val="24"/>
      <w:szCs w:val="20"/>
    </w:rPr>
  </w:style>
  <w:style w:type="paragraph" w:customStyle="1" w:styleId="162">
    <w:name w:val="正文图标题"/>
    <w:next w:val="79"/>
    <w:qFormat/>
    <w:uiPriority w:val="99"/>
    <w:pPr>
      <w:numPr>
        <w:ilvl w:val="0"/>
        <w:numId w:val="15"/>
      </w:numPr>
      <w:spacing w:beforeLines="50"/>
      <w:jc w:val="center"/>
    </w:pPr>
    <w:rPr>
      <w:rFonts w:ascii="黑体" w:hAnsi="Times New Roman" w:eastAsia="黑体" w:cs="Times New Roman"/>
      <w:sz w:val="21"/>
      <w:lang w:val="en-US" w:eastAsia="zh-CN" w:bidi="ar-SA"/>
    </w:rPr>
  </w:style>
  <w:style w:type="paragraph" w:customStyle="1" w:styleId="163">
    <w:name w:val="font4"/>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164">
    <w:name w:val="正文1"/>
    <w:basedOn w:val="8"/>
    <w:qFormat/>
    <w:uiPriority w:val="99"/>
    <w:rPr>
      <w:szCs w:val="21"/>
    </w:rPr>
  </w:style>
  <w:style w:type="paragraph" w:customStyle="1" w:styleId="165">
    <w:name w:val="附录三级无"/>
    <w:basedOn w:val="144"/>
    <w:qFormat/>
    <w:uiPriority w:val="99"/>
    <w:pPr>
      <w:tabs>
        <w:tab w:val="clear" w:pos="360"/>
      </w:tabs>
    </w:pPr>
    <w:rPr>
      <w:rFonts w:ascii="宋体" w:eastAsia="宋体"/>
      <w:szCs w:val="21"/>
    </w:rPr>
  </w:style>
  <w:style w:type="paragraph" w:customStyle="1" w:styleId="166">
    <w:name w:val="表格"/>
    <w:basedOn w:val="1"/>
    <w:qFormat/>
    <w:uiPriority w:val="99"/>
    <w:pPr>
      <w:spacing w:line="400" w:lineRule="exact"/>
    </w:pPr>
    <w:rPr>
      <w:sz w:val="24"/>
    </w:rPr>
  </w:style>
  <w:style w:type="paragraph" w:customStyle="1" w:styleId="167">
    <w:name w:val="附录图标号"/>
    <w:basedOn w:val="1"/>
    <w:qFormat/>
    <w:uiPriority w:val="99"/>
    <w:pPr>
      <w:keepNext/>
      <w:pageBreakBefore/>
      <w:widowControl/>
      <w:numPr>
        <w:ilvl w:val="0"/>
        <w:numId w:val="10"/>
      </w:numPr>
      <w:spacing w:before="100" w:after="200" w:line="14" w:lineRule="exact"/>
      <w:ind w:left="0" w:firstLine="363"/>
      <w:jc w:val="center"/>
      <w:outlineLvl w:val="0"/>
    </w:pPr>
    <w:rPr>
      <w:rFonts w:ascii="Calibri" w:hAnsi="Calibri" w:eastAsia="楷体_GB2312"/>
      <w:color w:val="FFFFFF"/>
      <w:kern w:val="0"/>
      <w:sz w:val="24"/>
      <w:szCs w:val="20"/>
    </w:rPr>
  </w:style>
  <w:style w:type="paragraph" w:customStyle="1" w:styleId="168">
    <w:name w:val="图表脚注"/>
    <w:next w:val="79"/>
    <w:qFormat/>
    <w:uiPriority w:val="99"/>
    <w:pPr>
      <w:spacing w:before="100" w:after="200" w:line="276" w:lineRule="auto"/>
      <w:ind w:left="300" w:leftChars="200" w:hanging="100" w:hangingChars="100"/>
      <w:jc w:val="both"/>
    </w:pPr>
    <w:rPr>
      <w:rFonts w:ascii="宋体" w:hAnsi="Calibri" w:eastAsia="宋体" w:cs="Times New Roman"/>
      <w:sz w:val="18"/>
      <w:lang w:val="en-US" w:eastAsia="zh-CN" w:bidi="ar-SA"/>
    </w:rPr>
  </w:style>
  <w:style w:type="paragraph" w:customStyle="1" w:styleId="169">
    <w:name w:val="附录二级无"/>
    <w:basedOn w:val="145"/>
    <w:qFormat/>
    <w:uiPriority w:val="99"/>
    <w:pPr>
      <w:tabs>
        <w:tab w:val="clear" w:pos="360"/>
      </w:tabs>
    </w:pPr>
    <w:rPr>
      <w:rFonts w:ascii="宋体" w:eastAsia="宋体"/>
      <w:szCs w:val="21"/>
    </w:rPr>
  </w:style>
  <w:style w:type="paragraph" w:customStyle="1" w:styleId="170">
    <w:name w:val="封面一致性程度标识2"/>
    <w:basedOn w:val="132"/>
    <w:qFormat/>
    <w:uiPriority w:val="99"/>
    <w:pPr>
      <w:framePr w:wrap="around" w:y="4469"/>
    </w:pPr>
  </w:style>
  <w:style w:type="paragraph" w:customStyle="1" w:styleId="171">
    <w:name w:val="abstract"/>
    <w:basedOn w:val="1"/>
    <w:next w:val="1"/>
    <w:qFormat/>
    <w:uiPriority w:val="99"/>
    <w:pPr>
      <w:spacing w:before="120" w:after="120"/>
      <w:ind w:left="1440" w:right="1440"/>
    </w:pPr>
    <w:rPr>
      <w:rFonts w:ascii="Book Antiqua" w:hAnsi="Book Antiqua"/>
      <w:i/>
      <w:sz w:val="20"/>
      <w:lang w:eastAsia="en-US"/>
    </w:rPr>
  </w:style>
  <w:style w:type="paragraph" w:customStyle="1" w:styleId="172">
    <w:name w:val="二级无"/>
    <w:basedOn w:val="87"/>
    <w:qFormat/>
    <w:uiPriority w:val="99"/>
    <w:pPr>
      <w:spacing w:before="50" w:after="50"/>
    </w:pPr>
    <w:rPr>
      <w:rFonts w:ascii="宋体" w:eastAsia="宋体"/>
    </w:rPr>
  </w:style>
  <w:style w:type="paragraph" w:customStyle="1" w:styleId="173">
    <w:name w:val="et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74">
    <w:name w:val="其他发布部门"/>
    <w:basedOn w:val="152"/>
    <w:qFormat/>
    <w:uiPriority w:val="99"/>
    <w:pPr>
      <w:framePr w:wrap="around" w:y="15310"/>
      <w:spacing w:line="0" w:lineRule="atLeast"/>
    </w:pPr>
    <w:rPr>
      <w:rFonts w:ascii="黑体" w:eastAsia="黑体"/>
      <w:b w:val="0"/>
    </w:rPr>
  </w:style>
  <w:style w:type="paragraph" w:customStyle="1" w:styleId="175">
    <w:name w:val="样式 标题 1_A"/>
    <w:basedOn w:val="3"/>
    <w:qFormat/>
    <w:uiPriority w:val="99"/>
    <w:pPr>
      <w:keepNext w:val="0"/>
      <w:keepLines w:val="0"/>
      <w:pBdr>
        <w:top w:val="single" w:color="5B9BD5" w:sz="24" w:space="0"/>
        <w:left w:val="single" w:color="5B9BD5" w:sz="24" w:space="0"/>
        <w:bottom w:val="single" w:color="5B9BD5" w:sz="24" w:space="0"/>
        <w:right w:val="single" w:color="5B9BD5" w:sz="24" w:space="0"/>
      </w:pBdr>
      <w:shd w:val="clear" w:color="auto" w:fill="5B9BD5"/>
      <w:spacing w:before="0" w:after="0" w:line="240" w:lineRule="auto"/>
    </w:pPr>
    <w:rPr>
      <w:rFonts w:ascii="楷体_GB2312" w:hAnsi="楷体_GB2312" w:eastAsia="楷体_GB2312"/>
      <w:bCs w:val="0"/>
      <w:caps/>
      <w:color w:val="FFFFFF"/>
      <w:spacing w:val="-2"/>
      <w:kern w:val="2"/>
      <w:szCs w:val="22"/>
    </w:rPr>
  </w:style>
  <w:style w:type="paragraph" w:customStyle="1" w:styleId="176">
    <w:name w:val="封面标准代替信息"/>
    <w:qFormat/>
    <w:uiPriority w:val="99"/>
    <w:pPr>
      <w:framePr w:w="9140" w:h="1242" w:hSpace="284" w:wrap="around" w:vAnchor="page" w:hAnchor="page" w:x="1645" w:y="2910" w:anchorLock="1"/>
      <w:spacing w:before="57" w:after="200" w:line="280" w:lineRule="exact"/>
      <w:jc w:val="right"/>
    </w:pPr>
    <w:rPr>
      <w:rFonts w:ascii="宋体" w:hAnsi="Calibri" w:eastAsia="宋体" w:cs="Times New Roman"/>
      <w:sz w:val="21"/>
      <w:szCs w:val="21"/>
      <w:lang w:val="en-US" w:eastAsia="zh-CN" w:bidi="ar-SA"/>
    </w:rPr>
  </w:style>
  <w:style w:type="paragraph" w:customStyle="1" w:styleId="177">
    <w:name w:val="样式"/>
    <w:qFormat/>
    <w:uiPriority w:val="99"/>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78">
    <w:name w:val="列项说明数字编号"/>
    <w:qFormat/>
    <w:uiPriority w:val="99"/>
    <w:pPr>
      <w:spacing w:before="100" w:after="200" w:line="276" w:lineRule="auto"/>
      <w:ind w:left="600" w:leftChars="400" w:hanging="200" w:hangingChars="200"/>
    </w:pPr>
    <w:rPr>
      <w:rFonts w:ascii="宋体" w:hAnsi="Calibri" w:eastAsia="宋体" w:cs="Times New Roman"/>
      <w:sz w:val="21"/>
      <w:lang w:val="en-US" w:eastAsia="zh-CN" w:bidi="ar-SA"/>
    </w:rPr>
  </w:style>
  <w:style w:type="paragraph" w:customStyle="1" w:styleId="179">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80">
    <w:name w:val="font3"/>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181">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182">
    <w:name w:val="正文公式编号制表符"/>
    <w:basedOn w:val="79"/>
    <w:next w:val="79"/>
    <w:qFormat/>
    <w:uiPriority w:val="99"/>
    <w:pPr>
      <w:tabs>
        <w:tab w:val="center" w:pos="4201"/>
        <w:tab w:val="right" w:leader="dot" w:pos="9298"/>
      </w:tabs>
      <w:spacing w:before="100" w:after="200" w:line="276" w:lineRule="auto"/>
      <w:ind w:firstLine="0" w:firstLineChars="0"/>
    </w:pPr>
    <w:rPr>
      <w:rFonts w:eastAsia="Times New Roman"/>
    </w:rPr>
  </w:style>
  <w:style w:type="paragraph" w:customStyle="1" w:styleId="183">
    <w:name w:val="封面标准文稿类别2"/>
    <w:basedOn w:val="131"/>
    <w:qFormat/>
    <w:uiPriority w:val="99"/>
    <w:pPr>
      <w:framePr w:wrap="around" w:y="4469"/>
    </w:pPr>
  </w:style>
  <w:style w:type="paragraph" w:customStyle="1" w:styleId="184">
    <w:name w:val="封面标准号1"/>
    <w:qFormat/>
    <w:uiPriority w:val="99"/>
    <w:pPr>
      <w:widowControl w:val="0"/>
      <w:kinsoku w:val="0"/>
      <w:overflowPunct w:val="0"/>
      <w:autoSpaceDE w:val="0"/>
      <w:autoSpaceDN w:val="0"/>
      <w:spacing w:before="308" w:after="200" w:line="276" w:lineRule="auto"/>
      <w:jc w:val="right"/>
    </w:pPr>
    <w:rPr>
      <w:rFonts w:ascii="Calibri" w:hAnsi="Calibri" w:eastAsia="宋体" w:cs="Times New Roman"/>
      <w:sz w:val="28"/>
      <w:lang w:val="en-US" w:eastAsia="zh-CN" w:bidi="ar-SA"/>
    </w:rPr>
  </w:style>
  <w:style w:type="paragraph" w:customStyle="1" w:styleId="185">
    <w:name w:val="et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86">
    <w:name w:val="无间隔1"/>
    <w:qFormat/>
    <w:uiPriority w:val="1"/>
    <w:pPr>
      <w:spacing w:before="100"/>
    </w:pPr>
    <w:rPr>
      <w:rFonts w:ascii="Calibri" w:hAnsi="Calibri" w:eastAsia="宋体" w:cs="Times New Roman"/>
      <w:lang w:val="en-US" w:eastAsia="zh-CN" w:bidi="ar-SA"/>
    </w:rPr>
  </w:style>
  <w:style w:type="paragraph" w:customStyle="1" w:styleId="187">
    <w:name w:val="标准书脚_奇数页"/>
    <w:qFormat/>
    <w:uiPriority w:val="99"/>
    <w:pPr>
      <w:spacing w:before="120" w:after="200" w:line="276" w:lineRule="auto"/>
      <w:ind w:right="198"/>
      <w:jc w:val="right"/>
    </w:pPr>
    <w:rPr>
      <w:rFonts w:ascii="宋体" w:hAnsi="Calibri" w:eastAsia="宋体" w:cs="Times New Roman"/>
      <w:sz w:val="18"/>
      <w:szCs w:val="18"/>
      <w:lang w:val="en-US" w:eastAsia="zh-CN" w:bidi="ar-SA"/>
    </w:rPr>
  </w:style>
  <w:style w:type="paragraph" w:customStyle="1" w:styleId="188">
    <w:name w:val="样式 首行缩进:  2 字符"/>
    <w:basedOn w:val="1"/>
    <w:qFormat/>
    <w:uiPriority w:val="99"/>
    <w:pPr>
      <w:spacing w:line="400" w:lineRule="exact"/>
      <w:ind w:firstLine="200" w:firstLineChars="200"/>
    </w:pPr>
    <w:rPr>
      <w:rFonts w:cs="宋体"/>
      <w:sz w:val="24"/>
    </w:rPr>
  </w:style>
  <w:style w:type="paragraph" w:customStyle="1" w:styleId="189">
    <w:name w:val="列项●（二级）"/>
    <w:qFormat/>
    <w:uiPriority w:val="99"/>
    <w:pPr>
      <w:numPr>
        <w:ilvl w:val="1"/>
        <w:numId w:val="16"/>
      </w:numPr>
      <w:spacing w:before="100" w:after="200" w:line="276" w:lineRule="auto"/>
      <w:jc w:val="both"/>
    </w:pPr>
    <w:rPr>
      <w:rFonts w:ascii="宋体" w:hAnsi="Calibri" w:eastAsia="宋体" w:cs="Times New Roman"/>
      <w:sz w:val="21"/>
      <w:lang w:val="en-US" w:eastAsia="zh-CN" w:bidi="ar-SA"/>
    </w:rPr>
  </w:style>
  <w:style w:type="paragraph" w:customStyle="1" w:styleId="190">
    <w:name w:val="et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191">
    <w:name w:val="列项——（一级）"/>
    <w:qFormat/>
    <w:uiPriority w:val="99"/>
    <w:pPr>
      <w:widowControl w:val="0"/>
      <w:numPr>
        <w:ilvl w:val="0"/>
        <w:numId w:val="16"/>
      </w:numPr>
      <w:spacing w:before="100" w:after="200" w:line="276" w:lineRule="auto"/>
      <w:ind w:left="360" w:hanging="360"/>
      <w:jc w:val="both"/>
    </w:pPr>
    <w:rPr>
      <w:rFonts w:ascii="宋体" w:hAnsi="Calibri" w:eastAsia="宋体" w:cs="Times New Roman"/>
      <w:sz w:val="21"/>
      <w:lang w:val="en-US" w:eastAsia="zh-CN" w:bidi="ar-SA"/>
    </w:rPr>
  </w:style>
  <w:style w:type="paragraph" w:customStyle="1" w:styleId="192">
    <w:name w:val="正文首行缩进两字符"/>
    <w:basedOn w:val="1"/>
    <w:qFormat/>
    <w:uiPriority w:val="99"/>
    <w:pPr>
      <w:spacing w:line="360" w:lineRule="auto"/>
      <w:ind w:firstLine="200" w:firstLineChars="200"/>
    </w:pPr>
  </w:style>
  <w:style w:type="paragraph" w:customStyle="1" w:styleId="193">
    <w:name w:val="示例×："/>
    <w:basedOn w:val="86"/>
    <w:qFormat/>
    <w:uiPriority w:val="99"/>
    <w:pPr>
      <w:numPr>
        <w:numId w:val="17"/>
      </w:numPr>
      <w:tabs>
        <w:tab w:val="left" w:pos="420"/>
        <w:tab w:val="left" w:pos="425"/>
      </w:tabs>
      <w:spacing w:line="276" w:lineRule="auto"/>
      <w:ind w:left="360" w:hanging="360"/>
      <w:outlineLvl w:val="9"/>
    </w:pPr>
    <w:rPr>
      <w:rFonts w:ascii="宋体" w:hAnsi="Calibri" w:eastAsia="宋体"/>
      <w:sz w:val="18"/>
      <w:szCs w:val="18"/>
    </w:rPr>
  </w:style>
  <w:style w:type="paragraph" w:customStyle="1" w:styleId="194">
    <w:name w:val="正文首行缩进 21"/>
    <w:basedOn w:val="24"/>
    <w:qFormat/>
    <w:uiPriority w:val="99"/>
    <w:pPr>
      <w:widowControl/>
      <w:adjustRightInd w:val="0"/>
      <w:snapToGrid w:val="0"/>
      <w:spacing w:after="120"/>
      <w:ind w:left="420" w:leftChars="200" w:firstLine="420" w:firstLineChars="200"/>
    </w:pPr>
    <w:rPr>
      <w:rFonts w:ascii="Calibri" w:hAnsi="Calibri" w:eastAsia="仿宋"/>
      <w:kern w:val="44"/>
      <w:sz w:val="24"/>
      <w:szCs w:val="22"/>
      <w:lang w:val="zh-CN" w:eastAsia="en-US"/>
    </w:rPr>
  </w:style>
  <w:style w:type="paragraph" w:customStyle="1" w:styleId="195">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96">
    <w:name w:val="封面标准号2"/>
    <w:qFormat/>
    <w:uiPriority w:val="99"/>
    <w:pPr>
      <w:framePr w:w="9140" w:h="1242" w:hSpace="284" w:wrap="around" w:vAnchor="page" w:hAnchor="page" w:x="1645" w:y="2910" w:anchorLock="1"/>
      <w:spacing w:before="357" w:after="200" w:line="280" w:lineRule="exact"/>
      <w:jc w:val="right"/>
    </w:pPr>
    <w:rPr>
      <w:rFonts w:ascii="黑体" w:hAnsi="Calibri" w:eastAsia="黑体" w:cs="Times New Roman"/>
      <w:sz w:val="28"/>
      <w:szCs w:val="28"/>
      <w:lang w:val="en-US" w:eastAsia="zh-CN" w:bidi="ar-SA"/>
    </w:rPr>
  </w:style>
  <w:style w:type="paragraph" w:customStyle="1" w:styleId="197">
    <w:name w:val="其他标准标志"/>
    <w:basedOn w:val="104"/>
    <w:qFormat/>
    <w:uiPriority w:val="99"/>
    <w:pPr>
      <w:framePr w:w="6101" w:wrap="around" w:vAnchor="page" w:hAnchor="page" w:x="4673" w:y="942"/>
    </w:pPr>
    <w:rPr>
      <w:w w:val="130"/>
    </w:rPr>
  </w:style>
  <w:style w:type="paragraph" w:customStyle="1" w:styleId="198">
    <w:name w:val="三级无"/>
    <w:basedOn w:val="121"/>
    <w:qFormat/>
    <w:uiPriority w:val="99"/>
    <w:pPr>
      <w:spacing w:before="50" w:after="50"/>
    </w:pPr>
    <w:rPr>
      <w:rFonts w:ascii="宋体" w:eastAsia="宋体"/>
    </w:rPr>
  </w:style>
  <w:style w:type="paragraph" w:customStyle="1" w:styleId="199">
    <w:name w:val="编号列项（三级）"/>
    <w:qFormat/>
    <w:uiPriority w:val="99"/>
    <w:pPr>
      <w:spacing w:before="100" w:after="200" w:line="276" w:lineRule="auto"/>
    </w:pPr>
    <w:rPr>
      <w:rFonts w:ascii="宋体" w:hAnsi="Calibri" w:eastAsia="宋体" w:cs="Times New Roman"/>
      <w:sz w:val="21"/>
      <w:lang w:val="en-US" w:eastAsia="zh-CN" w:bidi="ar-SA"/>
    </w:rPr>
  </w:style>
  <w:style w:type="paragraph" w:customStyle="1" w:styleId="200">
    <w:name w:val="列项◆（三级）"/>
    <w:basedOn w:val="1"/>
    <w:qFormat/>
    <w:uiPriority w:val="99"/>
    <w:pPr>
      <w:widowControl/>
      <w:numPr>
        <w:ilvl w:val="2"/>
        <w:numId w:val="16"/>
      </w:numPr>
      <w:tabs>
        <w:tab w:val="clear" w:pos="1260"/>
      </w:tabs>
      <w:spacing w:before="100" w:after="200" w:line="276" w:lineRule="auto"/>
      <w:jc w:val="left"/>
    </w:pPr>
    <w:rPr>
      <w:rFonts w:ascii="宋体" w:hAnsi="Calibri" w:eastAsia="楷体_GB2312"/>
      <w:kern w:val="0"/>
      <w:sz w:val="24"/>
      <w:szCs w:val="21"/>
    </w:rPr>
  </w:style>
  <w:style w:type="paragraph" w:customStyle="1" w:styleId="201">
    <w:name w:val="字母编号列项（一级）"/>
    <w:qFormat/>
    <w:uiPriority w:val="99"/>
    <w:pPr>
      <w:numPr>
        <w:ilvl w:val="0"/>
        <w:numId w:val="18"/>
      </w:numPr>
      <w:jc w:val="both"/>
    </w:pPr>
    <w:rPr>
      <w:rFonts w:ascii="宋体" w:hAnsi="Times New Roman" w:eastAsia="宋体" w:cs="Times New Roman"/>
      <w:sz w:val="21"/>
      <w:lang w:val="en-US" w:eastAsia="zh-CN" w:bidi="ar-SA"/>
    </w:rPr>
  </w:style>
  <w:style w:type="paragraph" w:customStyle="1" w:styleId="202">
    <w:name w:val="图表脚注说明"/>
    <w:basedOn w:val="1"/>
    <w:qFormat/>
    <w:uiPriority w:val="99"/>
    <w:pPr>
      <w:widowControl/>
      <w:numPr>
        <w:ilvl w:val="0"/>
        <w:numId w:val="19"/>
      </w:numPr>
      <w:spacing w:before="100" w:after="200" w:line="276" w:lineRule="auto"/>
      <w:ind w:left="360" w:hanging="360"/>
      <w:jc w:val="left"/>
    </w:pPr>
    <w:rPr>
      <w:rFonts w:ascii="宋体" w:hAnsi="Calibri" w:eastAsia="楷体_GB2312"/>
      <w:kern w:val="0"/>
      <w:sz w:val="18"/>
      <w:szCs w:val="18"/>
    </w:rPr>
  </w:style>
  <w:style w:type="paragraph" w:customStyle="1" w:styleId="203">
    <w:name w:val="TOC 标题1"/>
    <w:basedOn w:val="3"/>
    <w:next w:val="1"/>
    <w:qFormat/>
    <w:uiPriority w:val="39"/>
    <w:pPr>
      <w:keepNext w:val="0"/>
      <w:keepLines w:val="0"/>
      <w:widowControl/>
      <w:pBdr>
        <w:top w:val="single" w:color="5B9BD5" w:sz="24" w:space="0"/>
        <w:left w:val="single" w:color="5B9BD5" w:sz="24" w:space="0"/>
        <w:bottom w:val="single" w:color="5B9BD5" w:sz="24" w:space="0"/>
        <w:right w:val="single" w:color="5B9BD5" w:sz="24" w:space="0"/>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204">
    <w:name w:val="样式 标题 2 _A"/>
    <w:basedOn w:val="4"/>
    <w:qFormat/>
    <w:uiPriority w:val="99"/>
    <w:pPr>
      <w:numPr>
        <w:ilvl w:val="1"/>
        <w:numId w:val="20"/>
      </w:numPr>
      <w:spacing w:after="20" w:line="410" w:lineRule="auto"/>
    </w:pPr>
    <w:rPr>
      <w:rFonts w:ascii="楷体_GB2312" w:hAnsi="楷体_GB2312" w:eastAsia="楷体_GB2312" w:cs="宋体"/>
      <w:kern w:val="44"/>
    </w:rPr>
  </w:style>
  <w:style w:type="paragraph" w:customStyle="1" w:styleId="205">
    <w:name w:val="修订2"/>
    <w:qFormat/>
    <w:uiPriority w:val="99"/>
    <w:rPr>
      <w:rFonts w:ascii="Times New Roman" w:hAnsi="Times New Roman" w:eastAsia="微软雅黑" w:cs="Times New Roman"/>
      <w:kern w:val="44"/>
      <w:sz w:val="24"/>
      <w:lang w:val="en-US" w:eastAsia="en-US" w:bidi="ar-SA"/>
    </w:rPr>
  </w:style>
  <w:style w:type="paragraph" w:customStyle="1" w:styleId="206">
    <w:name w:val="et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0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8">
    <w:name w:val="正文表标题"/>
    <w:next w:val="79"/>
    <w:qFormat/>
    <w:uiPriority w:val="99"/>
    <w:pPr>
      <w:tabs>
        <w:tab w:val="left" w:pos="1620"/>
      </w:tabs>
      <w:ind w:left="1620" w:hanging="348"/>
      <w:jc w:val="center"/>
    </w:pPr>
    <w:rPr>
      <w:rFonts w:ascii="黑体" w:hAnsi="Times New Roman" w:eastAsia="黑体" w:cs="Times New Roman"/>
      <w:sz w:val="21"/>
      <w:lang w:val="en-US" w:eastAsia="zh-CN" w:bidi="ar-SA"/>
    </w:rPr>
  </w:style>
  <w:style w:type="paragraph" w:customStyle="1" w:styleId="209">
    <w:name w:val="标准书眉_偶数页"/>
    <w:basedOn w:val="210"/>
    <w:next w:val="1"/>
    <w:qFormat/>
    <w:uiPriority w:val="99"/>
    <w:pPr>
      <w:tabs>
        <w:tab w:val="center" w:pos="4154"/>
        <w:tab w:val="right" w:pos="8306"/>
      </w:tabs>
      <w:jc w:val="left"/>
    </w:pPr>
  </w:style>
  <w:style w:type="paragraph" w:customStyle="1" w:styleId="210">
    <w:name w:val="标准书眉_奇数页"/>
    <w:next w:val="1"/>
    <w:qFormat/>
    <w:uiPriority w:val="99"/>
    <w:pPr>
      <w:tabs>
        <w:tab w:val="center" w:pos="4154"/>
        <w:tab w:val="right" w:pos="8306"/>
      </w:tabs>
      <w:spacing w:before="100" w:after="220" w:line="276" w:lineRule="auto"/>
      <w:jc w:val="right"/>
    </w:pPr>
    <w:rPr>
      <w:rFonts w:ascii="黑体" w:hAnsi="Calibri" w:eastAsia="黑体" w:cs="Times New Roman"/>
      <w:sz w:val="21"/>
      <w:szCs w:val="21"/>
      <w:lang w:val="en-US" w:eastAsia="zh-CN" w:bidi="ar-SA"/>
    </w:rPr>
  </w:style>
  <w:style w:type="paragraph" w:customStyle="1" w:styleId="211">
    <w:name w:val="无标题条"/>
    <w:next w:val="79"/>
    <w:qFormat/>
    <w:uiPriority w:val="99"/>
    <w:pPr>
      <w:spacing w:before="100" w:after="200" w:line="276" w:lineRule="auto"/>
      <w:jc w:val="both"/>
    </w:pPr>
    <w:rPr>
      <w:rFonts w:ascii="Calibri" w:hAnsi="Calibri" w:eastAsia="宋体" w:cs="Times New Roman"/>
      <w:sz w:val="21"/>
      <w:lang w:val="en-US" w:eastAsia="zh-CN" w:bidi="ar-SA"/>
    </w:rPr>
  </w:style>
  <w:style w:type="paragraph" w:customStyle="1" w:styleId="212">
    <w:name w:val="Default"/>
    <w:qFormat/>
    <w:uiPriority w:val="99"/>
    <w:pPr>
      <w:widowControl w:val="0"/>
      <w:autoSpaceDE w:val="0"/>
      <w:autoSpaceDN w:val="0"/>
      <w:adjustRightInd w:val="0"/>
      <w:spacing w:before="100" w:after="200" w:line="276" w:lineRule="auto"/>
    </w:pPr>
    <w:rPr>
      <w:rFonts w:ascii="宋体" w:hAnsi="Calibri" w:eastAsia="宋体" w:cs="宋体"/>
      <w:color w:val="000000"/>
      <w:sz w:val="24"/>
      <w:szCs w:val="24"/>
      <w:lang w:val="en-US" w:eastAsia="zh-CN" w:bidi="ar-SA"/>
    </w:rPr>
  </w:style>
  <w:style w:type="paragraph" w:customStyle="1" w:styleId="213">
    <w:name w:val="Char1"/>
    <w:basedOn w:val="1"/>
    <w:qFormat/>
    <w:uiPriority w:val="99"/>
    <w:rPr>
      <w:szCs w:val="21"/>
    </w:rPr>
  </w:style>
  <w:style w:type="paragraph" w:customStyle="1" w:styleId="214">
    <w:name w:val="目次、索引正文"/>
    <w:qFormat/>
    <w:uiPriority w:val="99"/>
    <w:pPr>
      <w:spacing w:before="100" w:after="200" w:line="320" w:lineRule="exact"/>
      <w:jc w:val="both"/>
    </w:pPr>
    <w:rPr>
      <w:rFonts w:ascii="宋体" w:hAnsi="Calibri" w:eastAsia="宋体" w:cs="Times New Roman"/>
      <w:sz w:val="21"/>
      <w:lang w:val="en-US" w:eastAsia="zh-CN" w:bidi="ar-SA"/>
    </w:rPr>
  </w:style>
  <w:style w:type="paragraph" w:customStyle="1" w:styleId="215">
    <w:name w:val="图的脚注"/>
    <w:next w:val="79"/>
    <w:qFormat/>
    <w:uiPriority w:val="99"/>
    <w:pPr>
      <w:widowControl w:val="0"/>
      <w:spacing w:before="100" w:after="200" w:line="276" w:lineRule="auto"/>
      <w:ind w:left="840" w:leftChars="200" w:hanging="420" w:hangingChars="200"/>
      <w:jc w:val="both"/>
    </w:pPr>
    <w:rPr>
      <w:rFonts w:ascii="宋体" w:hAnsi="Calibri" w:eastAsia="宋体" w:cs="Times New Roman"/>
      <w:sz w:val="18"/>
      <w:lang w:val="en-US" w:eastAsia="zh-CN" w:bidi="ar-SA"/>
    </w:rPr>
  </w:style>
  <w:style w:type="paragraph" w:customStyle="1" w:styleId="216">
    <w:name w:val="纯文本1"/>
    <w:basedOn w:val="1"/>
    <w:qFormat/>
    <w:uiPriority w:val="99"/>
    <w:rPr>
      <w:rFonts w:ascii="宋体" w:hAnsi="Courier New" w:cs="Century"/>
      <w:szCs w:val="21"/>
    </w:rPr>
  </w:style>
  <w:style w:type="paragraph" w:customStyle="1" w:styleId="217">
    <w:name w:val="附录表标号"/>
    <w:basedOn w:val="1"/>
    <w:next w:val="79"/>
    <w:qFormat/>
    <w:uiPriority w:val="99"/>
    <w:pPr>
      <w:widowControl/>
      <w:numPr>
        <w:ilvl w:val="0"/>
        <w:numId w:val="12"/>
      </w:numPr>
      <w:spacing w:before="100" w:after="200" w:line="14" w:lineRule="exact"/>
      <w:ind w:left="811" w:hanging="448"/>
      <w:jc w:val="center"/>
      <w:outlineLvl w:val="0"/>
    </w:pPr>
    <w:rPr>
      <w:rFonts w:ascii="Calibri" w:hAnsi="Calibri" w:eastAsia="楷体_GB2312"/>
      <w:color w:val="FFFFFF"/>
      <w:kern w:val="0"/>
      <w:sz w:val="24"/>
      <w:szCs w:val="20"/>
    </w:rPr>
  </w:style>
  <w:style w:type="paragraph" w:customStyle="1" w:styleId="218">
    <w:name w:val="_Style 214"/>
    <w:qFormat/>
    <w:uiPriority w:val="99"/>
    <w:rPr>
      <w:rFonts w:ascii="Times New Roman" w:hAnsi="Times New Roman" w:eastAsia="宋体" w:cs="Times New Roman"/>
      <w:kern w:val="2"/>
      <w:sz w:val="21"/>
      <w:szCs w:val="24"/>
      <w:lang w:val="en-US" w:eastAsia="zh-CN" w:bidi="ar-SA"/>
    </w:rPr>
  </w:style>
  <w:style w:type="paragraph" w:customStyle="1" w:styleId="219">
    <w:name w:val="其他实施日期"/>
    <w:basedOn w:val="155"/>
    <w:qFormat/>
    <w:uiPriority w:val="99"/>
    <w:pPr>
      <w:framePr w:wrap="around"/>
    </w:pPr>
  </w:style>
  <w:style w:type="paragraph" w:styleId="220">
    <w:name w:val="List Paragraph"/>
    <w:basedOn w:val="1"/>
    <w:qFormat/>
    <w:uiPriority w:val="99"/>
    <w:pPr>
      <w:ind w:firstLine="420" w:firstLineChars="200"/>
    </w:pPr>
  </w:style>
  <w:style w:type="paragraph" w:customStyle="1" w:styleId="221">
    <w:name w:val="默认段落字体 Para Char Char Char Char Char Char Char Char Char1 Char Char Char Char"/>
    <w:basedOn w:val="1"/>
    <w:qFormat/>
    <w:uiPriority w:val="99"/>
    <w:rPr>
      <w:rFonts w:ascii="Tahoma" w:hAnsi="Tahoma"/>
      <w:sz w:val="24"/>
      <w:szCs w:val="20"/>
    </w:rPr>
  </w:style>
  <w:style w:type="paragraph" w:customStyle="1" w:styleId="222">
    <w:name w:val="样式 样式 标题 1_A + 右侧:  0.37 厘米"/>
    <w:basedOn w:val="175"/>
    <w:qFormat/>
    <w:uiPriority w:val="99"/>
    <w:pPr>
      <w:numPr>
        <w:ilvl w:val="0"/>
        <w:numId w:val="20"/>
      </w:numPr>
      <w:ind w:left="-2" w:right="210" w:firstLine="0"/>
    </w:pPr>
    <w:rPr>
      <w:rFonts w:cs="宋体"/>
      <w:szCs w:val="20"/>
    </w:rPr>
  </w:style>
  <w:style w:type="paragraph" w:customStyle="1" w:styleId="223">
    <w:name w:val="示例"/>
    <w:next w:val="148"/>
    <w:qFormat/>
    <w:uiPriority w:val="99"/>
    <w:pPr>
      <w:widowControl w:val="0"/>
      <w:numPr>
        <w:ilvl w:val="0"/>
        <w:numId w:val="21"/>
      </w:numPr>
      <w:tabs>
        <w:tab w:val="clear" w:pos="425"/>
      </w:tabs>
      <w:spacing w:before="100" w:after="200" w:line="276" w:lineRule="auto"/>
      <w:ind w:left="840" w:hanging="420"/>
      <w:jc w:val="both"/>
    </w:pPr>
    <w:rPr>
      <w:rFonts w:ascii="宋体" w:hAnsi="Calibri" w:eastAsia="宋体" w:cs="Times New Roman"/>
      <w:sz w:val="18"/>
      <w:szCs w:val="18"/>
      <w:lang w:val="en-US" w:eastAsia="zh-CN" w:bidi="ar-SA"/>
    </w:rPr>
  </w:style>
  <w:style w:type="paragraph" w:customStyle="1" w:styleId="224">
    <w:name w:val="et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225">
    <w:name w:val="表头"/>
    <w:qFormat/>
    <w:uiPriority w:val="99"/>
    <w:pPr>
      <w:jc w:val="center"/>
    </w:pPr>
    <w:rPr>
      <w:rFonts w:ascii="Times New Roman" w:hAnsi="Times New Roman" w:eastAsia="宋体" w:cs="Times New Roman"/>
      <w:b/>
      <w:kern w:val="2"/>
      <w:sz w:val="21"/>
      <w:szCs w:val="21"/>
      <w:lang w:val="en-US" w:eastAsia="zh-CN" w:bidi="ar-SA"/>
    </w:rPr>
  </w:style>
  <w:style w:type="paragraph" w:customStyle="1" w:styleId="226">
    <w:name w:val="font1"/>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227">
    <w:name w:val="文献分类号"/>
    <w:qFormat/>
    <w:uiPriority w:val="99"/>
    <w:pPr>
      <w:framePr w:hSpace="180" w:vSpace="180" w:wrap="around" w:vAnchor="margin" w:hAnchor="margin" w:y="1" w:anchorLock="1"/>
      <w:widowControl w:val="0"/>
      <w:spacing w:before="100" w:after="200" w:line="276" w:lineRule="auto"/>
    </w:pPr>
    <w:rPr>
      <w:rFonts w:ascii="黑体" w:hAnsi="Calibri" w:eastAsia="黑体" w:cs="Times New Roman"/>
      <w:sz w:val="21"/>
      <w:szCs w:val="21"/>
      <w:lang w:val="en-US" w:eastAsia="zh-CN" w:bidi="ar-SA"/>
    </w:rPr>
  </w:style>
  <w:style w:type="paragraph" w:customStyle="1" w:styleId="228">
    <w:name w:val="xl6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29">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0">
    <w:name w:val="et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31">
    <w:name w:val="三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232">
    <w:name w:val="四级无"/>
    <w:basedOn w:val="120"/>
    <w:qFormat/>
    <w:uiPriority w:val="99"/>
    <w:pPr>
      <w:numPr>
        <w:ilvl w:val="4"/>
        <w:numId w:val="5"/>
      </w:numPr>
      <w:tabs>
        <w:tab w:val="left" w:pos="1200"/>
      </w:tabs>
      <w:spacing w:before="50" w:after="50"/>
      <w:ind w:left="2100" w:hanging="420"/>
    </w:pPr>
    <w:rPr>
      <w:rFonts w:ascii="宋体" w:eastAsia="宋体"/>
    </w:rPr>
  </w:style>
  <w:style w:type="paragraph" w:customStyle="1" w:styleId="233">
    <w:name w:val="列项说明"/>
    <w:basedOn w:val="1"/>
    <w:qFormat/>
    <w:uiPriority w:val="99"/>
    <w:pPr>
      <w:widowControl/>
      <w:adjustRightInd w:val="0"/>
      <w:spacing w:before="100" w:after="200" w:line="320" w:lineRule="exact"/>
      <w:ind w:left="400" w:leftChars="200" w:hanging="200" w:hangingChars="200"/>
      <w:jc w:val="left"/>
    </w:pPr>
    <w:rPr>
      <w:rFonts w:ascii="宋体" w:hAnsi="Calibri" w:eastAsia="楷体_GB2312"/>
      <w:kern w:val="0"/>
      <w:sz w:val="24"/>
      <w:szCs w:val="20"/>
    </w:rPr>
  </w:style>
  <w:style w:type="paragraph" w:customStyle="1" w:styleId="234">
    <w:name w:val="目次、标准名称标题"/>
    <w:basedOn w:val="1"/>
    <w:next w:val="79"/>
    <w:qFormat/>
    <w:uiPriority w:val="99"/>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35">
    <w:name w:val="数字编号列项（二级）"/>
    <w:qFormat/>
    <w:uiPriority w:val="99"/>
    <w:pPr>
      <w:tabs>
        <w:tab w:val="left" w:pos="1260"/>
      </w:tabs>
      <w:spacing w:before="100" w:after="200" w:line="276" w:lineRule="auto"/>
      <w:ind w:left="567" w:hanging="567"/>
      <w:jc w:val="both"/>
    </w:pPr>
    <w:rPr>
      <w:rFonts w:ascii="宋体" w:hAnsi="Calibri" w:eastAsia="宋体" w:cs="Times New Roman"/>
      <w:sz w:val="21"/>
      <w:lang w:val="en-US" w:eastAsia="zh-CN" w:bidi="ar-SA"/>
    </w:rPr>
  </w:style>
  <w:style w:type="paragraph" w:customStyle="1" w:styleId="236">
    <w:name w:val="修订21"/>
    <w:qFormat/>
    <w:uiPriority w:val="99"/>
    <w:rPr>
      <w:rFonts w:ascii="Times New Roman" w:hAnsi="Times New Roman" w:eastAsia="宋体" w:cs="Times New Roman"/>
      <w:kern w:val="2"/>
      <w:sz w:val="21"/>
      <w:szCs w:val="24"/>
      <w:lang w:val="en-US" w:eastAsia="zh-CN" w:bidi="ar-SA"/>
    </w:rPr>
  </w:style>
  <w:style w:type="character" w:customStyle="1" w:styleId="237">
    <w:name w:val="标题 1 Char"/>
    <w:link w:val="3"/>
    <w:qFormat/>
    <w:uiPriority w:val="9"/>
    <w:rPr>
      <w:rFonts w:ascii="Times New Roman" w:hAnsi="Times New Roman" w:eastAsia="宋体" w:cs="Times New Roman"/>
      <w:b/>
      <w:bCs/>
      <w:kern w:val="44"/>
      <w:sz w:val="44"/>
      <w:szCs w:val="44"/>
    </w:rPr>
  </w:style>
  <w:style w:type="character" w:customStyle="1" w:styleId="238">
    <w:name w:val="标题 3 Char"/>
    <w:link w:val="5"/>
    <w:qFormat/>
    <w:uiPriority w:val="0"/>
    <w:rPr>
      <w:rFonts w:ascii="Times New Roman" w:hAnsi="Times New Roman" w:eastAsia="宋体" w:cs="Times New Roman"/>
      <w:b/>
      <w:bCs/>
      <w:sz w:val="32"/>
      <w:szCs w:val="32"/>
    </w:rPr>
  </w:style>
  <w:style w:type="character" w:customStyle="1" w:styleId="239">
    <w:name w:val="标题 4 Char1"/>
    <w:link w:val="6"/>
    <w:qFormat/>
    <w:uiPriority w:val="0"/>
    <w:rPr>
      <w:rFonts w:ascii="等线 Light" w:hAnsi="等线 Light" w:eastAsia="等线 Light" w:cs="Times New Roman"/>
      <w:b/>
      <w:bCs/>
      <w:kern w:val="2"/>
      <w:sz w:val="28"/>
      <w:szCs w:val="28"/>
    </w:rPr>
  </w:style>
  <w:style w:type="character" w:customStyle="1" w:styleId="240">
    <w:name w:val="标题 5 Char2"/>
    <w:link w:val="7"/>
    <w:qFormat/>
    <w:uiPriority w:val="0"/>
    <w:rPr>
      <w:b/>
      <w:kern w:val="2"/>
      <w:sz w:val="28"/>
      <w:szCs w:val="24"/>
    </w:rPr>
  </w:style>
  <w:style w:type="character" w:customStyle="1" w:styleId="241">
    <w:name w:val="标题 6 Char"/>
    <w:link w:val="9"/>
    <w:qFormat/>
    <w:uiPriority w:val="9"/>
    <w:rPr>
      <w:rFonts w:ascii="Arial" w:hAnsi="Arial" w:eastAsia="黑体"/>
      <w:b/>
      <w:kern w:val="2"/>
      <w:sz w:val="24"/>
      <w:szCs w:val="24"/>
    </w:rPr>
  </w:style>
  <w:style w:type="character" w:customStyle="1" w:styleId="242">
    <w:name w:val="标题 7 Char"/>
    <w:link w:val="10"/>
    <w:qFormat/>
    <w:uiPriority w:val="9"/>
    <w:rPr>
      <w:b/>
      <w:kern w:val="2"/>
      <w:sz w:val="24"/>
      <w:szCs w:val="24"/>
    </w:rPr>
  </w:style>
  <w:style w:type="character" w:customStyle="1" w:styleId="243">
    <w:name w:val="标题 8 Char"/>
    <w:link w:val="11"/>
    <w:qFormat/>
    <w:uiPriority w:val="9"/>
    <w:rPr>
      <w:rFonts w:ascii="Arial" w:hAnsi="Arial" w:eastAsia="黑体"/>
      <w:kern w:val="2"/>
      <w:sz w:val="24"/>
      <w:szCs w:val="24"/>
    </w:rPr>
  </w:style>
  <w:style w:type="character" w:customStyle="1" w:styleId="244">
    <w:name w:val="标题 9 Char"/>
    <w:link w:val="12"/>
    <w:qFormat/>
    <w:uiPriority w:val="9"/>
    <w:rPr>
      <w:rFonts w:ascii="Arial" w:hAnsi="Arial" w:eastAsia="黑体"/>
      <w:kern w:val="2"/>
      <w:sz w:val="21"/>
      <w:szCs w:val="24"/>
    </w:rPr>
  </w:style>
  <w:style w:type="character" w:customStyle="1" w:styleId="245">
    <w:name w:val="文档结构图 Char"/>
    <w:link w:val="19"/>
    <w:qFormat/>
    <w:uiPriority w:val="99"/>
    <w:rPr>
      <w:rFonts w:ascii="宋体" w:hAnsi="宋体"/>
      <w:shd w:val="clear" w:color="auto" w:fill="000080"/>
    </w:rPr>
  </w:style>
  <w:style w:type="character" w:customStyle="1" w:styleId="246">
    <w:name w:val="批注文字 Char2"/>
    <w:link w:val="20"/>
    <w:qFormat/>
    <w:uiPriority w:val="99"/>
    <w:rPr>
      <w:rFonts w:ascii="Times New Roman" w:hAnsi="Times New Roman"/>
      <w:kern w:val="2"/>
      <w:sz w:val="21"/>
      <w:szCs w:val="24"/>
    </w:rPr>
  </w:style>
  <w:style w:type="character" w:customStyle="1" w:styleId="247">
    <w:name w:val="正文文本 3 Char"/>
    <w:link w:val="22"/>
    <w:qFormat/>
    <w:uiPriority w:val="0"/>
    <w:rPr>
      <w:rFonts w:ascii="Times New Roman" w:hAnsi="Times New Roman" w:eastAsia="宋体" w:cs="Times New Roman"/>
      <w:b/>
      <w:bCs/>
      <w:sz w:val="24"/>
      <w:szCs w:val="24"/>
    </w:rPr>
  </w:style>
  <w:style w:type="character" w:customStyle="1" w:styleId="248">
    <w:name w:val="正文文本 Char2"/>
    <w:link w:val="23"/>
    <w:qFormat/>
    <w:uiPriority w:val="99"/>
    <w:rPr>
      <w:rFonts w:ascii="Times New Roman" w:hAnsi="Times New Roman" w:eastAsia="宋体" w:cs="Times New Roman"/>
      <w:sz w:val="24"/>
      <w:szCs w:val="24"/>
    </w:rPr>
  </w:style>
  <w:style w:type="character" w:customStyle="1" w:styleId="249">
    <w:name w:val="页眉 Char"/>
    <w:link w:val="40"/>
    <w:qFormat/>
    <w:uiPriority w:val="99"/>
    <w:rPr>
      <w:rFonts w:ascii="Times New Roman" w:hAnsi="Times New Roman"/>
      <w:kern w:val="2"/>
      <w:sz w:val="18"/>
      <w:szCs w:val="18"/>
    </w:rPr>
  </w:style>
  <w:style w:type="character" w:customStyle="1" w:styleId="250">
    <w:name w:val="正文文本缩进 Char"/>
    <w:link w:val="24"/>
    <w:qFormat/>
    <w:uiPriority w:val="0"/>
    <w:rPr>
      <w:rFonts w:ascii="仿宋_GB2312" w:hAnsi="Times New Roman" w:eastAsia="仿宋_GB2312" w:cs="Times New Roman"/>
      <w:sz w:val="32"/>
      <w:szCs w:val="20"/>
    </w:rPr>
  </w:style>
  <w:style w:type="character" w:customStyle="1" w:styleId="251">
    <w:name w:val="HTML 地址 Char"/>
    <w:link w:val="27"/>
    <w:qFormat/>
    <w:uiPriority w:val="0"/>
    <w:rPr>
      <w:rFonts w:ascii="Calibri" w:hAnsi="Calibri" w:eastAsia="楷体_GB2312"/>
      <w:i/>
      <w:iCs/>
      <w:sz w:val="24"/>
    </w:rPr>
  </w:style>
  <w:style w:type="character" w:customStyle="1" w:styleId="252">
    <w:name w:val="纯文本 Char2"/>
    <w:link w:val="31"/>
    <w:qFormat/>
    <w:uiPriority w:val="0"/>
    <w:rPr>
      <w:rFonts w:ascii="宋体" w:hAnsi="Courier New" w:eastAsia="宋体" w:cs="Courier New"/>
      <w:szCs w:val="21"/>
    </w:rPr>
  </w:style>
  <w:style w:type="character" w:customStyle="1" w:styleId="253">
    <w:name w:val="日期 Char"/>
    <w:link w:val="34"/>
    <w:qFormat/>
    <w:uiPriority w:val="99"/>
    <w:rPr>
      <w:rFonts w:ascii="宋体" w:hAnsi="Courier New" w:eastAsia="宋体" w:cs="Courier New"/>
      <w:szCs w:val="21"/>
    </w:rPr>
  </w:style>
  <w:style w:type="character" w:customStyle="1" w:styleId="254">
    <w:name w:val="正文文本缩进 2 Char"/>
    <w:link w:val="35"/>
    <w:qFormat/>
    <w:uiPriority w:val="99"/>
    <w:rPr>
      <w:rFonts w:ascii="Times New Roman" w:hAnsi="Times New Roman" w:eastAsia="宋体" w:cs="Times New Roman"/>
      <w:sz w:val="32"/>
      <w:szCs w:val="20"/>
    </w:rPr>
  </w:style>
  <w:style w:type="character" w:customStyle="1" w:styleId="255">
    <w:name w:val="尾注文本 Char"/>
    <w:link w:val="36"/>
    <w:qFormat/>
    <w:uiPriority w:val="99"/>
    <w:rPr>
      <w:rFonts w:ascii="Times New Roman" w:hAnsi="Times New Roman"/>
      <w:kern w:val="2"/>
      <w:sz w:val="21"/>
      <w:szCs w:val="24"/>
    </w:rPr>
  </w:style>
  <w:style w:type="character" w:customStyle="1" w:styleId="256">
    <w:name w:val="批注框文本 Char"/>
    <w:link w:val="37"/>
    <w:qFormat/>
    <w:uiPriority w:val="99"/>
    <w:rPr>
      <w:rFonts w:ascii="Times New Roman" w:hAnsi="Times New Roman" w:eastAsia="宋体" w:cs="Times New Roman"/>
      <w:sz w:val="18"/>
      <w:szCs w:val="18"/>
    </w:rPr>
  </w:style>
  <w:style w:type="character" w:customStyle="1" w:styleId="257">
    <w:name w:val="页脚 Char"/>
    <w:link w:val="38"/>
    <w:qFormat/>
    <w:uiPriority w:val="99"/>
    <w:rPr>
      <w:sz w:val="18"/>
      <w:szCs w:val="18"/>
    </w:rPr>
  </w:style>
  <w:style w:type="character" w:customStyle="1" w:styleId="258">
    <w:name w:val="副标题 Char"/>
    <w:link w:val="45"/>
    <w:qFormat/>
    <w:uiPriority w:val="11"/>
    <w:rPr>
      <w:rFonts w:ascii="Calibri" w:hAnsi="Calibri" w:eastAsia="楷体_GB2312"/>
      <w:caps/>
      <w:color w:val="595959"/>
      <w:spacing w:val="10"/>
      <w:sz w:val="21"/>
      <w:szCs w:val="21"/>
    </w:rPr>
  </w:style>
  <w:style w:type="character" w:customStyle="1" w:styleId="259">
    <w:name w:val="脚注文本 Char"/>
    <w:link w:val="47"/>
    <w:qFormat/>
    <w:uiPriority w:val="99"/>
    <w:rPr>
      <w:rFonts w:ascii="Times New Roman" w:hAnsi="Times New Roman"/>
      <w:kern w:val="2"/>
      <w:sz w:val="18"/>
      <w:szCs w:val="18"/>
    </w:rPr>
  </w:style>
  <w:style w:type="character" w:customStyle="1" w:styleId="260">
    <w:name w:val="正文文本缩进 3 Char"/>
    <w:link w:val="49"/>
    <w:qFormat/>
    <w:uiPriority w:val="99"/>
    <w:rPr>
      <w:rFonts w:ascii="Times New Roman" w:hAnsi="Times New Roman" w:eastAsia="宋体" w:cs="Times New Roman"/>
      <w:sz w:val="16"/>
      <w:szCs w:val="16"/>
    </w:rPr>
  </w:style>
  <w:style w:type="character" w:customStyle="1" w:styleId="261">
    <w:name w:val="正文文本 2 Char"/>
    <w:link w:val="54"/>
    <w:qFormat/>
    <w:uiPriority w:val="99"/>
    <w:rPr>
      <w:rFonts w:ascii="Times New Roman" w:hAnsi="Times New Roman" w:eastAsia="宋体" w:cs="Times New Roman"/>
      <w:szCs w:val="24"/>
    </w:rPr>
  </w:style>
  <w:style w:type="character" w:customStyle="1" w:styleId="262">
    <w:name w:val="HTML 预设格式 Char"/>
    <w:link w:val="55"/>
    <w:qFormat/>
    <w:uiPriority w:val="0"/>
    <w:rPr>
      <w:rFonts w:ascii="Courier New" w:hAnsi="Courier New" w:eastAsia="楷体_GB2312"/>
      <w:sz w:val="24"/>
    </w:rPr>
  </w:style>
  <w:style w:type="character" w:customStyle="1" w:styleId="263">
    <w:name w:val="标题 Char"/>
    <w:link w:val="58"/>
    <w:qFormat/>
    <w:uiPriority w:val="99"/>
    <w:rPr>
      <w:rFonts w:ascii="Cambria" w:hAnsi="Cambria" w:cs="Times New Roman"/>
      <w:b/>
      <w:bCs/>
      <w:kern w:val="2"/>
      <w:sz w:val="32"/>
      <w:szCs w:val="32"/>
    </w:rPr>
  </w:style>
  <w:style w:type="character" w:customStyle="1" w:styleId="264">
    <w:name w:val="批注主题 Char"/>
    <w:link w:val="59"/>
    <w:qFormat/>
    <w:uiPriority w:val="99"/>
    <w:rPr>
      <w:rFonts w:ascii="Times New Roman" w:hAnsi="Times New Roman"/>
      <w:b/>
      <w:bCs/>
      <w:kern w:val="2"/>
      <w:sz w:val="21"/>
      <w:szCs w:val="24"/>
    </w:rPr>
  </w:style>
  <w:style w:type="character" w:customStyle="1" w:styleId="265">
    <w:name w:val="正文首行缩进 Char"/>
    <w:link w:val="60"/>
    <w:qFormat/>
    <w:uiPriority w:val="99"/>
    <w:rPr>
      <w:rFonts w:ascii="微软雅黑" w:hAnsi="微软雅黑" w:eastAsia="微软雅黑" w:cs="微软雅黑"/>
      <w:sz w:val="24"/>
      <w:szCs w:val="21"/>
    </w:rPr>
  </w:style>
  <w:style w:type="character" w:customStyle="1" w:styleId="266">
    <w:name w:val="正文首行缩进 2 Char"/>
    <w:link w:val="61"/>
    <w:qFormat/>
    <w:uiPriority w:val="99"/>
    <w:rPr>
      <w:rFonts w:ascii="仿宋_GB2312" w:hAnsi="Times New Roman" w:eastAsia="仿宋_GB2312" w:cs="Times New Roman"/>
      <w:sz w:val="21"/>
      <w:szCs w:val="24"/>
      <w:shd w:val="clear" w:color="auto" w:fill="FFFFFF"/>
    </w:rPr>
  </w:style>
  <w:style w:type="character" w:customStyle="1" w:styleId="267">
    <w:name w:val="标题 7 字符1"/>
    <w:qFormat/>
    <w:uiPriority w:val="9"/>
    <w:rPr>
      <w:b/>
      <w:kern w:val="2"/>
      <w:sz w:val="24"/>
      <w:szCs w:val="24"/>
    </w:rPr>
  </w:style>
  <w:style w:type="character" w:customStyle="1" w:styleId="268">
    <w:name w:val="明显参考1"/>
    <w:qFormat/>
    <w:uiPriority w:val="32"/>
    <w:rPr>
      <w:b/>
      <w:bCs/>
      <w:i/>
      <w:iCs/>
      <w:caps/>
      <w:color w:val="5B9BD5"/>
    </w:rPr>
  </w:style>
  <w:style w:type="character" w:customStyle="1" w:styleId="269">
    <w:name w:val="font51"/>
    <w:qFormat/>
    <w:uiPriority w:val="0"/>
    <w:rPr>
      <w:rFonts w:hint="eastAsia" w:ascii="宋体" w:hAnsi="宋体" w:eastAsia="宋体" w:cs="宋体"/>
      <w:color w:val="000000"/>
      <w:sz w:val="24"/>
      <w:szCs w:val="24"/>
      <w:u w:val="double"/>
    </w:rPr>
  </w:style>
  <w:style w:type="character" w:customStyle="1" w:styleId="270">
    <w:name w:val="前言、引言标题 Char"/>
    <w:link w:val="78"/>
    <w:qFormat/>
    <w:uiPriority w:val="0"/>
    <w:rPr>
      <w:rFonts w:ascii="黑体" w:hAnsi="黑体" w:eastAsia="黑体"/>
      <w:sz w:val="32"/>
      <w:shd w:val="clear" w:color="auto" w:fill="FFFFFF"/>
      <w:lang w:val="en-US" w:eastAsia="zh-CN" w:bidi="ar-SA"/>
    </w:rPr>
  </w:style>
  <w:style w:type="character" w:customStyle="1" w:styleId="271">
    <w:name w:val="段 Char"/>
    <w:link w:val="79"/>
    <w:qFormat/>
    <w:uiPriority w:val="0"/>
    <w:rPr>
      <w:rFonts w:ascii="宋体" w:hAnsi="Calibri"/>
      <w:sz w:val="21"/>
      <w:lang w:val="en-US" w:eastAsia="zh-CN" w:bidi="ar-SA"/>
    </w:rPr>
  </w:style>
  <w:style w:type="character" w:customStyle="1" w:styleId="272">
    <w:name w:val="标题 2 Char Char"/>
    <w:qFormat/>
    <w:uiPriority w:val="0"/>
    <w:rPr>
      <w:rFonts w:hint="eastAsia" w:ascii="宋体" w:hAnsi="宋体" w:eastAsia="宋体"/>
      <w:kern w:val="2"/>
    </w:rPr>
  </w:style>
  <w:style w:type="character" w:customStyle="1" w:styleId="273">
    <w:name w:val="书籍标题1"/>
    <w:qFormat/>
    <w:uiPriority w:val="33"/>
    <w:rPr>
      <w:b/>
      <w:bCs/>
      <w:i/>
      <w:iCs/>
      <w:spacing w:val="0"/>
    </w:rPr>
  </w:style>
  <w:style w:type="character" w:customStyle="1" w:styleId="274">
    <w:name w:val="正文文本缩进 2 字符1"/>
    <w:qFormat/>
    <w:uiPriority w:val="99"/>
    <w:rPr>
      <w:sz w:val="32"/>
    </w:rPr>
  </w:style>
  <w:style w:type="character" w:customStyle="1" w:styleId="275">
    <w:name w:val="标题 6 字符2"/>
    <w:qFormat/>
    <w:uiPriority w:val="9"/>
    <w:rPr>
      <w:rFonts w:ascii="Arial" w:hAnsi="Arial" w:eastAsia="黑体"/>
      <w:b/>
      <w:kern w:val="2"/>
      <w:sz w:val="24"/>
      <w:szCs w:val="24"/>
    </w:rPr>
  </w:style>
  <w:style w:type="character" w:customStyle="1" w:styleId="276">
    <w:name w:val="段 Char Char"/>
    <w:qFormat/>
    <w:uiPriority w:val="0"/>
    <w:rPr>
      <w:rFonts w:hint="eastAsia" w:ascii="宋体" w:hAnsi="宋体" w:eastAsia="宋体"/>
    </w:rPr>
  </w:style>
  <w:style w:type="character" w:customStyle="1" w:styleId="277">
    <w:name w:val="页脚 字符2"/>
    <w:qFormat/>
    <w:uiPriority w:val="99"/>
    <w:rPr>
      <w:sz w:val="18"/>
      <w:szCs w:val="18"/>
    </w:rPr>
  </w:style>
  <w:style w:type="character" w:customStyle="1" w:styleId="278">
    <w:name w:val="个人答复风格"/>
    <w:qFormat/>
    <w:uiPriority w:val="0"/>
    <w:rPr>
      <w:rFonts w:hint="default" w:ascii="Arial" w:hAnsi="Arial" w:eastAsia="宋体" w:cs="Arial"/>
      <w:color w:val="auto"/>
      <w:sz w:val="20"/>
    </w:rPr>
  </w:style>
  <w:style w:type="character" w:customStyle="1" w:styleId="279">
    <w:name w:val="标题 1 字符"/>
    <w:qFormat/>
    <w:uiPriority w:val="9"/>
    <w:rPr>
      <w:rFonts w:ascii="Times New Roman" w:hAnsi="Times New Roman" w:eastAsia="宋体" w:cs="Times New Roman"/>
      <w:b/>
      <w:bCs/>
      <w:kern w:val="44"/>
      <w:sz w:val="44"/>
      <w:szCs w:val="44"/>
    </w:rPr>
  </w:style>
  <w:style w:type="character" w:customStyle="1" w:styleId="280">
    <w:name w:val="纯文本 Char"/>
    <w:qFormat/>
    <w:uiPriority w:val="0"/>
    <w:rPr>
      <w:rFonts w:ascii="宋体" w:hAnsi="Courier New" w:eastAsia="宋体" w:cs="Courier New"/>
      <w:szCs w:val="21"/>
    </w:rPr>
  </w:style>
  <w:style w:type="character" w:customStyle="1" w:styleId="281">
    <w:name w:val="纯文本 字符"/>
    <w:qFormat/>
    <w:uiPriority w:val="0"/>
    <w:rPr>
      <w:rFonts w:ascii="宋体" w:hAnsi="Courier New" w:eastAsia="宋体" w:cs="Courier New"/>
      <w:szCs w:val="21"/>
    </w:rPr>
  </w:style>
  <w:style w:type="character" w:customStyle="1" w:styleId="282">
    <w:name w:val="标题 8 字符2"/>
    <w:qFormat/>
    <w:uiPriority w:val="9"/>
    <w:rPr>
      <w:rFonts w:ascii="Arial" w:hAnsi="Arial" w:eastAsia="黑体"/>
      <w:kern w:val="2"/>
      <w:sz w:val="24"/>
      <w:szCs w:val="24"/>
    </w:rPr>
  </w:style>
  <w:style w:type="character" w:customStyle="1" w:styleId="283">
    <w:name w:val="发布"/>
    <w:qFormat/>
    <w:uiPriority w:val="0"/>
    <w:rPr>
      <w:rFonts w:hint="eastAsia" w:ascii="黑体" w:hAnsi="黑体" w:eastAsia="黑体"/>
      <w:spacing w:val="85"/>
      <w:w w:val="100"/>
      <w:position w:val="3"/>
      <w:sz w:val="28"/>
      <w:szCs w:val="28"/>
    </w:rPr>
  </w:style>
  <w:style w:type="character" w:customStyle="1" w:styleId="284">
    <w:name w:val="正文文本缩进 字符"/>
    <w:qFormat/>
    <w:uiPriority w:val="99"/>
    <w:rPr>
      <w:rFonts w:ascii="仿宋_GB2312" w:hAnsi="Times New Roman" w:eastAsia="仿宋_GB2312" w:cs="Times New Roman"/>
      <w:sz w:val="32"/>
      <w:szCs w:val="20"/>
    </w:rPr>
  </w:style>
  <w:style w:type="character" w:customStyle="1" w:styleId="285">
    <w:name w:val="标题 3 字符2"/>
    <w:qFormat/>
    <w:uiPriority w:val="0"/>
    <w:rPr>
      <w:b/>
      <w:bCs/>
      <w:sz w:val="32"/>
      <w:szCs w:val="32"/>
    </w:rPr>
  </w:style>
  <w:style w:type="character" w:customStyle="1" w:styleId="286">
    <w:name w:val="font71"/>
    <w:qFormat/>
    <w:uiPriority w:val="0"/>
    <w:rPr>
      <w:rFonts w:hint="default" w:ascii="Times New Roman" w:hAnsi="Times New Roman" w:cs="Times New Roman"/>
      <w:color w:val="000000"/>
      <w:sz w:val="21"/>
      <w:szCs w:val="21"/>
      <w:u w:val="none"/>
    </w:rPr>
  </w:style>
  <w:style w:type="character" w:customStyle="1" w:styleId="287">
    <w:name w:val="附录标识 Char"/>
    <w:link w:val="80"/>
    <w:qFormat/>
    <w:uiPriority w:val="99"/>
    <w:rPr>
      <w:rFonts w:ascii="黑体" w:eastAsia="黑体"/>
      <w:sz w:val="21"/>
      <w:shd w:val="clear" w:color="auto" w:fill="FFFFFF"/>
    </w:rPr>
  </w:style>
  <w:style w:type="character" w:customStyle="1" w:styleId="288">
    <w:name w:val="apple-style-span"/>
    <w:qFormat/>
    <w:uiPriority w:val="0"/>
  </w:style>
  <w:style w:type="character" w:customStyle="1" w:styleId="289">
    <w:name w:val="纯文本 Char1"/>
    <w:qFormat/>
    <w:uiPriority w:val="0"/>
    <w:rPr>
      <w:rFonts w:ascii="宋体" w:hAnsi="Courier New" w:eastAsia="宋体" w:cs="Courier New"/>
      <w:szCs w:val="21"/>
    </w:rPr>
  </w:style>
  <w:style w:type="character" w:customStyle="1" w:styleId="290">
    <w:name w:val="apple-converted-space"/>
    <w:qFormat/>
    <w:uiPriority w:val="0"/>
  </w:style>
  <w:style w:type="character" w:customStyle="1" w:styleId="291">
    <w:name w:val="标题 9 字符1"/>
    <w:qFormat/>
    <w:uiPriority w:val="9"/>
    <w:rPr>
      <w:rFonts w:hint="default" w:ascii="Arial" w:hAnsi="Arial" w:eastAsia="黑体" w:cs="Arial"/>
      <w:kern w:val="2"/>
      <w:sz w:val="21"/>
      <w:szCs w:val="24"/>
    </w:rPr>
  </w:style>
  <w:style w:type="character" w:customStyle="1" w:styleId="292">
    <w:name w:val="批注文字 字符"/>
    <w:qFormat/>
    <w:uiPriority w:val="99"/>
    <w:rPr>
      <w:rFonts w:ascii="Times New Roman" w:hAnsi="Times New Roman"/>
      <w:kern w:val="2"/>
      <w:sz w:val="21"/>
      <w:szCs w:val="24"/>
    </w:rPr>
  </w:style>
  <w:style w:type="character" w:customStyle="1" w:styleId="293">
    <w:name w:val="标题 9 字符2"/>
    <w:qFormat/>
    <w:uiPriority w:val="9"/>
    <w:rPr>
      <w:rFonts w:ascii="Arial" w:hAnsi="Arial" w:eastAsia="黑体"/>
      <w:kern w:val="2"/>
      <w:sz w:val="21"/>
      <w:szCs w:val="24"/>
    </w:rPr>
  </w:style>
  <w:style w:type="character" w:customStyle="1" w:styleId="294">
    <w:name w:val="正文2 Char Char"/>
    <w:link w:val="81"/>
    <w:qFormat/>
    <w:uiPriority w:val="0"/>
    <w:rPr>
      <w:kern w:val="2"/>
      <w:sz w:val="24"/>
    </w:rPr>
  </w:style>
  <w:style w:type="character" w:customStyle="1" w:styleId="295">
    <w:name w:val="标题 6 字符1"/>
    <w:qFormat/>
    <w:uiPriority w:val="9"/>
    <w:rPr>
      <w:rFonts w:hint="default" w:ascii="Arial" w:hAnsi="Arial" w:eastAsia="黑体" w:cs="Arial"/>
      <w:b/>
      <w:kern w:val="2"/>
      <w:sz w:val="24"/>
      <w:szCs w:val="24"/>
    </w:rPr>
  </w:style>
  <w:style w:type="character" w:customStyle="1" w:styleId="296">
    <w:name w:val="明显引用 字符"/>
    <w:link w:val="82"/>
    <w:qFormat/>
    <w:uiPriority w:val="30"/>
    <w:rPr>
      <w:rFonts w:ascii="Calibri" w:hAnsi="Calibri" w:eastAsia="楷体_GB2312" w:cs="Calibri"/>
      <w:color w:val="5B9BD5"/>
      <w:sz w:val="24"/>
      <w:szCs w:val="24"/>
    </w:rPr>
  </w:style>
  <w:style w:type="character" w:customStyle="1" w:styleId="297">
    <w:name w:val="附录公式 Char"/>
    <w:link w:val="83"/>
    <w:qFormat/>
    <w:uiPriority w:val="0"/>
  </w:style>
  <w:style w:type="character" w:customStyle="1" w:styleId="298">
    <w:name w:val="headline-content4"/>
    <w:qFormat/>
    <w:uiPriority w:val="0"/>
  </w:style>
  <w:style w:type="character" w:customStyle="1" w:styleId="299">
    <w:name w:val="脚注文本 字符1"/>
    <w:qFormat/>
    <w:uiPriority w:val="99"/>
    <w:rPr>
      <w:kern w:val="2"/>
      <w:sz w:val="18"/>
      <w:szCs w:val="18"/>
    </w:rPr>
  </w:style>
  <w:style w:type="character" w:customStyle="1" w:styleId="300">
    <w:name w:val="附录章标题 Char"/>
    <w:link w:val="84"/>
    <w:qFormat/>
    <w:uiPriority w:val="99"/>
    <w:rPr>
      <w:rFonts w:ascii="黑体" w:eastAsia="黑体"/>
      <w:kern w:val="21"/>
      <w:sz w:val="21"/>
      <w:lang w:val="en-US" w:eastAsia="zh-CN" w:bidi="ar-SA"/>
    </w:rPr>
  </w:style>
  <w:style w:type="character" w:customStyle="1" w:styleId="301">
    <w:name w:val="textcontents"/>
    <w:qFormat/>
    <w:uiPriority w:val="0"/>
  </w:style>
  <w:style w:type="character" w:customStyle="1" w:styleId="302">
    <w:name w:val="font41"/>
    <w:qFormat/>
    <w:uiPriority w:val="0"/>
    <w:rPr>
      <w:rFonts w:hint="eastAsia" w:ascii="宋体" w:hAnsi="宋体" w:eastAsia="宋体" w:cs="宋体"/>
      <w:color w:val="000000"/>
      <w:sz w:val="24"/>
      <w:szCs w:val="24"/>
      <w:u w:val="none"/>
    </w:rPr>
  </w:style>
  <w:style w:type="character" w:customStyle="1" w:styleId="303">
    <w:name w:val="尾注文本 字符2"/>
    <w:qFormat/>
    <w:uiPriority w:val="99"/>
    <w:rPr>
      <w:kern w:val="2"/>
      <w:sz w:val="21"/>
      <w:szCs w:val="24"/>
    </w:rPr>
  </w:style>
  <w:style w:type="character" w:customStyle="1" w:styleId="304">
    <w:name w:val="页脚 字符1"/>
    <w:qFormat/>
    <w:uiPriority w:val="99"/>
    <w:rPr>
      <w:sz w:val="18"/>
      <w:szCs w:val="18"/>
    </w:rPr>
  </w:style>
  <w:style w:type="character" w:customStyle="1" w:styleId="305">
    <w:name w:val="正文文本缩进 3 字符2"/>
    <w:qFormat/>
    <w:uiPriority w:val="99"/>
    <w:rPr>
      <w:sz w:val="16"/>
      <w:szCs w:val="16"/>
    </w:rPr>
  </w:style>
  <w:style w:type="character" w:customStyle="1" w:styleId="306">
    <w:name w:val="case31"/>
    <w:qFormat/>
    <w:uiPriority w:val="0"/>
    <w:rPr>
      <w:rFonts w:hint="default" w:ascii="_x000B__x000C_" w:hAnsi="_x000B__x000C_"/>
      <w:sz w:val="21"/>
      <w:szCs w:val="21"/>
    </w:rPr>
  </w:style>
  <w:style w:type="character" w:customStyle="1" w:styleId="307">
    <w:name w:val="首示例 Char"/>
    <w:link w:val="85"/>
    <w:qFormat/>
    <w:uiPriority w:val="99"/>
    <w:rPr>
      <w:rFonts w:ascii="宋体" w:hAnsi="宋体"/>
      <w:kern w:val="2"/>
      <w:sz w:val="18"/>
      <w:szCs w:val="18"/>
      <w:lang w:val="en-US" w:eastAsia="zh-CN" w:bidi="ar-SA"/>
    </w:rPr>
  </w:style>
  <w:style w:type="character" w:customStyle="1" w:styleId="308">
    <w:name w:val="标题 字符2"/>
    <w:qFormat/>
    <w:uiPriority w:val="10"/>
    <w:rPr>
      <w:rFonts w:ascii="Cambria" w:hAnsi="Cambria"/>
      <w:b/>
      <w:bCs/>
      <w:kern w:val="2"/>
      <w:sz w:val="32"/>
      <w:szCs w:val="32"/>
    </w:rPr>
  </w:style>
  <w:style w:type="character" w:customStyle="1" w:styleId="309">
    <w:name w:val="页眉 字符2"/>
    <w:qFormat/>
    <w:uiPriority w:val="99"/>
    <w:rPr>
      <w:kern w:val="2"/>
      <w:sz w:val="18"/>
      <w:szCs w:val="18"/>
    </w:rPr>
  </w:style>
  <w:style w:type="character" w:customStyle="1" w:styleId="310">
    <w:name w:val="正文文本 2 字符2"/>
    <w:qFormat/>
    <w:uiPriority w:val="99"/>
    <w:rPr>
      <w:szCs w:val="24"/>
    </w:rPr>
  </w:style>
  <w:style w:type="character" w:customStyle="1" w:styleId="311">
    <w:name w:val="批注文字 字符3"/>
    <w:qFormat/>
    <w:uiPriority w:val="99"/>
    <w:rPr>
      <w:kern w:val="2"/>
      <w:sz w:val="21"/>
      <w:szCs w:val="24"/>
    </w:rPr>
  </w:style>
  <w:style w:type="character" w:customStyle="1" w:styleId="312">
    <w:name w:val="明显强调1"/>
    <w:qFormat/>
    <w:uiPriority w:val="21"/>
    <w:rPr>
      <w:b/>
      <w:bCs/>
      <w:caps/>
      <w:color w:val="1F4D78"/>
      <w:spacing w:val="10"/>
    </w:rPr>
  </w:style>
  <w:style w:type="character" w:customStyle="1" w:styleId="313">
    <w:name w:val="标题 5 字符1"/>
    <w:qFormat/>
    <w:uiPriority w:val="9"/>
    <w:rPr>
      <w:b/>
      <w:kern w:val="2"/>
      <w:sz w:val="28"/>
      <w:szCs w:val="24"/>
    </w:rPr>
  </w:style>
  <w:style w:type="character" w:customStyle="1" w:styleId="314">
    <w:name w:val="章标题 Char"/>
    <w:link w:val="86"/>
    <w:qFormat/>
    <w:uiPriority w:val="99"/>
    <w:rPr>
      <w:rFonts w:ascii="黑体" w:eastAsia="黑体"/>
      <w:sz w:val="21"/>
      <w:lang w:val="en-US" w:eastAsia="zh-CN" w:bidi="ar-SA"/>
    </w:rPr>
  </w:style>
  <w:style w:type="character" w:customStyle="1" w:styleId="315">
    <w:name w:val="个人撰写风格"/>
    <w:qFormat/>
    <w:uiPriority w:val="0"/>
    <w:rPr>
      <w:rFonts w:hint="default" w:ascii="Arial" w:hAnsi="Arial" w:eastAsia="宋体" w:cs="Arial"/>
      <w:color w:val="auto"/>
      <w:sz w:val="20"/>
    </w:rPr>
  </w:style>
  <w:style w:type="character" w:customStyle="1" w:styleId="316">
    <w:name w:val="正文文本缩进 字符2"/>
    <w:qFormat/>
    <w:uiPriority w:val="99"/>
    <w:rPr>
      <w:rFonts w:ascii="仿宋_GB2312" w:eastAsia="仿宋_GB2312"/>
      <w:sz w:val="32"/>
    </w:rPr>
  </w:style>
  <w:style w:type="character" w:customStyle="1" w:styleId="317">
    <w:name w:val="不明显强调1"/>
    <w:qFormat/>
    <w:uiPriority w:val="19"/>
    <w:rPr>
      <w:i/>
      <w:iCs/>
      <w:color w:val="1F4D78"/>
    </w:rPr>
  </w:style>
  <w:style w:type="character" w:customStyle="1" w:styleId="318">
    <w:name w:val="标题 7 字符2"/>
    <w:qFormat/>
    <w:uiPriority w:val="9"/>
    <w:rPr>
      <w:b/>
      <w:kern w:val="2"/>
      <w:sz w:val="24"/>
      <w:szCs w:val="24"/>
    </w:rPr>
  </w:style>
  <w:style w:type="character" w:customStyle="1" w:styleId="319">
    <w:name w:val="日期 字符1"/>
    <w:qFormat/>
    <w:uiPriority w:val="99"/>
    <w:rPr>
      <w:rFonts w:hint="eastAsia" w:ascii="宋体" w:hAnsi="Courier New" w:eastAsia="宋体"/>
      <w:szCs w:val="21"/>
    </w:rPr>
  </w:style>
  <w:style w:type="character" w:customStyle="1" w:styleId="320">
    <w:name w:val="正文文本 3 字符1"/>
    <w:qFormat/>
    <w:uiPriority w:val="99"/>
    <w:rPr>
      <w:b/>
      <w:bCs/>
      <w:sz w:val="24"/>
      <w:szCs w:val="24"/>
    </w:rPr>
  </w:style>
  <w:style w:type="character" w:customStyle="1" w:styleId="321">
    <w:name w:val="标题 2 字符2"/>
    <w:qFormat/>
    <w:uiPriority w:val="9"/>
    <w:rPr>
      <w:rFonts w:ascii="Arial" w:hAnsi="Arial" w:eastAsia="黑体"/>
      <w:b/>
      <w:bCs/>
      <w:sz w:val="32"/>
      <w:szCs w:val="32"/>
    </w:rPr>
  </w:style>
  <w:style w:type="character" w:customStyle="1" w:styleId="322">
    <w:name w:val="标题 1 字符2"/>
    <w:qFormat/>
    <w:uiPriority w:val="9"/>
    <w:rPr>
      <w:b/>
      <w:bCs/>
      <w:kern w:val="44"/>
      <w:sz w:val="44"/>
      <w:szCs w:val="44"/>
    </w:rPr>
  </w:style>
  <w:style w:type="character" w:customStyle="1" w:styleId="323">
    <w:name w:val="二级条标题 Char"/>
    <w:link w:val="87"/>
    <w:qFormat/>
    <w:uiPriority w:val="0"/>
    <w:rPr>
      <w:rFonts w:ascii="黑体" w:hAnsi="Calibri" w:eastAsia="黑体"/>
      <w:sz w:val="21"/>
      <w:szCs w:val="21"/>
    </w:rPr>
  </w:style>
  <w:style w:type="character" w:customStyle="1" w:styleId="324">
    <w:name w:val="一级条标题 Char1"/>
    <w:link w:val="88"/>
    <w:qFormat/>
    <w:uiPriority w:val="99"/>
    <w:rPr>
      <w:rFonts w:ascii="黑体" w:eastAsia="黑体"/>
      <w:sz w:val="21"/>
      <w:szCs w:val="21"/>
      <w:lang w:val="en-US" w:eastAsia="zh-CN" w:bidi="ar-SA"/>
    </w:rPr>
  </w:style>
  <w:style w:type="character" w:customStyle="1" w:styleId="325">
    <w:name w:val="批注主题 字符1"/>
    <w:qFormat/>
    <w:uiPriority w:val="99"/>
    <w:rPr>
      <w:b/>
      <w:bCs/>
      <w:kern w:val="2"/>
      <w:sz w:val="21"/>
      <w:szCs w:val="24"/>
    </w:rPr>
  </w:style>
  <w:style w:type="character" w:customStyle="1" w:styleId="326">
    <w:name w:val="批注文字 字符2"/>
    <w:qFormat/>
    <w:uiPriority w:val="99"/>
    <w:rPr>
      <w:rFonts w:ascii="Times New Roman" w:hAnsi="Times New Roman"/>
      <w:kern w:val="2"/>
      <w:sz w:val="21"/>
      <w:szCs w:val="24"/>
    </w:rPr>
  </w:style>
  <w:style w:type="character" w:customStyle="1" w:styleId="327">
    <w:name w:val="正文文本 Char"/>
    <w:qFormat/>
    <w:uiPriority w:val="99"/>
    <w:rPr>
      <w:rFonts w:hint="default" w:ascii="Times New Roman" w:hAnsi="Times New Roman" w:eastAsia="宋体" w:cs="Times New Roman"/>
      <w:sz w:val="24"/>
      <w:szCs w:val="24"/>
    </w:rPr>
  </w:style>
  <w:style w:type="character" w:customStyle="1" w:styleId="328">
    <w:name w:val="批注主题 字符2"/>
    <w:qFormat/>
    <w:uiPriority w:val="99"/>
    <w:rPr>
      <w:b/>
      <w:bCs/>
      <w:kern w:val="2"/>
      <w:sz w:val="21"/>
      <w:szCs w:val="24"/>
    </w:rPr>
  </w:style>
  <w:style w:type="character" w:customStyle="1" w:styleId="329">
    <w:name w:val="批注文字 Char"/>
    <w:qFormat/>
    <w:uiPriority w:val="99"/>
    <w:rPr>
      <w:rFonts w:ascii="Times New Roman" w:hAnsi="Times New Roman"/>
      <w:kern w:val="2"/>
      <w:sz w:val="21"/>
      <w:szCs w:val="24"/>
    </w:rPr>
  </w:style>
  <w:style w:type="character" w:customStyle="1" w:styleId="330">
    <w:name w:val="正文文本 2 字符1"/>
    <w:qFormat/>
    <w:uiPriority w:val="99"/>
    <w:rPr>
      <w:szCs w:val="24"/>
    </w:rPr>
  </w:style>
  <w:style w:type="character" w:customStyle="1" w:styleId="331">
    <w:name w:val="cf01"/>
    <w:qFormat/>
    <w:uiPriority w:val="0"/>
    <w:rPr>
      <w:rFonts w:hint="eastAsia" w:ascii="Microsoft YaHei UI" w:hAnsi="Microsoft YaHei UI" w:eastAsia="Microsoft YaHei UI"/>
      <w:b/>
      <w:bCs/>
      <w:sz w:val="18"/>
      <w:szCs w:val="18"/>
    </w:rPr>
  </w:style>
  <w:style w:type="character" w:customStyle="1" w:styleId="332">
    <w:name w:val="纯文本 字符3"/>
    <w:qFormat/>
    <w:uiPriority w:val="99"/>
    <w:rPr>
      <w:rFonts w:ascii="宋体" w:hAnsi="Courier New"/>
      <w:szCs w:val="21"/>
    </w:rPr>
  </w:style>
  <w:style w:type="character" w:customStyle="1" w:styleId="333">
    <w:name w:val="引用 字符"/>
    <w:link w:val="89"/>
    <w:qFormat/>
    <w:uiPriority w:val="29"/>
    <w:rPr>
      <w:rFonts w:ascii="Calibri" w:hAnsi="Calibri" w:eastAsia="楷体_GB2312" w:cs="Calibri"/>
      <w:i/>
      <w:iCs/>
      <w:sz w:val="24"/>
      <w:szCs w:val="24"/>
    </w:rPr>
  </w:style>
  <w:style w:type="character" w:customStyle="1" w:styleId="334">
    <w:name w:val="正文文本缩进 2 字符2"/>
    <w:qFormat/>
    <w:uiPriority w:val="99"/>
    <w:rPr>
      <w:sz w:val="32"/>
    </w:rPr>
  </w:style>
  <w:style w:type="character" w:customStyle="1" w:styleId="335">
    <w:name w:val="纯文本 字符1"/>
    <w:qFormat/>
    <w:uiPriority w:val="0"/>
    <w:rPr>
      <w:rFonts w:ascii="宋体" w:hAnsi="Courier New"/>
    </w:rPr>
  </w:style>
  <w:style w:type="character" w:customStyle="1" w:styleId="336">
    <w:name w:val="不明显参考1"/>
    <w:qFormat/>
    <w:uiPriority w:val="31"/>
    <w:rPr>
      <w:b/>
      <w:bCs/>
      <w:color w:val="5B9BD5"/>
    </w:rPr>
  </w:style>
  <w:style w:type="character" w:customStyle="1" w:styleId="337">
    <w:name w:val="脚注文本 字符2"/>
    <w:qFormat/>
    <w:uiPriority w:val="99"/>
    <w:rPr>
      <w:kern w:val="2"/>
      <w:sz w:val="18"/>
      <w:szCs w:val="18"/>
    </w:rPr>
  </w:style>
  <w:style w:type="character" w:customStyle="1" w:styleId="338">
    <w:name w:val="标题 8 字符1"/>
    <w:qFormat/>
    <w:uiPriority w:val="9"/>
    <w:rPr>
      <w:rFonts w:hint="default" w:ascii="Arial" w:hAnsi="Arial" w:eastAsia="黑体" w:cs="Arial"/>
      <w:kern w:val="2"/>
      <w:sz w:val="24"/>
      <w:szCs w:val="24"/>
    </w:rPr>
  </w:style>
  <w:style w:type="character" w:customStyle="1" w:styleId="339">
    <w:name w:val="正文文本 3 字符2"/>
    <w:qFormat/>
    <w:uiPriority w:val="99"/>
    <w:rPr>
      <w:b/>
      <w:bCs/>
      <w:sz w:val="24"/>
      <w:szCs w:val="24"/>
    </w:rPr>
  </w:style>
  <w:style w:type="character" w:customStyle="1" w:styleId="340">
    <w:name w:val="标题 4 Char"/>
    <w:qFormat/>
    <w:uiPriority w:val="0"/>
    <w:rPr>
      <w:rFonts w:hint="default" w:ascii="Arial" w:hAnsi="Arial" w:eastAsia="黑体" w:cs="Arial"/>
      <w:b/>
      <w:bCs/>
      <w:kern w:val="2"/>
      <w:sz w:val="28"/>
      <w:szCs w:val="28"/>
      <w:lang w:val="en-US" w:eastAsia="zh-CN" w:bidi="ar-SA"/>
    </w:rPr>
  </w:style>
  <w:style w:type="character" w:customStyle="1" w:styleId="341">
    <w:name w:val="标题 3 字符1"/>
    <w:qFormat/>
    <w:uiPriority w:val="0"/>
    <w:rPr>
      <w:b/>
      <w:bCs/>
      <w:sz w:val="32"/>
      <w:szCs w:val="32"/>
    </w:rPr>
  </w:style>
  <w:style w:type="character" w:customStyle="1" w:styleId="342">
    <w:name w:val="页脚 字符3"/>
    <w:qFormat/>
    <w:uiPriority w:val="99"/>
    <w:rPr>
      <w:sz w:val="18"/>
      <w:szCs w:val="18"/>
    </w:rPr>
  </w:style>
  <w:style w:type="character" w:customStyle="1" w:styleId="343">
    <w:name w:val="标题 5 Char1"/>
    <w:qFormat/>
    <w:uiPriority w:val="0"/>
    <w:rPr>
      <w:b/>
      <w:kern w:val="2"/>
      <w:sz w:val="28"/>
      <w:szCs w:val="24"/>
    </w:rPr>
  </w:style>
  <w:style w:type="character" w:customStyle="1" w:styleId="344">
    <w:name w:val="批注框文本 字符1"/>
    <w:qFormat/>
    <w:uiPriority w:val="99"/>
    <w:rPr>
      <w:sz w:val="18"/>
      <w:szCs w:val="18"/>
    </w:rPr>
  </w:style>
  <w:style w:type="character" w:customStyle="1" w:styleId="345">
    <w:name w:val="标题 5 Char"/>
    <w:qFormat/>
    <w:uiPriority w:val="0"/>
    <w:rPr>
      <w:b/>
      <w:kern w:val="2"/>
      <w:sz w:val="28"/>
      <w:szCs w:val="24"/>
    </w:rPr>
  </w:style>
  <w:style w:type="character" w:customStyle="1" w:styleId="346">
    <w:name w:val="普通文字 Char Char2"/>
    <w:qFormat/>
    <w:uiPriority w:val="0"/>
    <w:rPr>
      <w:rFonts w:ascii="宋体" w:hAnsi="Courier New" w:eastAsia="宋体"/>
      <w:kern w:val="2"/>
      <w:sz w:val="21"/>
      <w:lang w:val="en-US" w:eastAsia="zh-CN" w:bidi="ar-SA"/>
    </w:rPr>
  </w:style>
  <w:style w:type="character" w:customStyle="1" w:styleId="34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48">
    <w:name w:val="批注文字 Char1"/>
    <w:qFormat/>
    <w:uiPriority w:val="99"/>
    <w:rPr>
      <w:rFonts w:ascii="Times New Roman" w:hAnsi="Times New Roman"/>
      <w:kern w:val="2"/>
      <w:sz w:val="21"/>
      <w:szCs w:val="24"/>
    </w:rPr>
  </w:style>
  <w:style w:type="character" w:customStyle="1" w:styleId="349">
    <w:name w:val="正文文本 Char1"/>
    <w:qFormat/>
    <w:uiPriority w:val="99"/>
    <w:rPr>
      <w:sz w:val="24"/>
      <w:szCs w:val="24"/>
    </w:rPr>
  </w:style>
  <w:style w:type="character" w:customStyle="1" w:styleId="350">
    <w:name w:val="页眉 字符1"/>
    <w:qFormat/>
    <w:uiPriority w:val="99"/>
    <w:rPr>
      <w:kern w:val="2"/>
      <w:sz w:val="18"/>
      <w:szCs w:val="18"/>
    </w:rPr>
  </w:style>
  <w:style w:type="character" w:customStyle="1" w:styleId="351">
    <w:name w:val="日期 字符2"/>
    <w:qFormat/>
    <w:uiPriority w:val="99"/>
    <w:rPr>
      <w:rFonts w:ascii="宋体" w:hAnsi="Courier New"/>
      <w:szCs w:val="21"/>
    </w:rPr>
  </w:style>
  <w:style w:type="character" w:customStyle="1" w:styleId="352">
    <w:name w:val="文档结构图 字符"/>
    <w:qFormat/>
    <w:uiPriority w:val="99"/>
    <w:rPr>
      <w:rFonts w:ascii="Microsoft YaHei UI" w:eastAsia="Microsoft YaHei UI"/>
      <w:kern w:val="2"/>
      <w:sz w:val="18"/>
      <w:szCs w:val="18"/>
    </w:rPr>
  </w:style>
  <w:style w:type="character" w:customStyle="1" w:styleId="353">
    <w:name w:val="正文文本缩进 3 字符1"/>
    <w:qFormat/>
    <w:uiPriority w:val="99"/>
    <w:rPr>
      <w:sz w:val="16"/>
      <w:szCs w:val="16"/>
    </w:rPr>
  </w:style>
  <w:style w:type="character" w:customStyle="1" w:styleId="354">
    <w:name w:val="标题 2 字符1"/>
    <w:qFormat/>
    <w:uiPriority w:val="9"/>
    <w:rPr>
      <w:rFonts w:hint="default" w:ascii="Arial" w:hAnsi="Arial" w:eastAsia="黑体" w:cs="Arial"/>
      <w:b/>
      <w:bCs/>
      <w:sz w:val="32"/>
      <w:szCs w:val="32"/>
    </w:rPr>
  </w:style>
  <w:style w:type="character" w:customStyle="1" w:styleId="355">
    <w:name w:val="sh14"/>
    <w:qFormat/>
    <w:uiPriority w:val="0"/>
  </w:style>
  <w:style w:type="character" w:customStyle="1" w:styleId="356">
    <w:name w:val="style11"/>
    <w:qFormat/>
    <w:uiPriority w:val="0"/>
    <w:rPr>
      <w:rFonts w:hint="eastAsia" w:ascii="宋体" w:hAnsi="宋体" w:eastAsia="宋体"/>
      <w:color w:val="000000"/>
      <w:sz w:val="18"/>
      <w:szCs w:val="18"/>
    </w:rPr>
  </w:style>
  <w:style w:type="character" w:customStyle="1" w:styleId="357">
    <w:name w:val="文档结构图 字符1"/>
    <w:qFormat/>
    <w:uiPriority w:val="99"/>
    <w:rPr>
      <w:rFonts w:hint="eastAsia" w:ascii="宋体" w:hAnsi="宋体" w:eastAsia="宋体"/>
      <w:shd w:val="clear" w:color="auto" w:fill="000080"/>
    </w:rPr>
  </w:style>
  <w:style w:type="character" w:customStyle="1" w:styleId="358">
    <w:name w:val="标题 5 字符2"/>
    <w:qFormat/>
    <w:uiPriority w:val="9"/>
    <w:rPr>
      <w:b/>
      <w:kern w:val="2"/>
      <w:sz w:val="28"/>
      <w:szCs w:val="24"/>
    </w:rPr>
  </w:style>
  <w:style w:type="character" w:customStyle="1" w:styleId="359">
    <w:name w:val="尾注文本 字符1"/>
    <w:qFormat/>
    <w:uiPriority w:val="99"/>
    <w:rPr>
      <w:kern w:val="2"/>
      <w:sz w:val="21"/>
      <w:szCs w:val="24"/>
    </w:rPr>
  </w:style>
  <w:style w:type="character" w:customStyle="1" w:styleId="360">
    <w:name w:val="批注框文本 字符2"/>
    <w:qFormat/>
    <w:uiPriority w:val="99"/>
    <w:rPr>
      <w:sz w:val="18"/>
      <w:szCs w:val="18"/>
    </w:rPr>
  </w:style>
  <w:style w:type="character" w:customStyle="1" w:styleId="361">
    <w:name w:val="标题 字符1"/>
    <w:qFormat/>
    <w:uiPriority w:val="10"/>
    <w:rPr>
      <w:rFonts w:hint="default" w:ascii="Cambria" w:hAnsi="Cambria"/>
      <w:b/>
      <w:bCs/>
      <w:kern w:val="2"/>
      <w:sz w:val="32"/>
      <w:szCs w:val="32"/>
    </w:rPr>
  </w:style>
  <w:style w:type="table" w:customStyle="1" w:styleId="362">
    <w:name w:val="Table Normal"/>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363">
    <w:name w:val="NormalCharacter"/>
    <w:qFormat/>
    <w:uiPriority w:val="0"/>
  </w:style>
  <w:style w:type="paragraph" w:customStyle="1" w:styleId="364">
    <w:name w:val="正文（缩进）"/>
    <w:basedOn w:val="1"/>
    <w:qFormat/>
    <w:uiPriority w:val="0"/>
    <w:pPr>
      <w:spacing w:before="156" w:after="156"/>
      <w:ind w:firstLine="480" w:firstLineChars="200"/>
    </w:pPr>
    <w:rPr>
      <w:rFonts w:ascii="Calibri" w:hAnsi="Calibri" w:cs="Calibri"/>
      <w:sz w:val="24"/>
    </w:rPr>
  </w:style>
  <w:style w:type="paragraph" w:customStyle="1" w:styleId="365">
    <w:name w:val="列出段落1"/>
    <w:basedOn w:val="1"/>
    <w:qFormat/>
    <w:uiPriority w:val="0"/>
    <w:pPr>
      <w:ind w:firstLine="200" w:firstLineChars="200"/>
    </w:pPr>
  </w:style>
  <w:style w:type="paragraph" w:customStyle="1" w:styleId="366">
    <w:name w:val="p0"/>
    <w:basedOn w:val="1"/>
    <w:qFormat/>
    <w:uiPriority w:val="0"/>
    <w:pPr>
      <w:widowControl/>
    </w:pPr>
    <w:rPr>
      <w:kern w:val="0"/>
      <w:szCs w:val="21"/>
    </w:rPr>
  </w:style>
  <w:style w:type="paragraph" w:customStyle="1" w:styleId="367">
    <w:name w:val="List Paragraph1"/>
    <w:basedOn w:val="1"/>
    <w:qFormat/>
    <w:uiPriority w:val="0"/>
    <w:pPr>
      <w:ind w:firstLine="200" w:firstLineChars="200"/>
    </w:pPr>
    <w:rPr>
      <w:rFonts w:ascii="Calibri" w:hAnsi="Calibri"/>
      <w:szCs w:val="21"/>
    </w:rPr>
  </w:style>
  <w:style w:type="paragraph" w:customStyle="1" w:styleId="368">
    <w:name w:val="列出段落2"/>
    <w:basedOn w:val="1"/>
    <w:qFormat/>
    <w:uiPriority w:val="0"/>
    <w:pPr>
      <w:ind w:firstLine="200" w:firstLineChars="200"/>
    </w:pPr>
    <w:rPr>
      <w:rFonts w:ascii="Calibri" w:hAnsi="Calibri"/>
      <w:szCs w:val="21"/>
    </w:rPr>
  </w:style>
  <w:style w:type="paragraph" w:customStyle="1" w:styleId="369">
    <w:name w:val="List Paragraph2"/>
    <w:basedOn w:val="1"/>
    <w:qFormat/>
    <w:uiPriority w:val="0"/>
    <w:pPr>
      <w:ind w:firstLine="200" w:firstLineChars="200"/>
    </w:pPr>
    <w:rPr>
      <w:rFonts w:ascii="Calibri" w:hAnsi="Calibri"/>
      <w:szCs w:val="21"/>
    </w:rPr>
  </w:style>
  <w:style w:type="paragraph" w:customStyle="1" w:styleId="370">
    <w:name w:val="Normal_0"/>
    <w:qFormat/>
    <w:uiPriority w:val="0"/>
    <w:rPr>
      <w:rFonts w:ascii="Times New Roman" w:hAnsi="Times New Roman" w:eastAsia="Times New Roman" w:cs="Times New Roman"/>
      <w:sz w:val="24"/>
      <w:szCs w:val="24"/>
      <w:lang w:val="en-US" w:eastAsia="zh-CN" w:bidi="ar-SA"/>
    </w:rPr>
  </w:style>
  <w:style w:type="paragraph" w:customStyle="1" w:styleId="3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2">
    <w:name w:val="题目"/>
    <w:basedOn w:val="1"/>
    <w:qFormat/>
    <w:uiPriority w:val="0"/>
    <w:pPr>
      <w:spacing w:beforeLines="200" w:afterLines="100"/>
      <w:jc w:val="center"/>
    </w:pPr>
    <w:rPr>
      <w:rFonts w:ascii="黑体" w:eastAsia="黑体"/>
      <w:color w:val="C00000"/>
      <w:sz w:val="28"/>
      <w:szCs w:val="28"/>
    </w:rPr>
  </w:style>
  <w:style w:type="paragraph" w:customStyle="1" w:styleId="373">
    <w:name w:val="标题 2_4"/>
    <w:basedOn w:val="374"/>
    <w:next w:val="374"/>
    <w:qFormat/>
    <w:uiPriority w:val="0"/>
    <w:pPr>
      <w:keepNext/>
      <w:keepLines/>
      <w:spacing w:before="260" w:after="260" w:line="412" w:lineRule="auto"/>
      <w:outlineLvl w:val="1"/>
    </w:pPr>
    <w:rPr>
      <w:rFonts w:ascii="Arial" w:hAnsi="Arial" w:eastAsia="黑体"/>
      <w:b/>
      <w:sz w:val="32"/>
      <w:szCs w:val="20"/>
    </w:rPr>
  </w:style>
  <w:style w:type="paragraph" w:customStyle="1" w:styleId="374">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5">
    <w:name w:val="正文缩进_0"/>
    <w:basedOn w:val="374"/>
    <w:qFormat/>
    <w:uiPriority w:val="0"/>
    <w:pPr>
      <w:widowControl/>
      <w:ind w:firstLine="420"/>
      <w:jc w:val="left"/>
    </w:pPr>
    <w:rPr>
      <w:rFonts w:eastAsia="仿宋_GB2312"/>
      <w:b/>
      <w:kern w:val="0"/>
      <w:sz w:val="30"/>
      <w:szCs w:val="24"/>
    </w:rPr>
  </w:style>
  <w:style w:type="paragraph" w:customStyle="1" w:styleId="376">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7">
    <w:name w:val="默认段落"/>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103</Pages>
  <Words>355</Words>
  <Characters>453</Characters>
  <Lines>64</Lines>
  <Paragraphs>134</Paragraphs>
  <TotalTime>7</TotalTime>
  <ScaleCrop>false</ScaleCrop>
  <LinksUpToDate>false</LinksUpToDate>
  <CharactersWithSpaces>472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2024-04-16T14:28:00Z</dcterms:created>
  <dc:creator>陈潇</dc:creator>
  <cp:lastModifiedBy>...</cp:lastModifiedBy>
  <cp:lastPrinted>2025-05-15T02:45:00Z</cp:lastPrinted>
  <dcterms:modified xsi:type="dcterms:W3CDTF">2025-05-30T12:35:04Z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3E5B7157E62944B9B2D499ABD63C4B7A_13</vt:lpwstr>
  </property>
  <property fmtid="{D5CDD505-2E9C-101B-9397-08002B2CF9AE}" pid="4" name="KSOTemplateDocerSaveRecord">
    <vt:lpwstr>eyJoZGlkIjoiODZkOWRmZTc4NTVhNWM0NzhhMTNjNTg5MTRmNmI0YTciLCJ1c2VySWQiOiI4NDE4MTUwMzMifQ==</vt:lpwstr>
  </property>
</Properties>
</file>